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0D7" w:rsidRPr="006E395D" w:rsidRDefault="007870D7" w:rsidP="007870D7">
      <w:pPr>
        <w:pStyle w:val="H1"/>
      </w:pPr>
      <w:bookmarkStart w:id="0" w:name="_Toc150840175"/>
      <w:bookmarkStart w:id="1" w:name="_Toc150941365"/>
      <w:bookmarkStart w:id="2" w:name="_Toc78689521"/>
      <w:bookmarkStart w:id="3" w:name="_Toc150840177"/>
      <w:bookmarkStart w:id="4" w:name="_Toc150941367"/>
      <w:r w:rsidRPr="006E395D">
        <w:t>3. Ieņēmumu analīze</w:t>
      </w:r>
    </w:p>
    <w:p w:rsidR="007870D7" w:rsidRDefault="007870D7" w:rsidP="007870D7">
      <w:pPr>
        <w:pStyle w:val="H2"/>
        <w:spacing w:before="240"/>
      </w:pPr>
      <w:r w:rsidRPr="006E395D">
        <w:t>3.1. Nodokļu politikas aktualitātes</w:t>
      </w:r>
    </w:p>
    <w:p w:rsidR="00F63798" w:rsidRPr="001A5AD8" w:rsidRDefault="00F63798" w:rsidP="00F63798">
      <w:pPr>
        <w:rPr>
          <w:sz w:val="22"/>
        </w:rPr>
      </w:pPr>
      <w:r w:rsidRPr="001A5AD8">
        <w:t>Nodokļu politikas stratēģisko virzienu skaidrība un stabilitāte ir būtiska gan uzņēmējdarbības, gan sabiedrisko pakalpojumu un investīciju efektīvai plānošanai. Svarīga ir arī to sasaiste ar valsts vispārējiem attīstības mērķiem.</w:t>
      </w:r>
    </w:p>
    <w:p w:rsidR="00F63798" w:rsidRPr="001A5AD8" w:rsidRDefault="00F63798" w:rsidP="00F63798">
      <w:r w:rsidRPr="001A5AD8">
        <w:t>Pēdējā laikā tika identificētas vairākas esošās nodokļu sistēmas nepilnības valstī, tai skaitā sociālās aizsardzības trūkum</w:t>
      </w:r>
      <w:r>
        <w:t>s</w:t>
      </w:r>
      <w:r w:rsidRPr="001A5AD8">
        <w:t xml:space="preserve"> alternatīvajos nodokļu režīmos strādājošajiem, kuru risināšanai </w:t>
      </w:r>
      <w:r>
        <w:t xml:space="preserve">bija </w:t>
      </w:r>
      <w:r w:rsidRPr="001A5AD8">
        <w:t xml:space="preserve">nepieciešami nekavējoši lēmumi, kā rezultātā tika izstrādāts informatīvais ziņojums </w:t>
      </w:r>
      <w:r>
        <w:rPr>
          <w:b/>
          <w:iCs/>
        </w:rPr>
        <w:t>“</w:t>
      </w:r>
      <w:r w:rsidRPr="00F63798">
        <w:rPr>
          <w:b/>
          <w:iCs/>
          <w:lang w:eastAsia="lv-LV"/>
        </w:rPr>
        <w:t>Par nodokļu politikas attīstības virzieniem, valsts sociālās ilgtspējas un ekonomikas konkurētspējas veicināšanai</w:t>
      </w:r>
      <w:r w:rsidRPr="00F63798">
        <w:rPr>
          <w:b/>
        </w:rPr>
        <w:t>”</w:t>
      </w:r>
      <w:r w:rsidRPr="001A5AD8">
        <w:t>, lai risinātu Covid-19 izraisīt</w:t>
      </w:r>
      <w:r>
        <w:t>ajā</w:t>
      </w:r>
      <w:r w:rsidRPr="001A5AD8">
        <w:t xml:space="preserve"> krīzē aktualizējošos jautājumu par nepietiekamo valsts sociāl</w:t>
      </w:r>
      <w:r>
        <w:t>o</w:t>
      </w:r>
      <w:r w:rsidRPr="001A5AD8">
        <w:t xml:space="preserve"> nodrošinājumu lielai sabiedrības daļai, kā arī, lai ar nodokļu politiku uzlabotu darbaspēka nodokļu konkurētspēju un mazinātu ienākumu nevienlīdzību strādājošiem iedzīvotājiem.   </w:t>
      </w:r>
    </w:p>
    <w:p w:rsidR="00F63798" w:rsidRPr="001A5AD8" w:rsidRDefault="00F63798" w:rsidP="00F63798">
      <w:pPr>
        <w:spacing w:before="120"/>
        <w:ind w:right="-1"/>
        <w:rPr>
          <w:szCs w:val="24"/>
          <w:lang w:eastAsia="lv-LV"/>
        </w:rPr>
      </w:pPr>
      <w:r w:rsidRPr="001A5AD8">
        <w:rPr>
          <w:szCs w:val="24"/>
          <w:lang w:eastAsia="lv-LV"/>
        </w:rPr>
        <w:t>Likumprojekta “</w:t>
      </w:r>
      <w:r w:rsidRPr="001A5AD8">
        <w:rPr>
          <w:color w:val="000000"/>
          <w:szCs w:val="24"/>
          <w:lang w:eastAsia="lv-LV"/>
        </w:rPr>
        <w:t>Par valsts budžetu 2021.</w:t>
      </w:r>
      <w:r>
        <w:rPr>
          <w:color w:val="000000"/>
          <w:szCs w:val="24"/>
          <w:lang w:eastAsia="lv-LV"/>
        </w:rPr>
        <w:t xml:space="preserve"> </w:t>
      </w:r>
      <w:r w:rsidRPr="001A5AD8">
        <w:rPr>
          <w:color w:val="000000"/>
          <w:szCs w:val="24"/>
          <w:lang w:eastAsia="lv-LV"/>
        </w:rPr>
        <w:t>gadam</w:t>
      </w:r>
      <w:r w:rsidRPr="001A5AD8">
        <w:rPr>
          <w:szCs w:val="24"/>
          <w:lang w:eastAsia="lv-LV"/>
        </w:rPr>
        <w:t xml:space="preserve">” pakā tiek virzītas </w:t>
      </w:r>
      <w:r w:rsidRPr="001A5AD8">
        <w:t xml:space="preserve">informatīvajā ziņojumā </w:t>
      </w:r>
      <w:r>
        <w:rPr>
          <w:b/>
          <w:iCs/>
        </w:rPr>
        <w:t>“</w:t>
      </w:r>
      <w:r w:rsidRPr="00F63798">
        <w:rPr>
          <w:b/>
          <w:iCs/>
          <w:lang w:eastAsia="lv-LV"/>
        </w:rPr>
        <w:t>Par nodokļu politikas attīstības virzieniem, valsts sociālās ilgtspējas un ekonomikas konkurētspējas veicināšanai</w:t>
      </w:r>
      <w:r w:rsidRPr="00F63798">
        <w:rPr>
          <w:b/>
        </w:rPr>
        <w:t>”</w:t>
      </w:r>
      <w:r w:rsidRPr="001A5AD8">
        <w:t xml:space="preserve"> ietvertās nodokļu politikas izmaiņas:</w:t>
      </w:r>
    </w:p>
    <w:p w:rsidR="00F63798" w:rsidRPr="001A5AD8" w:rsidRDefault="00F63798" w:rsidP="00373FD4">
      <w:pPr>
        <w:pStyle w:val="ListParagraph"/>
        <w:numPr>
          <w:ilvl w:val="0"/>
          <w:numId w:val="3"/>
        </w:numPr>
        <w:spacing w:before="120"/>
        <w:ind w:right="-1"/>
        <w:rPr>
          <w:szCs w:val="24"/>
          <w:lang w:eastAsia="lv-LV"/>
        </w:rPr>
      </w:pPr>
      <w:r w:rsidRPr="001A5AD8">
        <w:rPr>
          <w:noProof/>
          <w:szCs w:val="24"/>
        </w:rPr>
        <w:t>lai mazinātu darbaspēka nodokļu slogu un veicinātu uzņēmumu konkurētspējas uzlabošanos</w:t>
      </w:r>
      <w:r>
        <w:rPr>
          <w:noProof/>
          <w:szCs w:val="24"/>
        </w:rPr>
        <w:t>,</w:t>
      </w:r>
      <w:r w:rsidRPr="001A5AD8">
        <w:rPr>
          <w:noProof/>
          <w:szCs w:val="24"/>
        </w:rPr>
        <w:t xml:space="preserve"> valsts sociālās apdrošināšanas obligāto iemaksu (turpmāk – VSAOI) likme tiek samazināta no 35,09 </w:t>
      </w:r>
      <w:r>
        <w:rPr>
          <w:noProof/>
          <w:szCs w:val="24"/>
        </w:rPr>
        <w:t>%</w:t>
      </w:r>
      <w:r w:rsidRPr="001A5AD8">
        <w:rPr>
          <w:noProof/>
          <w:szCs w:val="24"/>
        </w:rPr>
        <w:t xml:space="preserve"> uz 34,09 </w:t>
      </w:r>
      <w:r>
        <w:rPr>
          <w:noProof/>
          <w:szCs w:val="24"/>
        </w:rPr>
        <w:t>%</w:t>
      </w:r>
      <w:r w:rsidRPr="001A5AD8">
        <w:rPr>
          <w:noProof/>
          <w:szCs w:val="24"/>
        </w:rPr>
        <w:t xml:space="preserve">, kā arī </w:t>
      </w:r>
      <w:r w:rsidRPr="001A5AD8">
        <w:rPr>
          <w:szCs w:val="24"/>
          <w:lang w:eastAsia="lv-LV"/>
        </w:rPr>
        <w:t xml:space="preserve">tiek paaugstināts </w:t>
      </w:r>
      <w:r w:rsidRPr="001A5AD8">
        <w:rPr>
          <w:noProof/>
          <w:szCs w:val="24"/>
        </w:rPr>
        <w:t>iedzīvotāju ienākuma nodokļa diferencētā neapliekamā minimuma</w:t>
      </w:r>
      <w:r w:rsidRPr="001A5AD8">
        <w:rPr>
          <w:rFonts w:eastAsia="Calibri"/>
          <w:noProof/>
          <w:szCs w:val="24"/>
          <w:lang w:eastAsia="lv-LV"/>
        </w:rPr>
        <w:t xml:space="preserve"> piemērošanas slieksnis līdz 1 800 </w:t>
      </w:r>
      <w:r w:rsidRPr="00F63798">
        <w:rPr>
          <w:rFonts w:eastAsia="Calibri"/>
          <w:i/>
          <w:noProof/>
          <w:szCs w:val="24"/>
          <w:lang w:eastAsia="lv-LV"/>
        </w:rPr>
        <w:t>euro</w:t>
      </w:r>
      <w:r w:rsidRPr="001A5AD8">
        <w:rPr>
          <w:rFonts w:eastAsia="Calibri"/>
          <w:noProof/>
          <w:szCs w:val="24"/>
          <w:lang w:eastAsia="lv-LV"/>
        </w:rPr>
        <w:t xml:space="preserve"> mēnesī;</w:t>
      </w:r>
    </w:p>
    <w:p w:rsidR="00F63798" w:rsidRPr="001A5AD8" w:rsidRDefault="00F63798" w:rsidP="00373FD4">
      <w:pPr>
        <w:pStyle w:val="ListParagraph"/>
        <w:numPr>
          <w:ilvl w:val="0"/>
          <w:numId w:val="3"/>
        </w:numPr>
        <w:spacing w:before="120"/>
        <w:ind w:right="-1"/>
        <w:rPr>
          <w:szCs w:val="24"/>
          <w:lang w:eastAsia="lv-LV"/>
        </w:rPr>
      </w:pPr>
      <w:r w:rsidRPr="001A5AD8">
        <w:rPr>
          <w:noProof/>
          <w:szCs w:val="24"/>
        </w:rPr>
        <w:t>lai uzlabotu iedzīvotāju sociālo nodrošinājumu, tiek veikta minimālā VSAOI apmēra ieviešana un alternatīvo nodokļu režīmu reorganizācija</w:t>
      </w:r>
      <w:r w:rsidRPr="001A5AD8">
        <w:rPr>
          <w:szCs w:val="24"/>
          <w:lang w:eastAsia="lv-LV"/>
        </w:rPr>
        <w:t>;</w:t>
      </w:r>
    </w:p>
    <w:p w:rsidR="00F63798" w:rsidRPr="001A5AD8" w:rsidRDefault="00F63798" w:rsidP="00373FD4">
      <w:pPr>
        <w:pStyle w:val="ListParagraph"/>
        <w:numPr>
          <w:ilvl w:val="0"/>
          <w:numId w:val="3"/>
        </w:numPr>
        <w:spacing w:before="120"/>
        <w:ind w:right="-1"/>
        <w:rPr>
          <w:szCs w:val="24"/>
          <w:lang w:eastAsia="lv-LV"/>
        </w:rPr>
      </w:pPr>
      <w:r w:rsidRPr="001A5AD8">
        <w:rPr>
          <w:noProof/>
          <w:szCs w:val="24"/>
        </w:rPr>
        <w:t>akcīzes nodokļu likmju tabakas izstrādājumiem paaugstināšana;</w:t>
      </w:r>
    </w:p>
    <w:p w:rsidR="00F63798" w:rsidRPr="001A5AD8" w:rsidRDefault="00F63798" w:rsidP="00373FD4">
      <w:pPr>
        <w:pStyle w:val="ListParagraph"/>
        <w:numPr>
          <w:ilvl w:val="0"/>
          <w:numId w:val="3"/>
        </w:numPr>
        <w:spacing w:before="120"/>
        <w:ind w:right="-1"/>
        <w:rPr>
          <w:szCs w:val="24"/>
          <w:lang w:eastAsia="lv-LV"/>
        </w:rPr>
      </w:pPr>
      <w:r w:rsidRPr="001A5AD8">
        <w:rPr>
          <w:noProof/>
          <w:szCs w:val="24"/>
        </w:rPr>
        <w:t>izmaiņas uzņēmumu vieglo transportlīdzekļu nodoklī;</w:t>
      </w:r>
    </w:p>
    <w:p w:rsidR="00F63798" w:rsidRPr="001A5AD8" w:rsidRDefault="00F63798" w:rsidP="00373FD4">
      <w:pPr>
        <w:pStyle w:val="ListParagraph"/>
        <w:numPr>
          <w:ilvl w:val="0"/>
          <w:numId w:val="3"/>
        </w:numPr>
        <w:spacing w:before="120"/>
        <w:ind w:right="-1"/>
        <w:rPr>
          <w:szCs w:val="24"/>
          <w:lang w:eastAsia="lv-LV"/>
        </w:rPr>
      </w:pPr>
      <w:r w:rsidRPr="001A5AD8">
        <w:rPr>
          <w:lang w:eastAsia="lv-LV"/>
        </w:rPr>
        <w:t>izmaiņas transport</w:t>
      </w:r>
      <w:r w:rsidR="00930C1A">
        <w:rPr>
          <w:lang w:eastAsia="lv-LV"/>
        </w:rPr>
        <w:t>līdzekļa ekspluatācijas nodoklī.</w:t>
      </w:r>
    </w:p>
    <w:p w:rsidR="00F63798" w:rsidRPr="007F6CE9" w:rsidRDefault="00F63798" w:rsidP="00F63798">
      <w:pPr>
        <w:pStyle w:val="cipari"/>
        <w:spacing w:after="0"/>
        <w:ind w:left="0" w:firstLine="709"/>
        <w:rPr>
          <w:rFonts w:eastAsia="Calibri"/>
          <w:szCs w:val="24"/>
          <w:lang w:eastAsia="lv-LV"/>
        </w:rPr>
      </w:pPr>
      <w:r w:rsidRPr="007F6CE9">
        <w:rPr>
          <w:rFonts w:eastAsia="Calibri"/>
          <w:szCs w:val="24"/>
          <w:lang w:eastAsia="lv-LV"/>
        </w:rPr>
        <w:t>Papildus m</w:t>
      </w:r>
      <w:r>
        <w:rPr>
          <w:rFonts w:eastAsia="Calibri"/>
          <w:szCs w:val="24"/>
          <w:lang w:eastAsia="lv-LV"/>
        </w:rPr>
        <w:t xml:space="preserve">inētajam nodokļu ieņēmumus </w:t>
      </w:r>
      <w:r w:rsidRPr="007F6CE9">
        <w:rPr>
          <w:rFonts w:eastAsia="Calibri"/>
          <w:szCs w:val="24"/>
          <w:lang w:eastAsia="lv-LV"/>
        </w:rPr>
        <w:t>ietekmēs arī likumprojekta “Par valsts budžetu 2021.</w:t>
      </w:r>
      <w:r>
        <w:rPr>
          <w:rFonts w:eastAsia="Calibri"/>
          <w:szCs w:val="24"/>
          <w:lang w:eastAsia="lv-LV"/>
        </w:rPr>
        <w:t xml:space="preserve"> </w:t>
      </w:r>
      <w:r w:rsidRPr="007F6CE9">
        <w:rPr>
          <w:rFonts w:eastAsia="Calibri"/>
          <w:szCs w:val="24"/>
          <w:lang w:eastAsia="lv-LV"/>
        </w:rPr>
        <w:t xml:space="preserve">gadam” izstrādes gaitā </w:t>
      </w:r>
      <w:r>
        <w:rPr>
          <w:rFonts w:eastAsia="Calibri"/>
          <w:szCs w:val="24"/>
          <w:lang w:eastAsia="lv-LV"/>
        </w:rPr>
        <w:t>MK</w:t>
      </w:r>
      <w:r w:rsidRPr="007F6CE9">
        <w:rPr>
          <w:rFonts w:eastAsia="Calibri"/>
          <w:szCs w:val="24"/>
          <w:lang w:eastAsia="lv-LV"/>
        </w:rPr>
        <w:t xml:space="preserve"> atbalstītie pasākumi:</w:t>
      </w:r>
    </w:p>
    <w:p w:rsidR="00F63798" w:rsidRPr="007F6CE9" w:rsidRDefault="00F63798" w:rsidP="00373FD4">
      <w:pPr>
        <w:pStyle w:val="ListParagraph"/>
        <w:numPr>
          <w:ilvl w:val="0"/>
          <w:numId w:val="3"/>
        </w:numPr>
        <w:spacing w:before="120"/>
        <w:ind w:right="-1"/>
        <w:rPr>
          <w:szCs w:val="24"/>
          <w:lang w:eastAsia="lv-LV"/>
        </w:rPr>
      </w:pPr>
      <w:r w:rsidRPr="007F6CE9">
        <w:rPr>
          <w:szCs w:val="24"/>
        </w:rPr>
        <w:t>pievienotās vērtības nodokļa samazinātās piecu procentu likmes saglabāšan</w:t>
      </w:r>
      <w:r>
        <w:rPr>
          <w:szCs w:val="24"/>
        </w:rPr>
        <w:t>a</w:t>
      </w:r>
      <w:r w:rsidRPr="007F6CE9">
        <w:rPr>
          <w:szCs w:val="24"/>
        </w:rPr>
        <w:t xml:space="preserve"> augļiem, ogām un dārzeņiem no 2021.</w:t>
      </w:r>
      <w:r>
        <w:rPr>
          <w:szCs w:val="24"/>
        </w:rPr>
        <w:t xml:space="preserve"> </w:t>
      </w:r>
      <w:r w:rsidRPr="007F6CE9">
        <w:rPr>
          <w:szCs w:val="24"/>
        </w:rPr>
        <w:t>gada 1.</w:t>
      </w:r>
      <w:r>
        <w:rPr>
          <w:szCs w:val="24"/>
        </w:rPr>
        <w:t xml:space="preserve"> </w:t>
      </w:r>
      <w:r w:rsidRPr="007F6CE9">
        <w:rPr>
          <w:szCs w:val="24"/>
        </w:rPr>
        <w:t>janvāra līdz 2023.</w:t>
      </w:r>
      <w:r>
        <w:rPr>
          <w:szCs w:val="24"/>
        </w:rPr>
        <w:t xml:space="preserve"> </w:t>
      </w:r>
      <w:r w:rsidRPr="007F6CE9">
        <w:rPr>
          <w:szCs w:val="24"/>
        </w:rPr>
        <w:t>gada 31.</w:t>
      </w:r>
      <w:r w:rsidR="00412F14">
        <w:rPr>
          <w:szCs w:val="24"/>
        </w:rPr>
        <w:t> </w:t>
      </w:r>
      <w:r w:rsidRPr="007F6CE9">
        <w:rPr>
          <w:szCs w:val="24"/>
        </w:rPr>
        <w:t>decembrim;</w:t>
      </w:r>
    </w:p>
    <w:p w:rsidR="00F63798" w:rsidRDefault="00F63798" w:rsidP="00373FD4">
      <w:pPr>
        <w:pStyle w:val="ListParagraph"/>
        <w:numPr>
          <w:ilvl w:val="0"/>
          <w:numId w:val="3"/>
        </w:numPr>
        <w:spacing w:before="120"/>
        <w:ind w:right="-1"/>
        <w:rPr>
          <w:szCs w:val="24"/>
          <w:lang w:eastAsia="lv-LV"/>
        </w:rPr>
      </w:pPr>
      <w:r w:rsidRPr="007F6CE9">
        <w:rPr>
          <w:szCs w:val="24"/>
          <w:lang w:eastAsia="lv-LV"/>
        </w:rPr>
        <w:t>dabas resursu nodokļa likmju paaugstināšana atsevišķiem objektiem</w:t>
      </w:r>
      <w:r>
        <w:rPr>
          <w:szCs w:val="24"/>
          <w:lang w:eastAsia="lv-LV"/>
        </w:rPr>
        <w:t>;</w:t>
      </w:r>
    </w:p>
    <w:p w:rsidR="00F63798" w:rsidRPr="007F6CE9" w:rsidRDefault="00F63798" w:rsidP="00373FD4">
      <w:pPr>
        <w:pStyle w:val="ListParagraph"/>
        <w:numPr>
          <w:ilvl w:val="0"/>
          <w:numId w:val="3"/>
        </w:numPr>
        <w:spacing w:before="120"/>
        <w:ind w:right="-1"/>
        <w:rPr>
          <w:szCs w:val="24"/>
          <w:lang w:eastAsia="lv-LV"/>
        </w:rPr>
      </w:pPr>
      <w:r w:rsidRPr="007F6CE9">
        <w:rPr>
          <w:szCs w:val="24"/>
          <w:lang w:eastAsia="lv-LV"/>
        </w:rPr>
        <w:t>grozījumi Čeku loterijas likumā</w:t>
      </w:r>
      <w:r w:rsidRPr="00AD666F">
        <w:rPr>
          <w:szCs w:val="24"/>
          <w:lang w:eastAsia="lv-LV"/>
        </w:rPr>
        <w:t xml:space="preserve">, paredzot </w:t>
      </w:r>
      <w:r w:rsidRPr="00AD666F">
        <w:t>reģistrēt dalībai čeku loterijā arī rēķinus par saņemtas preces vai pakalpojuma samaksu</w:t>
      </w:r>
      <w:r>
        <w:t>;</w:t>
      </w:r>
    </w:p>
    <w:p w:rsidR="00F63798" w:rsidRPr="001A5AD8" w:rsidRDefault="00F63798" w:rsidP="00373FD4">
      <w:pPr>
        <w:pStyle w:val="ListParagraph"/>
        <w:numPr>
          <w:ilvl w:val="0"/>
          <w:numId w:val="3"/>
        </w:numPr>
        <w:spacing w:before="120"/>
        <w:ind w:right="-1"/>
        <w:rPr>
          <w:szCs w:val="24"/>
          <w:lang w:eastAsia="lv-LV"/>
        </w:rPr>
      </w:pPr>
      <w:r w:rsidRPr="001A5AD8">
        <w:rPr>
          <w:szCs w:val="24"/>
        </w:rPr>
        <w:t xml:space="preserve">iedzīvotāju ienākuma nodokļa aprēķināšana gadījumos, ja Valsts ieņēmumu dienesta </w:t>
      </w:r>
      <w:r w:rsidR="00A341D8">
        <w:rPr>
          <w:szCs w:val="24"/>
        </w:rPr>
        <w:t xml:space="preserve">(turpmāk – VID) </w:t>
      </w:r>
      <w:r w:rsidRPr="001A5AD8">
        <w:rPr>
          <w:szCs w:val="24"/>
        </w:rPr>
        <w:t xml:space="preserve">rīcībā ir informācija par nesamaksātu nodokļa apmēru, bet persona arī pēc </w:t>
      </w:r>
      <w:r w:rsidR="00A341D8">
        <w:rPr>
          <w:szCs w:val="24"/>
        </w:rPr>
        <w:t>VID</w:t>
      </w:r>
      <w:r w:rsidRPr="001A5AD8">
        <w:rPr>
          <w:szCs w:val="24"/>
        </w:rPr>
        <w:t xml:space="preserve"> informācijas saņemšanas nesniedz nodokļa deklarāciju</w:t>
      </w:r>
      <w:r w:rsidRPr="001A5AD8">
        <w:rPr>
          <w:noProof/>
          <w:szCs w:val="24"/>
        </w:rPr>
        <w:t>.</w:t>
      </w:r>
    </w:p>
    <w:p w:rsidR="00F63798" w:rsidRPr="00D25896" w:rsidRDefault="00F63798" w:rsidP="00F63798">
      <w:pPr>
        <w:pStyle w:val="cipari"/>
        <w:spacing w:after="0"/>
        <w:ind w:left="0" w:firstLine="709"/>
        <w:rPr>
          <w:rFonts w:eastAsia="Calibri"/>
          <w:szCs w:val="24"/>
          <w:lang w:eastAsia="lv-LV"/>
        </w:rPr>
      </w:pPr>
      <w:r w:rsidRPr="00D25896">
        <w:rPr>
          <w:rFonts w:eastAsia="Calibri"/>
          <w:szCs w:val="24"/>
          <w:lang w:eastAsia="lv-LV"/>
        </w:rPr>
        <w:t xml:space="preserve">Tāpat, lai īstenotu nepieciešamās izmaiņas nodokļu politikas jautājumos, kā arī sakārtotu nodokļu </w:t>
      </w:r>
      <w:r w:rsidRPr="00827BD6">
        <w:rPr>
          <w:lang w:eastAsia="lv-LV"/>
        </w:rPr>
        <w:t>normatīvos aktus</w:t>
      </w:r>
      <w:r w:rsidRPr="00D25896">
        <w:rPr>
          <w:rFonts w:eastAsia="Calibri"/>
          <w:szCs w:val="24"/>
          <w:lang w:eastAsia="lv-LV"/>
        </w:rPr>
        <w:t xml:space="preserve">, </w:t>
      </w:r>
      <w:r>
        <w:rPr>
          <w:rFonts w:eastAsia="Calibri"/>
          <w:szCs w:val="24"/>
          <w:lang w:eastAsia="lv-LV"/>
        </w:rPr>
        <w:t xml:space="preserve">arī iepriekš pieņemti </w:t>
      </w:r>
      <w:r w:rsidRPr="00D25896">
        <w:rPr>
          <w:rFonts w:eastAsia="Calibri"/>
          <w:szCs w:val="24"/>
          <w:lang w:eastAsia="lv-LV"/>
        </w:rPr>
        <w:t>nodokļu pasākumi</w:t>
      </w:r>
      <w:r>
        <w:rPr>
          <w:rFonts w:eastAsia="Calibri"/>
          <w:szCs w:val="24"/>
          <w:lang w:eastAsia="lv-LV"/>
        </w:rPr>
        <w:t>, kas ietekmēs nodokļu ieņēmumus no 2021.</w:t>
      </w:r>
      <w:r w:rsidR="00A341D8">
        <w:rPr>
          <w:rFonts w:eastAsia="Calibri"/>
          <w:szCs w:val="24"/>
          <w:lang w:eastAsia="lv-LV"/>
        </w:rPr>
        <w:t xml:space="preserve"> </w:t>
      </w:r>
      <w:r>
        <w:rPr>
          <w:rFonts w:eastAsia="Calibri"/>
          <w:szCs w:val="24"/>
          <w:lang w:eastAsia="lv-LV"/>
        </w:rPr>
        <w:t>gada</w:t>
      </w:r>
      <w:r w:rsidRPr="00D25896">
        <w:rPr>
          <w:rFonts w:eastAsia="Calibri"/>
          <w:szCs w:val="24"/>
          <w:lang w:eastAsia="lv-LV"/>
        </w:rPr>
        <w:t>:</w:t>
      </w:r>
    </w:p>
    <w:p w:rsidR="00F63798" w:rsidRPr="00D25896" w:rsidRDefault="00F63798" w:rsidP="00373FD4">
      <w:pPr>
        <w:pStyle w:val="ListParagraph"/>
        <w:numPr>
          <w:ilvl w:val="0"/>
          <w:numId w:val="3"/>
        </w:numPr>
        <w:spacing w:before="120"/>
        <w:ind w:right="-1"/>
        <w:rPr>
          <w:szCs w:val="24"/>
          <w:lang w:eastAsia="lv-LV"/>
        </w:rPr>
      </w:pPr>
      <w:r w:rsidRPr="00D25896">
        <w:rPr>
          <w:szCs w:val="24"/>
          <w:lang w:eastAsia="lv-LV"/>
        </w:rPr>
        <w:t>minimālās mēneša darba algas paaugstināšana ar 2021.</w:t>
      </w:r>
      <w:r w:rsidR="00A341D8">
        <w:rPr>
          <w:szCs w:val="24"/>
          <w:lang w:eastAsia="lv-LV"/>
        </w:rPr>
        <w:t xml:space="preserve"> </w:t>
      </w:r>
      <w:r w:rsidRPr="00D25896">
        <w:rPr>
          <w:szCs w:val="24"/>
          <w:lang w:eastAsia="lv-LV"/>
        </w:rPr>
        <w:t>gadu</w:t>
      </w:r>
      <w:r>
        <w:rPr>
          <w:szCs w:val="24"/>
          <w:lang w:eastAsia="lv-LV"/>
        </w:rPr>
        <w:t xml:space="preserve"> no 430 </w:t>
      </w:r>
      <w:proofErr w:type="spellStart"/>
      <w:r w:rsidRPr="0017724C">
        <w:rPr>
          <w:i/>
          <w:szCs w:val="24"/>
          <w:lang w:eastAsia="lv-LV"/>
        </w:rPr>
        <w:t>euro</w:t>
      </w:r>
      <w:proofErr w:type="spellEnd"/>
      <w:r>
        <w:rPr>
          <w:szCs w:val="24"/>
          <w:lang w:eastAsia="lv-LV"/>
        </w:rPr>
        <w:t xml:space="preserve"> uz 500 </w:t>
      </w:r>
      <w:proofErr w:type="spellStart"/>
      <w:r w:rsidRPr="0017724C">
        <w:rPr>
          <w:i/>
          <w:szCs w:val="24"/>
          <w:lang w:eastAsia="lv-LV"/>
        </w:rPr>
        <w:t>euro</w:t>
      </w:r>
      <w:proofErr w:type="spellEnd"/>
      <w:r>
        <w:rPr>
          <w:szCs w:val="24"/>
          <w:lang w:eastAsia="lv-LV"/>
        </w:rPr>
        <w:t xml:space="preserve"> mēnesī</w:t>
      </w:r>
      <w:r w:rsidRPr="00D25896">
        <w:rPr>
          <w:szCs w:val="24"/>
          <w:lang w:eastAsia="lv-LV"/>
        </w:rPr>
        <w:t>;</w:t>
      </w:r>
    </w:p>
    <w:p w:rsidR="00F63798" w:rsidRDefault="00F63798" w:rsidP="00373FD4">
      <w:pPr>
        <w:pStyle w:val="ListParagraph"/>
        <w:numPr>
          <w:ilvl w:val="0"/>
          <w:numId w:val="3"/>
        </w:numPr>
        <w:spacing w:before="120"/>
        <w:ind w:right="-1"/>
        <w:rPr>
          <w:szCs w:val="24"/>
          <w:lang w:eastAsia="lv-LV"/>
        </w:rPr>
      </w:pPr>
      <w:r w:rsidRPr="00D25896">
        <w:rPr>
          <w:szCs w:val="24"/>
        </w:rPr>
        <w:t xml:space="preserve">neapliekamā minimuma pensionāriem </w:t>
      </w:r>
      <w:r w:rsidRPr="00D25896">
        <w:rPr>
          <w:noProof/>
          <w:szCs w:val="24"/>
        </w:rPr>
        <w:t>palielināšana</w:t>
      </w:r>
      <w:r w:rsidRPr="00D25896">
        <w:rPr>
          <w:szCs w:val="24"/>
        </w:rPr>
        <w:t xml:space="preserve"> 2021.</w:t>
      </w:r>
      <w:r w:rsidR="00A341D8">
        <w:rPr>
          <w:szCs w:val="24"/>
        </w:rPr>
        <w:t xml:space="preserve"> </w:t>
      </w:r>
      <w:r w:rsidRPr="00D25896">
        <w:rPr>
          <w:szCs w:val="24"/>
        </w:rPr>
        <w:t>gadā</w:t>
      </w:r>
      <w:r>
        <w:rPr>
          <w:szCs w:val="24"/>
        </w:rPr>
        <w:t xml:space="preserve"> no 300 </w:t>
      </w:r>
      <w:proofErr w:type="spellStart"/>
      <w:r w:rsidRPr="0017724C">
        <w:rPr>
          <w:i/>
          <w:szCs w:val="24"/>
        </w:rPr>
        <w:t>euro</w:t>
      </w:r>
      <w:proofErr w:type="spellEnd"/>
      <w:r>
        <w:rPr>
          <w:szCs w:val="24"/>
        </w:rPr>
        <w:t xml:space="preserve"> uz 330 </w:t>
      </w:r>
      <w:proofErr w:type="spellStart"/>
      <w:r w:rsidRPr="0017724C">
        <w:rPr>
          <w:i/>
          <w:szCs w:val="24"/>
        </w:rPr>
        <w:t>euro</w:t>
      </w:r>
      <w:proofErr w:type="spellEnd"/>
      <w:r>
        <w:rPr>
          <w:szCs w:val="24"/>
        </w:rPr>
        <w:t xml:space="preserve"> mēnesī</w:t>
      </w:r>
      <w:r w:rsidRPr="00D25896">
        <w:rPr>
          <w:szCs w:val="24"/>
        </w:rPr>
        <w:t>;</w:t>
      </w:r>
    </w:p>
    <w:p w:rsidR="00F63798" w:rsidRPr="00827BD6" w:rsidRDefault="00F63798" w:rsidP="00373FD4">
      <w:pPr>
        <w:pStyle w:val="ListParagraph"/>
        <w:numPr>
          <w:ilvl w:val="0"/>
          <w:numId w:val="3"/>
        </w:numPr>
        <w:spacing w:before="120"/>
        <w:ind w:right="-1"/>
        <w:rPr>
          <w:szCs w:val="24"/>
          <w:lang w:eastAsia="lv-LV"/>
        </w:rPr>
      </w:pPr>
      <w:r w:rsidRPr="007F6CE9">
        <w:rPr>
          <w:noProof/>
          <w:szCs w:val="24"/>
        </w:rPr>
        <w:lastRenderedPageBreak/>
        <w:t>pievienotās vērtības nodokļa piemērošanas noteikumu vienkāršošana e-komercijas jomā</w:t>
      </w:r>
      <w:r w:rsidRPr="007F6CE9">
        <w:rPr>
          <w:szCs w:val="24"/>
          <w:lang w:eastAsia="lv-LV"/>
        </w:rPr>
        <w:t>;</w:t>
      </w:r>
    </w:p>
    <w:p w:rsidR="00F63798" w:rsidRDefault="00F63798" w:rsidP="00373FD4">
      <w:pPr>
        <w:pStyle w:val="ListParagraph"/>
        <w:numPr>
          <w:ilvl w:val="0"/>
          <w:numId w:val="3"/>
        </w:numPr>
        <w:spacing w:before="120"/>
        <w:ind w:right="-1"/>
        <w:rPr>
          <w:szCs w:val="24"/>
          <w:lang w:eastAsia="lv-LV"/>
        </w:rPr>
      </w:pPr>
      <w:r>
        <w:rPr>
          <w:szCs w:val="24"/>
          <w:lang w:eastAsia="lv-LV"/>
        </w:rPr>
        <w:t xml:space="preserve">nodokļu atbalsta pasākumi saistībā ar </w:t>
      </w:r>
      <w:r>
        <w:t xml:space="preserve">Covid-19 </w:t>
      </w:r>
      <w:r w:rsidRPr="00CE045C">
        <w:t>infekcijas izplatības seku pārvarēšanu</w:t>
      </w:r>
      <w:r>
        <w:rPr>
          <w:color w:val="FF0000"/>
        </w:rPr>
        <w:t xml:space="preserve"> </w:t>
      </w:r>
      <w:r>
        <w:t xml:space="preserve"> (</w:t>
      </w:r>
      <w:proofErr w:type="spellStart"/>
      <w:r>
        <w:t>termiņpagarinājumu</w:t>
      </w:r>
      <w:proofErr w:type="spellEnd"/>
      <w:r>
        <w:t xml:space="preserve"> uz trim gadiem piešķiršana; </w:t>
      </w:r>
      <w:r w:rsidRPr="007F6CE9">
        <w:rPr>
          <w:noProof/>
          <w:szCs w:val="24"/>
        </w:rPr>
        <w:t>iedzīvotāju ienākuma nodokļa</w:t>
      </w:r>
      <w:r>
        <w:t xml:space="preserve"> obligāto avansa maksājumu atcelšana saimnieciskās darbības veicējiem; apstiprinātā p</w:t>
      </w:r>
      <w:r w:rsidRPr="00EC5FF9">
        <w:t xml:space="preserve">ārmaksātā </w:t>
      </w:r>
      <w:r w:rsidRPr="007F6CE9">
        <w:rPr>
          <w:noProof/>
          <w:szCs w:val="24"/>
        </w:rPr>
        <w:t>pievienotās vērtības nodokļa</w:t>
      </w:r>
      <w:r w:rsidRPr="00EC5FF9">
        <w:t xml:space="preserve"> atmaksa 30 dienu laikā</w:t>
      </w:r>
      <w:r>
        <w:t>)</w:t>
      </w:r>
      <w:r>
        <w:rPr>
          <w:szCs w:val="24"/>
          <w:lang w:eastAsia="lv-LV"/>
        </w:rPr>
        <w:t>.</w:t>
      </w:r>
    </w:p>
    <w:p w:rsidR="00F63798" w:rsidRPr="00AA7726" w:rsidRDefault="00F63798" w:rsidP="00F63798">
      <w:pPr>
        <w:spacing w:before="120"/>
        <w:ind w:right="-1"/>
        <w:rPr>
          <w:szCs w:val="24"/>
          <w:lang w:eastAsia="lv-LV"/>
        </w:rPr>
      </w:pPr>
      <w:r w:rsidRPr="001A5AD8">
        <w:rPr>
          <w:noProof/>
          <w:szCs w:val="24"/>
        </w:rPr>
        <w:t>Sākot ar 2021.</w:t>
      </w:r>
      <w:r w:rsidR="00A341D8">
        <w:rPr>
          <w:noProof/>
          <w:szCs w:val="24"/>
        </w:rPr>
        <w:t xml:space="preserve"> </w:t>
      </w:r>
      <w:r w:rsidRPr="001A5AD8">
        <w:rPr>
          <w:noProof/>
          <w:szCs w:val="24"/>
        </w:rPr>
        <w:t xml:space="preserve">gadu </w:t>
      </w:r>
      <w:r w:rsidRPr="001A5AD8">
        <w:rPr>
          <w:szCs w:val="24"/>
        </w:rPr>
        <w:t>iedzīvotāju ienākuma nodokļa ieņēmumu sadalījums starp valsts budžetu un pašvaldību budžetiem tiek noteikts sekojošā apmērā: pašvaldību budžetam – 75 procenti un valsts budžetam – 25 procenti.</w:t>
      </w:r>
    </w:p>
    <w:p w:rsidR="007870D7" w:rsidRDefault="007870D7" w:rsidP="007870D7">
      <w:pPr>
        <w:pStyle w:val="H2"/>
        <w:spacing w:before="240"/>
      </w:pPr>
      <w:r w:rsidRPr="006E395D">
        <w:t>3.2. Kopbudžeta nodokļu ieņēmumi</w:t>
      </w:r>
      <w:r w:rsidR="00D942CF">
        <w:rPr>
          <w:rStyle w:val="FootnoteReference"/>
        </w:rPr>
        <w:footnoteReference w:id="1"/>
      </w:r>
    </w:p>
    <w:p w:rsidR="00BF2047" w:rsidRPr="00937723" w:rsidRDefault="00BF2047" w:rsidP="00BF2047">
      <w:pPr>
        <w:rPr>
          <w:rFonts w:eastAsia="Calibri"/>
          <w:szCs w:val="28"/>
          <w:lang w:eastAsia="lv-LV"/>
        </w:rPr>
      </w:pPr>
      <w:r w:rsidRPr="00937723">
        <w:rPr>
          <w:rFonts w:eastAsia="Calibri"/>
          <w:szCs w:val="28"/>
          <w:lang w:eastAsia="lv-LV"/>
        </w:rPr>
        <w:t>2020.</w:t>
      </w:r>
      <w:r>
        <w:rPr>
          <w:rFonts w:eastAsia="Calibri"/>
          <w:szCs w:val="28"/>
          <w:lang w:eastAsia="lv-LV"/>
        </w:rPr>
        <w:t xml:space="preserve"> </w:t>
      </w:r>
      <w:r w:rsidRPr="00937723">
        <w:rPr>
          <w:rFonts w:eastAsia="Calibri"/>
          <w:szCs w:val="28"/>
          <w:lang w:eastAsia="lv-LV"/>
        </w:rPr>
        <w:t>gada pirmajā pusgadā kopbudžeta nodokļu ieņēmumi bija 4</w:t>
      </w:r>
      <w:r>
        <w:rPr>
          <w:rFonts w:eastAsia="Calibri"/>
          <w:szCs w:val="28"/>
          <w:lang w:eastAsia="lv-LV"/>
        </w:rPr>
        <w:t> </w:t>
      </w:r>
      <w:r w:rsidRPr="00937723">
        <w:rPr>
          <w:rFonts w:eastAsia="Calibri"/>
          <w:szCs w:val="28"/>
          <w:lang w:eastAsia="lv-LV"/>
        </w:rPr>
        <w:t>171,1</w:t>
      </w:r>
      <w:r>
        <w:rPr>
          <w:rFonts w:eastAsia="Calibri"/>
          <w:szCs w:val="28"/>
          <w:lang w:eastAsia="lv-LV"/>
        </w:rPr>
        <w:t> </w:t>
      </w:r>
      <w:r w:rsidRPr="00937723">
        <w:rPr>
          <w:rFonts w:eastAsia="Calibri"/>
          <w:szCs w:val="28"/>
          <w:lang w:eastAsia="lv-LV"/>
        </w:rPr>
        <w:t>milj.</w:t>
      </w:r>
      <w:r>
        <w:rPr>
          <w:rFonts w:eastAsia="Calibri"/>
          <w:szCs w:val="28"/>
          <w:lang w:eastAsia="lv-LV"/>
        </w:rPr>
        <w:t> </w:t>
      </w:r>
      <w:proofErr w:type="spellStart"/>
      <w:r w:rsidRPr="00BF2047">
        <w:rPr>
          <w:rFonts w:eastAsia="Calibri"/>
          <w:i/>
          <w:szCs w:val="28"/>
          <w:lang w:eastAsia="lv-LV"/>
        </w:rPr>
        <w:t>euro</w:t>
      </w:r>
      <w:proofErr w:type="spellEnd"/>
      <w:r w:rsidRPr="00937723">
        <w:rPr>
          <w:rFonts w:eastAsia="Calibri"/>
          <w:szCs w:val="28"/>
          <w:lang w:eastAsia="lv-LV"/>
        </w:rPr>
        <w:t>, kas salīdzinot ar likumā “Par valsts budžetu 2020.</w:t>
      </w:r>
      <w:r>
        <w:rPr>
          <w:rFonts w:eastAsia="Calibri"/>
          <w:szCs w:val="28"/>
          <w:lang w:eastAsia="lv-LV"/>
        </w:rPr>
        <w:t xml:space="preserve"> </w:t>
      </w:r>
      <w:r w:rsidRPr="00937723">
        <w:rPr>
          <w:rFonts w:eastAsia="Calibri"/>
          <w:szCs w:val="28"/>
          <w:lang w:eastAsia="lv-LV"/>
        </w:rPr>
        <w:t xml:space="preserve">gadam” noteikto plānu, ir par 426,6 milj. </w:t>
      </w:r>
      <w:proofErr w:type="spellStart"/>
      <w:r w:rsidRPr="00BF2047">
        <w:rPr>
          <w:rFonts w:eastAsia="Calibri"/>
          <w:i/>
          <w:szCs w:val="28"/>
          <w:lang w:eastAsia="lv-LV"/>
        </w:rPr>
        <w:t>euro</w:t>
      </w:r>
      <w:proofErr w:type="spellEnd"/>
      <w:r w:rsidRPr="00937723">
        <w:rPr>
          <w:rFonts w:eastAsia="Calibri"/>
          <w:szCs w:val="28"/>
          <w:lang w:eastAsia="lv-LV"/>
        </w:rPr>
        <w:t xml:space="preserve"> jeb 9,3% mazāk. To ietekmēja </w:t>
      </w:r>
      <w:r>
        <w:t xml:space="preserve">Covid-19 </w:t>
      </w:r>
      <w:r w:rsidRPr="00937723">
        <w:rPr>
          <w:rFonts w:eastAsia="Calibri"/>
          <w:szCs w:val="28"/>
          <w:lang w:eastAsia="lv-LV"/>
        </w:rPr>
        <w:t xml:space="preserve">izraisītās </w:t>
      </w:r>
      <w:r>
        <w:rPr>
          <w:rFonts w:eastAsia="Calibri"/>
          <w:szCs w:val="28"/>
          <w:lang w:eastAsia="lv-LV"/>
        </w:rPr>
        <w:t>e</w:t>
      </w:r>
      <w:r w:rsidRPr="00937723">
        <w:rPr>
          <w:rFonts w:eastAsia="Calibri"/>
          <w:szCs w:val="28"/>
          <w:lang w:eastAsia="lv-LV"/>
        </w:rPr>
        <w:t>konomiskās krīzes sekas, kā rezultātā samazinājās ieņēmumi gandrīz visās nodokļu kategorijās. Pozitīva izpilde bija vien iedzīvotāju ienākumam nodoklim, kam pamatā ir būtisk</w:t>
      </w:r>
      <w:r>
        <w:rPr>
          <w:rFonts w:eastAsia="Calibri"/>
          <w:szCs w:val="28"/>
          <w:lang w:eastAsia="lv-LV"/>
        </w:rPr>
        <w:t>a</w:t>
      </w:r>
      <w:r w:rsidRPr="00937723">
        <w:rPr>
          <w:rFonts w:eastAsia="Calibri"/>
          <w:szCs w:val="28"/>
          <w:lang w:eastAsia="lv-LV"/>
        </w:rPr>
        <w:t xml:space="preserve"> plāna </w:t>
      </w:r>
      <w:proofErr w:type="spellStart"/>
      <w:r w:rsidRPr="00937723">
        <w:rPr>
          <w:rFonts w:eastAsia="Calibri"/>
          <w:szCs w:val="28"/>
          <w:lang w:eastAsia="lv-LV"/>
        </w:rPr>
        <w:t>pārpilde</w:t>
      </w:r>
      <w:proofErr w:type="spellEnd"/>
      <w:r w:rsidRPr="00937723">
        <w:rPr>
          <w:rFonts w:eastAsia="Calibri"/>
          <w:szCs w:val="28"/>
          <w:lang w:eastAsia="lv-LV"/>
        </w:rPr>
        <w:t xml:space="preserve"> gada pirmajos divos mēnešos.</w:t>
      </w:r>
    </w:p>
    <w:p w:rsidR="00BF2047" w:rsidRPr="00005C67" w:rsidRDefault="00BF2047" w:rsidP="00BF2047">
      <w:pPr>
        <w:rPr>
          <w:bCs/>
          <w:szCs w:val="24"/>
        </w:rPr>
      </w:pPr>
      <w:r w:rsidRPr="00937723">
        <w:rPr>
          <w:rFonts w:eastAsia="Calibri"/>
          <w:szCs w:val="28"/>
          <w:lang w:eastAsia="lv-LV"/>
        </w:rPr>
        <w:t>Krīzes rezultātā, salīdzinot ar 2019.</w:t>
      </w:r>
      <w:r>
        <w:rPr>
          <w:rFonts w:eastAsia="Calibri"/>
          <w:szCs w:val="28"/>
          <w:lang w:eastAsia="lv-LV"/>
        </w:rPr>
        <w:t xml:space="preserve"> </w:t>
      </w:r>
      <w:r w:rsidRPr="00937723">
        <w:rPr>
          <w:rFonts w:eastAsia="Calibri"/>
          <w:szCs w:val="28"/>
          <w:lang w:eastAsia="lv-LV"/>
        </w:rPr>
        <w:t>gada pirmo pusgadu, kopbudžeta nodokļu ieņēmumi 2020.</w:t>
      </w:r>
      <w:r>
        <w:rPr>
          <w:rFonts w:eastAsia="Calibri"/>
          <w:szCs w:val="28"/>
          <w:lang w:eastAsia="lv-LV"/>
        </w:rPr>
        <w:t xml:space="preserve"> </w:t>
      </w:r>
      <w:r w:rsidRPr="00937723">
        <w:rPr>
          <w:rFonts w:eastAsia="Calibri"/>
          <w:szCs w:val="28"/>
          <w:lang w:eastAsia="lv-LV"/>
        </w:rPr>
        <w:t xml:space="preserve">gada pirmajā pusgadā tika iekasēti par 98,8 milj. </w:t>
      </w:r>
      <w:proofErr w:type="spellStart"/>
      <w:r w:rsidRPr="00BF2047">
        <w:rPr>
          <w:rFonts w:eastAsia="Calibri"/>
          <w:i/>
          <w:szCs w:val="28"/>
          <w:lang w:eastAsia="lv-LV"/>
        </w:rPr>
        <w:t>euro</w:t>
      </w:r>
      <w:proofErr w:type="spellEnd"/>
      <w:r w:rsidRPr="00937723">
        <w:rPr>
          <w:rFonts w:eastAsia="Calibri"/>
          <w:szCs w:val="28"/>
          <w:lang w:eastAsia="lv-LV"/>
        </w:rPr>
        <w:t xml:space="preserve"> jeb 2,3% mazāk.</w:t>
      </w:r>
      <w:r>
        <w:rPr>
          <w:rFonts w:eastAsia="Calibri"/>
          <w:szCs w:val="28"/>
          <w:lang w:eastAsia="lv-LV"/>
        </w:rPr>
        <w:t xml:space="preserve"> </w:t>
      </w:r>
      <w:r w:rsidRPr="009A0ABC">
        <w:t xml:space="preserve">Ņemot vērā </w:t>
      </w:r>
      <w:r w:rsidRPr="009B710C">
        <w:t>makroekonomisko rādītāju prognozes</w:t>
      </w:r>
      <w:r>
        <w:t xml:space="preserve"> un pirmā pusgada izpildi, 2020. gada</w:t>
      </w:r>
      <w:r>
        <w:rPr>
          <w:rFonts w:eastAsia="Calibri"/>
          <w:szCs w:val="28"/>
          <w:lang w:eastAsia="lv-LV"/>
        </w:rPr>
        <w:t xml:space="preserve"> kopbudžeta nodokļu ieņēmumu</w:t>
      </w:r>
      <w:r w:rsidRPr="009A0ABC">
        <w:t xml:space="preserve"> prognoze tika samazināta par </w:t>
      </w:r>
      <w:r>
        <w:t>1 016,2</w:t>
      </w:r>
      <w:r w:rsidRPr="009A0ABC">
        <w:t> milj. </w:t>
      </w:r>
      <w:proofErr w:type="spellStart"/>
      <w:r w:rsidRPr="009A0ABC">
        <w:rPr>
          <w:i/>
        </w:rPr>
        <w:t>euro</w:t>
      </w:r>
      <w:proofErr w:type="spellEnd"/>
      <w:r w:rsidRPr="009A0ABC">
        <w:t xml:space="preserve"> jeb par </w:t>
      </w:r>
      <w:r>
        <w:t>10,5</w:t>
      </w:r>
      <w:r w:rsidRPr="009A0ABC">
        <w:t>%, salīdzinot ar plānu.</w:t>
      </w:r>
    </w:p>
    <w:p w:rsidR="00BF2047" w:rsidRPr="008E4D84" w:rsidRDefault="00930C1A" w:rsidP="00BF2047">
      <w:r w:rsidRPr="00930C1A">
        <w:t xml:space="preserve">Saskaņā ar likumprojektu „Par valsts budžetu 2021.gadam” kopbudžeta nodokļu ieņēmumi tiek plānoti 9 340,5 milj. </w:t>
      </w:r>
      <w:proofErr w:type="spellStart"/>
      <w:r w:rsidRPr="00930C1A">
        <w:rPr>
          <w:i/>
        </w:rPr>
        <w:t>euro</w:t>
      </w:r>
      <w:proofErr w:type="spellEnd"/>
      <w:r w:rsidRPr="00930C1A">
        <w:t xml:space="preserve"> apmērā, kas ir par 674,7 milj. </w:t>
      </w:r>
      <w:proofErr w:type="spellStart"/>
      <w:r w:rsidRPr="00930C1A">
        <w:rPr>
          <w:i/>
        </w:rPr>
        <w:t>euro</w:t>
      </w:r>
      <w:proofErr w:type="spellEnd"/>
      <w:r w:rsidRPr="00930C1A">
        <w:t xml:space="preserve"> jeb 7,8% vairāk kā 2020.gadam prognozētie nodokļu ieņēmumi.</w:t>
      </w:r>
    </w:p>
    <w:p w:rsidR="00BF2047" w:rsidRPr="008E4D84" w:rsidRDefault="00BF2047" w:rsidP="00BF2047">
      <w:r w:rsidRPr="009B710C">
        <w:t>Ieņēmumu plāns izstrādāts, par pamatu ņemot 2020.</w:t>
      </w:r>
      <w:r>
        <w:t xml:space="preserve"> </w:t>
      </w:r>
      <w:r w:rsidRPr="009B710C">
        <w:t>gada 1.</w:t>
      </w:r>
      <w:r>
        <w:t xml:space="preserve"> </w:t>
      </w:r>
      <w:r w:rsidRPr="009B710C">
        <w:t xml:space="preserve">pusgada nodokļu ieņēmumu izpildes rezultātus, kā arī šajā ziņojumā aprakstītās makroekonomisko rādītāju prognozes. </w:t>
      </w:r>
      <w:r w:rsidRPr="008E4D84">
        <w:t>Papildus ieņēmumu plāna izstrādē tika ņemti vērā arī 3.1. sadaļā minētie pasākumi.</w:t>
      </w:r>
    </w:p>
    <w:p w:rsidR="00BF2047" w:rsidRPr="008E4D84" w:rsidRDefault="00BF2047" w:rsidP="00BF2047">
      <w:pPr>
        <w:pStyle w:val="T"/>
        <w:spacing w:before="240"/>
        <w:rPr>
          <w:szCs w:val="24"/>
        </w:rPr>
      </w:pPr>
      <w:r w:rsidRPr="008E4D84">
        <w:t>3</w:t>
      </w:r>
      <w:r>
        <w:t>.1. tabula</w:t>
      </w:r>
      <w:r w:rsidRPr="008E4D84">
        <w:t xml:space="preserve"> </w:t>
      </w:r>
      <w:r w:rsidRPr="00BF2047">
        <w:rPr>
          <w:i w:val="0"/>
        </w:rPr>
        <w:t>Kopbudžeta nodokļu ieņēmumi, milj.</w:t>
      </w:r>
      <w:r w:rsidRPr="008E4D84">
        <w:t xml:space="preserve"> </w:t>
      </w:r>
      <w:proofErr w:type="spellStart"/>
      <w:r w:rsidRPr="008E4D84">
        <w:rPr>
          <w:szCs w:val="24"/>
        </w:rPr>
        <w:t>euro</w:t>
      </w:r>
      <w:proofErr w:type="spellEnd"/>
    </w:p>
    <w:tbl>
      <w:tblPr>
        <w:tblW w:w="9067" w:type="dxa"/>
        <w:tblLook w:val="04A0" w:firstRow="1" w:lastRow="0" w:firstColumn="1" w:lastColumn="0" w:noHBand="0" w:noVBand="1"/>
      </w:tblPr>
      <w:tblGrid>
        <w:gridCol w:w="1838"/>
        <w:gridCol w:w="985"/>
        <w:gridCol w:w="784"/>
        <w:gridCol w:w="984"/>
        <w:gridCol w:w="809"/>
        <w:gridCol w:w="985"/>
        <w:gridCol w:w="830"/>
        <w:gridCol w:w="984"/>
        <w:gridCol w:w="868"/>
      </w:tblGrid>
      <w:tr w:rsidR="00BF2047" w:rsidRPr="00BF2047" w:rsidTr="000B4FAC">
        <w:trPr>
          <w:trHeight w:val="255"/>
        </w:trPr>
        <w:tc>
          <w:tcPr>
            <w:tcW w:w="18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center"/>
              <w:rPr>
                <w:b/>
                <w:bCs/>
                <w:sz w:val="18"/>
                <w:szCs w:val="18"/>
                <w:lang w:eastAsia="lv-LV"/>
              </w:rPr>
            </w:pPr>
            <w:r w:rsidRPr="00BF2047">
              <w:rPr>
                <w:b/>
                <w:bCs/>
                <w:sz w:val="18"/>
                <w:szCs w:val="18"/>
                <w:lang w:eastAsia="lv-LV"/>
              </w:rPr>
              <w:t> </w:t>
            </w:r>
          </w:p>
        </w:tc>
        <w:tc>
          <w:tcPr>
            <w:tcW w:w="176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center"/>
              <w:rPr>
                <w:b/>
                <w:bCs/>
                <w:sz w:val="18"/>
                <w:szCs w:val="18"/>
                <w:lang w:eastAsia="lv-LV"/>
              </w:rPr>
            </w:pPr>
            <w:r w:rsidRPr="00BF2047">
              <w:rPr>
                <w:b/>
                <w:bCs/>
                <w:sz w:val="18"/>
                <w:szCs w:val="18"/>
                <w:lang w:eastAsia="lv-LV"/>
              </w:rPr>
              <w:t>2018</w:t>
            </w:r>
          </w:p>
        </w:tc>
        <w:tc>
          <w:tcPr>
            <w:tcW w:w="179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center"/>
              <w:rPr>
                <w:b/>
                <w:bCs/>
                <w:sz w:val="18"/>
                <w:szCs w:val="18"/>
                <w:lang w:eastAsia="lv-LV"/>
              </w:rPr>
            </w:pPr>
            <w:r w:rsidRPr="00BF2047">
              <w:rPr>
                <w:b/>
                <w:bCs/>
                <w:sz w:val="18"/>
                <w:szCs w:val="18"/>
                <w:lang w:eastAsia="lv-LV"/>
              </w:rPr>
              <w:t>2019</w:t>
            </w:r>
          </w:p>
        </w:tc>
        <w:tc>
          <w:tcPr>
            <w:tcW w:w="181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center"/>
              <w:rPr>
                <w:b/>
                <w:bCs/>
                <w:sz w:val="18"/>
                <w:szCs w:val="18"/>
                <w:lang w:eastAsia="lv-LV"/>
              </w:rPr>
            </w:pPr>
            <w:r w:rsidRPr="00BF2047">
              <w:rPr>
                <w:b/>
                <w:bCs/>
                <w:sz w:val="18"/>
                <w:szCs w:val="18"/>
                <w:lang w:eastAsia="lv-LV"/>
              </w:rPr>
              <w:t>2020</w:t>
            </w:r>
          </w:p>
        </w:tc>
        <w:tc>
          <w:tcPr>
            <w:tcW w:w="185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center"/>
              <w:rPr>
                <w:b/>
                <w:bCs/>
                <w:sz w:val="18"/>
                <w:szCs w:val="18"/>
                <w:lang w:eastAsia="lv-LV"/>
              </w:rPr>
            </w:pPr>
            <w:r w:rsidRPr="00BF2047">
              <w:rPr>
                <w:b/>
                <w:bCs/>
                <w:sz w:val="18"/>
                <w:szCs w:val="18"/>
                <w:lang w:eastAsia="lv-LV"/>
              </w:rPr>
              <w:t>2021</w:t>
            </w:r>
          </w:p>
        </w:tc>
      </w:tr>
      <w:tr w:rsidR="00BF2047" w:rsidRPr="00BF2047" w:rsidTr="000B4FAC">
        <w:trPr>
          <w:trHeight w:val="270"/>
        </w:trPr>
        <w:tc>
          <w:tcPr>
            <w:tcW w:w="18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left"/>
              <w:rPr>
                <w:b/>
                <w:bCs/>
                <w:sz w:val="18"/>
                <w:szCs w:val="18"/>
                <w:lang w:eastAsia="lv-LV"/>
              </w:rPr>
            </w:pPr>
          </w:p>
        </w:tc>
        <w:tc>
          <w:tcPr>
            <w:tcW w:w="985" w:type="dxa"/>
            <w:tcBorders>
              <w:top w:val="nil"/>
              <w:left w:val="nil"/>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center"/>
              <w:rPr>
                <w:b/>
                <w:bCs/>
                <w:sz w:val="18"/>
                <w:szCs w:val="18"/>
                <w:lang w:eastAsia="lv-LV"/>
              </w:rPr>
            </w:pPr>
            <w:proofErr w:type="spellStart"/>
            <w:r w:rsidRPr="00BF2047">
              <w:rPr>
                <w:b/>
                <w:bCs/>
                <w:sz w:val="18"/>
                <w:szCs w:val="18"/>
                <w:lang w:eastAsia="lv-LV"/>
              </w:rPr>
              <w:t>milj.</w:t>
            </w:r>
            <w:r w:rsidRPr="00BF2047">
              <w:rPr>
                <w:b/>
                <w:bCs/>
                <w:i/>
                <w:iCs/>
                <w:sz w:val="18"/>
                <w:szCs w:val="18"/>
                <w:lang w:eastAsia="lv-LV"/>
              </w:rPr>
              <w:t>euro</w:t>
            </w:r>
            <w:proofErr w:type="spellEnd"/>
          </w:p>
        </w:tc>
        <w:tc>
          <w:tcPr>
            <w:tcW w:w="784" w:type="dxa"/>
            <w:tcBorders>
              <w:top w:val="nil"/>
              <w:left w:val="nil"/>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center"/>
              <w:rPr>
                <w:b/>
                <w:bCs/>
                <w:sz w:val="18"/>
                <w:szCs w:val="18"/>
                <w:lang w:eastAsia="lv-LV"/>
              </w:rPr>
            </w:pPr>
            <w:r w:rsidRPr="00BF2047">
              <w:rPr>
                <w:b/>
                <w:bCs/>
                <w:sz w:val="18"/>
                <w:szCs w:val="18"/>
                <w:lang w:eastAsia="lv-LV"/>
              </w:rPr>
              <w:t>% no IKP</w:t>
            </w:r>
          </w:p>
        </w:tc>
        <w:tc>
          <w:tcPr>
            <w:tcW w:w="984" w:type="dxa"/>
            <w:tcBorders>
              <w:top w:val="nil"/>
              <w:left w:val="nil"/>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center"/>
              <w:rPr>
                <w:b/>
                <w:bCs/>
                <w:sz w:val="18"/>
                <w:szCs w:val="18"/>
                <w:lang w:eastAsia="lv-LV"/>
              </w:rPr>
            </w:pPr>
            <w:proofErr w:type="spellStart"/>
            <w:r w:rsidRPr="00BF2047">
              <w:rPr>
                <w:b/>
                <w:bCs/>
                <w:sz w:val="18"/>
                <w:szCs w:val="18"/>
                <w:lang w:eastAsia="lv-LV"/>
              </w:rPr>
              <w:t>milj.</w:t>
            </w:r>
            <w:r w:rsidRPr="00BF2047">
              <w:rPr>
                <w:b/>
                <w:bCs/>
                <w:i/>
                <w:iCs/>
                <w:sz w:val="18"/>
                <w:szCs w:val="18"/>
                <w:lang w:eastAsia="lv-LV"/>
              </w:rPr>
              <w:t>euro</w:t>
            </w:r>
            <w:proofErr w:type="spellEnd"/>
          </w:p>
        </w:tc>
        <w:tc>
          <w:tcPr>
            <w:tcW w:w="809" w:type="dxa"/>
            <w:tcBorders>
              <w:top w:val="nil"/>
              <w:left w:val="nil"/>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center"/>
              <w:rPr>
                <w:b/>
                <w:bCs/>
                <w:sz w:val="18"/>
                <w:szCs w:val="18"/>
                <w:lang w:eastAsia="lv-LV"/>
              </w:rPr>
            </w:pPr>
            <w:r w:rsidRPr="00BF2047">
              <w:rPr>
                <w:b/>
                <w:bCs/>
                <w:sz w:val="18"/>
                <w:szCs w:val="18"/>
                <w:lang w:eastAsia="lv-LV"/>
              </w:rPr>
              <w:t>% no IKP</w:t>
            </w:r>
          </w:p>
        </w:tc>
        <w:tc>
          <w:tcPr>
            <w:tcW w:w="985" w:type="dxa"/>
            <w:tcBorders>
              <w:top w:val="nil"/>
              <w:left w:val="nil"/>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center"/>
              <w:rPr>
                <w:b/>
                <w:bCs/>
                <w:sz w:val="18"/>
                <w:szCs w:val="18"/>
                <w:lang w:eastAsia="lv-LV"/>
              </w:rPr>
            </w:pPr>
            <w:proofErr w:type="spellStart"/>
            <w:r w:rsidRPr="00BF2047">
              <w:rPr>
                <w:b/>
                <w:bCs/>
                <w:sz w:val="18"/>
                <w:szCs w:val="18"/>
                <w:lang w:eastAsia="lv-LV"/>
              </w:rPr>
              <w:t>milj.</w:t>
            </w:r>
            <w:r w:rsidRPr="00BF2047">
              <w:rPr>
                <w:b/>
                <w:bCs/>
                <w:i/>
                <w:iCs/>
                <w:sz w:val="18"/>
                <w:szCs w:val="18"/>
                <w:lang w:eastAsia="lv-LV"/>
              </w:rPr>
              <w:t>euro</w:t>
            </w:r>
            <w:proofErr w:type="spellEnd"/>
          </w:p>
        </w:tc>
        <w:tc>
          <w:tcPr>
            <w:tcW w:w="830" w:type="dxa"/>
            <w:tcBorders>
              <w:top w:val="nil"/>
              <w:left w:val="nil"/>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center"/>
              <w:rPr>
                <w:b/>
                <w:bCs/>
                <w:sz w:val="18"/>
                <w:szCs w:val="18"/>
                <w:lang w:eastAsia="lv-LV"/>
              </w:rPr>
            </w:pPr>
            <w:r w:rsidRPr="00BF2047">
              <w:rPr>
                <w:b/>
                <w:bCs/>
                <w:sz w:val="18"/>
                <w:szCs w:val="18"/>
                <w:lang w:eastAsia="lv-LV"/>
              </w:rPr>
              <w:t>% no IKP</w:t>
            </w:r>
          </w:p>
        </w:tc>
        <w:tc>
          <w:tcPr>
            <w:tcW w:w="984" w:type="dxa"/>
            <w:tcBorders>
              <w:top w:val="nil"/>
              <w:left w:val="nil"/>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center"/>
              <w:rPr>
                <w:b/>
                <w:bCs/>
                <w:sz w:val="18"/>
                <w:szCs w:val="18"/>
                <w:lang w:eastAsia="lv-LV"/>
              </w:rPr>
            </w:pPr>
            <w:proofErr w:type="spellStart"/>
            <w:r w:rsidRPr="00BF2047">
              <w:rPr>
                <w:b/>
                <w:bCs/>
                <w:sz w:val="18"/>
                <w:szCs w:val="18"/>
                <w:lang w:eastAsia="lv-LV"/>
              </w:rPr>
              <w:t>milj.</w:t>
            </w:r>
            <w:r w:rsidRPr="00BF2047">
              <w:rPr>
                <w:b/>
                <w:bCs/>
                <w:i/>
                <w:iCs/>
                <w:sz w:val="18"/>
                <w:szCs w:val="18"/>
                <w:lang w:eastAsia="lv-LV"/>
              </w:rPr>
              <w:t>euro</w:t>
            </w:r>
            <w:proofErr w:type="spellEnd"/>
          </w:p>
        </w:tc>
        <w:tc>
          <w:tcPr>
            <w:tcW w:w="868" w:type="dxa"/>
            <w:tcBorders>
              <w:top w:val="nil"/>
              <w:left w:val="nil"/>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center"/>
              <w:rPr>
                <w:b/>
                <w:bCs/>
                <w:sz w:val="18"/>
                <w:szCs w:val="18"/>
                <w:lang w:eastAsia="lv-LV"/>
              </w:rPr>
            </w:pPr>
            <w:r w:rsidRPr="00BF2047">
              <w:rPr>
                <w:b/>
                <w:bCs/>
                <w:sz w:val="18"/>
                <w:szCs w:val="18"/>
                <w:lang w:eastAsia="lv-LV"/>
              </w:rPr>
              <w:t>% no IKP</w:t>
            </w:r>
          </w:p>
        </w:tc>
      </w:tr>
      <w:tr w:rsidR="00BF2047" w:rsidRPr="00BF2047" w:rsidTr="000B4FAC">
        <w:trPr>
          <w:trHeight w:val="285"/>
        </w:trPr>
        <w:tc>
          <w:tcPr>
            <w:tcW w:w="18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left"/>
              <w:rPr>
                <w:b/>
                <w:bCs/>
                <w:sz w:val="18"/>
                <w:szCs w:val="18"/>
                <w:lang w:eastAsia="lv-LV"/>
              </w:rPr>
            </w:pPr>
          </w:p>
        </w:tc>
        <w:tc>
          <w:tcPr>
            <w:tcW w:w="356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center"/>
              <w:rPr>
                <w:sz w:val="18"/>
                <w:szCs w:val="18"/>
                <w:lang w:eastAsia="lv-LV"/>
              </w:rPr>
            </w:pPr>
            <w:r w:rsidRPr="00BF2047">
              <w:rPr>
                <w:sz w:val="18"/>
                <w:szCs w:val="18"/>
                <w:lang w:eastAsia="lv-LV"/>
              </w:rPr>
              <w:t>fakts</w:t>
            </w:r>
          </w:p>
        </w:tc>
        <w:tc>
          <w:tcPr>
            <w:tcW w:w="181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center"/>
              <w:rPr>
                <w:sz w:val="18"/>
                <w:szCs w:val="18"/>
                <w:lang w:eastAsia="lv-LV"/>
              </w:rPr>
            </w:pPr>
            <w:r w:rsidRPr="00BF2047">
              <w:rPr>
                <w:sz w:val="18"/>
                <w:szCs w:val="18"/>
                <w:lang w:eastAsia="lv-LV"/>
              </w:rPr>
              <w:t>prognoze</w:t>
            </w:r>
          </w:p>
        </w:tc>
        <w:tc>
          <w:tcPr>
            <w:tcW w:w="185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2047" w:rsidRPr="00BF2047" w:rsidRDefault="00BF2047" w:rsidP="00421DF3">
            <w:pPr>
              <w:spacing w:after="0"/>
              <w:ind w:firstLine="0"/>
              <w:jc w:val="center"/>
              <w:rPr>
                <w:sz w:val="18"/>
                <w:szCs w:val="18"/>
                <w:lang w:eastAsia="lv-LV"/>
              </w:rPr>
            </w:pPr>
            <w:r w:rsidRPr="00BF2047">
              <w:rPr>
                <w:sz w:val="18"/>
                <w:szCs w:val="18"/>
                <w:lang w:eastAsia="lv-LV"/>
              </w:rPr>
              <w:t>plāns****</w:t>
            </w:r>
          </w:p>
        </w:tc>
      </w:tr>
      <w:tr w:rsidR="000B4FAC" w:rsidRPr="00BF2047" w:rsidTr="000B4FAC">
        <w:trPr>
          <w:trHeight w:val="40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B4FAC" w:rsidRPr="00BF2047" w:rsidRDefault="000B4FAC" w:rsidP="000B4FAC">
            <w:pPr>
              <w:spacing w:after="0"/>
              <w:ind w:firstLine="0"/>
              <w:jc w:val="left"/>
              <w:rPr>
                <w:b/>
                <w:bCs/>
                <w:sz w:val="18"/>
                <w:szCs w:val="18"/>
                <w:lang w:eastAsia="lv-LV"/>
              </w:rPr>
            </w:pPr>
            <w:r w:rsidRPr="00BF2047">
              <w:rPr>
                <w:b/>
                <w:bCs/>
                <w:sz w:val="18"/>
                <w:szCs w:val="18"/>
                <w:lang w:eastAsia="lv-LV"/>
              </w:rPr>
              <w:t>Nodokļu ieņēmumi</w:t>
            </w:r>
            <w:r w:rsidRPr="00BF2047">
              <w:rPr>
                <w:sz w:val="18"/>
                <w:szCs w:val="18"/>
                <w:lang w:eastAsia="lv-LV"/>
              </w:rPr>
              <w:t>, t. sk.:</w:t>
            </w:r>
          </w:p>
        </w:tc>
        <w:tc>
          <w:tcPr>
            <w:tcW w:w="985"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b/>
                <w:sz w:val="18"/>
                <w:szCs w:val="18"/>
              </w:rPr>
            </w:pPr>
            <w:r w:rsidRPr="00BF2047">
              <w:rPr>
                <w:b/>
                <w:sz w:val="18"/>
                <w:szCs w:val="18"/>
              </w:rPr>
              <w:t>8 657,7</w:t>
            </w:r>
          </w:p>
        </w:tc>
        <w:tc>
          <w:tcPr>
            <w:tcW w:w="784"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b/>
                <w:sz w:val="18"/>
                <w:szCs w:val="18"/>
              </w:rPr>
            </w:pPr>
            <w:r w:rsidRPr="00BF2047">
              <w:rPr>
                <w:b/>
                <w:sz w:val="18"/>
                <w:szCs w:val="18"/>
              </w:rPr>
              <w:t>29,8%</w:t>
            </w:r>
          </w:p>
        </w:tc>
        <w:tc>
          <w:tcPr>
            <w:tcW w:w="984"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b/>
                <w:sz w:val="18"/>
                <w:szCs w:val="18"/>
              </w:rPr>
            </w:pPr>
            <w:r w:rsidRPr="00BF2047">
              <w:rPr>
                <w:b/>
                <w:sz w:val="18"/>
                <w:szCs w:val="18"/>
              </w:rPr>
              <w:t>9 057,3</w:t>
            </w:r>
          </w:p>
        </w:tc>
        <w:tc>
          <w:tcPr>
            <w:tcW w:w="809"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b/>
                <w:sz w:val="18"/>
                <w:szCs w:val="18"/>
              </w:rPr>
            </w:pPr>
            <w:r w:rsidRPr="00BF2047">
              <w:rPr>
                <w:b/>
                <w:sz w:val="18"/>
                <w:szCs w:val="18"/>
              </w:rPr>
              <w:t>29,7%</w:t>
            </w:r>
          </w:p>
        </w:tc>
        <w:tc>
          <w:tcPr>
            <w:tcW w:w="985"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b/>
                <w:sz w:val="18"/>
                <w:szCs w:val="18"/>
              </w:rPr>
            </w:pPr>
            <w:r w:rsidRPr="00BF2047">
              <w:rPr>
                <w:b/>
                <w:sz w:val="18"/>
                <w:szCs w:val="18"/>
              </w:rPr>
              <w:t>8 665,7</w:t>
            </w:r>
          </w:p>
        </w:tc>
        <w:tc>
          <w:tcPr>
            <w:tcW w:w="830"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b/>
                <w:sz w:val="18"/>
                <w:szCs w:val="18"/>
              </w:rPr>
            </w:pPr>
            <w:r w:rsidRPr="00BF2047">
              <w:rPr>
                <w:b/>
                <w:sz w:val="18"/>
                <w:szCs w:val="18"/>
              </w:rPr>
              <w:t>30,7%</w:t>
            </w:r>
          </w:p>
        </w:tc>
        <w:tc>
          <w:tcPr>
            <w:tcW w:w="984" w:type="dxa"/>
            <w:tcBorders>
              <w:top w:val="nil"/>
              <w:left w:val="nil"/>
              <w:bottom w:val="single" w:sz="4" w:space="0" w:color="auto"/>
              <w:right w:val="single" w:sz="4" w:space="0" w:color="auto"/>
            </w:tcBorders>
            <w:shd w:val="clear" w:color="auto" w:fill="auto"/>
            <w:vAlign w:val="center"/>
            <w:hideMark/>
          </w:tcPr>
          <w:p w:rsidR="000B4FAC" w:rsidRPr="000B4FAC" w:rsidRDefault="000B4FAC" w:rsidP="000B4FAC">
            <w:pPr>
              <w:ind w:firstLine="0"/>
              <w:jc w:val="center"/>
              <w:rPr>
                <w:b/>
                <w:sz w:val="18"/>
              </w:rPr>
            </w:pPr>
            <w:r w:rsidRPr="000B4FAC">
              <w:rPr>
                <w:b/>
                <w:sz w:val="18"/>
              </w:rPr>
              <w:t>9 340,5</w:t>
            </w:r>
          </w:p>
        </w:tc>
        <w:tc>
          <w:tcPr>
            <w:tcW w:w="868" w:type="dxa"/>
            <w:tcBorders>
              <w:top w:val="nil"/>
              <w:left w:val="nil"/>
              <w:bottom w:val="single" w:sz="4" w:space="0" w:color="auto"/>
              <w:right w:val="single" w:sz="4" w:space="0" w:color="auto"/>
            </w:tcBorders>
            <w:shd w:val="clear" w:color="auto" w:fill="auto"/>
            <w:vAlign w:val="center"/>
            <w:hideMark/>
          </w:tcPr>
          <w:p w:rsidR="000B4FAC" w:rsidRPr="000B4FAC" w:rsidRDefault="000B4FAC" w:rsidP="000B4FAC">
            <w:pPr>
              <w:ind w:firstLine="156"/>
              <w:jc w:val="center"/>
              <w:rPr>
                <w:b/>
                <w:sz w:val="18"/>
              </w:rPr>
            </w:pPr>
            <w:r w:rsidRPr="000B4FAC">
              <w:rPr>
                <w:b/>
                <w:sz w:val="18"/>
              </w:rPr>
              <w:t>31,1%</w:t>
            </w:r>
          </w:p>
        </w:tc>
      </w:tr>
      <w:tr w:rsidR="000B4FAC" w:rsidRPr="00BF2047" w:rsidTr="000B4FAC">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B4FAC" w:rsidRPr="00BF2047" w:rsidRDefault="000B4FAC" w:rsidP="000B4FAC">
            <w:pPr>
              <w:spacing w:after="0"/>
              <w:ind w:firstLine="0"/>
              <w:jc w:val="left"/>
              <w:rPr>
                <w:sz w:val="18"/>
                <w:szCs w:val="18"/>
                <w:lang w:eastAsia="lv-LV"/>
              </w:rPr>
            </w:pPr>
            <w:r w:rsidRPr="00BF2047">
              <w:rPr>
                <w:sz w:val="18"/>
                <w:szCs w:val="18"/>
                <w:lang w:eastAsia="lv-LV"/>
              </w:rPr>
              <w:t>Tiešie nodokļi*</w:t>
            </w:r>
          </w:p>
        </w:tc>
        <w:tc>
          <w:tcPr>
            <w:tcW w:w="985"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sz w:val="18"/>
                <w:szCs w:val="18"/>
              </w:rPr>
            </w:pPr>
            <w:r w:rsidRPr="00BF2047">
              <w:rPr>
                <w:sz w:val="18"/>
                <w:szCs w:val="18"/>
              </w:rPr>
              <w:t>4 918,2</w:t>
            </w:r>
          </w:p>
        </w:tc>
        <w:tc>
          <w:tcPr>
            <w:tcW w:w="784"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sz w:val="18"/>
                <w:szCs w:val="18"/>
              </w:rPr>
            </w:pPr>
            <w:r w:rsidRPr="00BF2047">
              <w:rPr>
                <w:sz w:val="18"/>
                <w:szCs w:val="18"/>
              </w:rPr>
              <w:t>16,9%</w:t>
            </w:r>
          </w:p>
        </w:tc>
        <w:tc>
          <w:tcPr>
            <w:tcW w:w="984"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sz w:val="18"/>
                <w:szCs w:val="18"/>
              </w:rPr>
            </w:pPr>
            <w:r w:rsidRPr="00BF2047">
              <w:rPr>
                <w:sz w:val="18"/>
                <w:szCs w:val="18"/>
              </w:rPr>
              <w:t>5 096,5</w:t>
            </w:r>
          </w:p>
        </w:tc>
        <w:tc>
          <w:tcPr>
            <w:tcW w:w="809"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sz w:val="18"/>
                <w:szCs w:val="18"/>
              </w:rPr>
            </w:pPr>
            <w:r w:rsidRPr="00BF2047">
              <w:rPr>
                <w:sz w:val="18"/>
                <w:szCs w:val="18"/>
              </w:rPr>
              <w:t>16,7%</w:t>
            </w:r>
          </w:p>
        </w:tc>
        <w:tc>
          <w:tcPr>
            <w:tcW w:w="985"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sz w:val="18"/>
                <w:szCs w:val="18"/>
              </w:rPr>
            </w:pPr>
            <w:r w:rsidRPr="00BF2047">
              <w:rPr>
                <w:sz w:val="18"/>
                <w:szCs w:val="18"/>
              </w:rPr>
              <w:t>4 877,4</w:t>
            </w:r>
          </w:p>
        </w:tc>
        <w:tc>
          <w:tcPr>
            <w:tcW w:w="830"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sz w:val="18"/>
                <w:szCs w:val="18"/>
              </w:rPr>
            </w:pPr>
            <w:r w:rsidRPr="00BF2047">
              <w:rPr>
                <w:sz w:val="18"/>
                <w:szCs w:val="18"/>
              </w:rPr>
              <w:t>17,3%</w:t>
            </w:r>
          </w:p>
        </w:tc>
        <w:tc>
          <w:tcPr>
            <w:tcW w:w="984" w:type="dxa"/>
            <w:tcBorders>
              <w:top w:val="nil"/>
              <w:left w:val="nil"/>
              <w:bottom w:val="single" w:sz="4" w:space="0" w:color="auto"/>
              <w:right w:val="single" w:sz="4" w:space="0" w:color="auto"/>
            </w:tcBorders>
            <w:shd w:val="clear" w:color="auto" w:fill="auto"/>
            <w:vAlign w:val="center"/>
            <w:hideMark/>
          </w:tcPr>
          <w:p w:rsidR="000B4FAC" w:rsidRPr="000B4FAC" w:rsidRDefault="000B4FAC" w:rsidP="000B4FAC">
            <w:pPr>
              <w:ind w:firstLine="0"/>
              <w:jc w:val="center"/>
              <w:rPr>
                <w:sz w:val="18"/>
              </w:rPr>
            </w:pPr>
            <w:r w:rsidRPr="000B4FAC">
              <w:rPr>
                <w:sz w:val="18"/>
              </w:rPr>
              <w:t>5 210,7</w:t>
            </w:r>
          </w:p>
        </w:tc>
        <w:tc>
          <w:tcPr>
            <w:tcW w:w="868" w:type="dxa"/>
            <w:tcBorders>
              <w:top w:val="nil"/>
              <w:left w:val="nil"/>
              <w:bottom w:val="single" w:sz="4" w:space="0" w:color="auto"/>
              <w:right w:val="single" w:sz="4" w:space="0" w:color="auto"/>
            </w:tcBorders>
            <w:shd w:val="clear" w:color="auto" w:fill="auto"/>
            <w:vAlign w:val="center"/>
            <w:hideMark/>
          </w:tcPr>
          <w:p w:rsidR="000B4FAC" w:rsidRPr="000B4FAC" w:rsidRDefault="000B4FAC" w:rsidP="000B4FAC">
            <w:pPr>
              <w:ind w:firstLine="156"/>
              <w:jc w:val="center"/>
              <w:rPr>
                <w:sz w:val="18"/>
              </w:rPr>
            </w:pPr>
            <w:r w:rsidRPr="000B4FAC">
              <w:rPr>
                <w:sz w:val="18"/>
              </w:rPr>
              <w:t>17,3%</w:t>
            </w:r>
          </w:p>
        </w:tc>
      </w:tr>
      <w:tr w:rsidR="000B4FAC" w:rsidRPr="00BF2047" w:rsidTr="000B4FAC">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B4FAC" w:rsidRPr="00BF2047" w:rsidRDefault="000B4FAC" w:rsidP="000B4FAC">
            <w:pPr>
              <w:spacing w:after="0"/>
              <w:ind w:firstLine="0"/>
              <w:jc w:val="left"/>
              <w:rPr>
                <w:sz w:val="18"/>
                <w:szCs w:val="18"/>
                <w:lang w:eastAsia="lv-LV"/>
              </w:rPr>
            </w:pPr>
            <w:r w:rsidRPr="00BF2047">
              <w:rPr>
                <w:sz w:val="18"/>
                <w:szCs w:val="18"/>
                <w:lang w:eastAsia="lv-LV"/>
              </w:rPr>
              <w:t>Netiešie nodokļi**</w:t>
            </w:r>
          </w:p>
        </w:tc>
        <w:tc>
          <w:tcPr>
            <w:tcW w:w="985"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sz w:val="18"/>
                <w:szCs w:val="18"/>
              </w:rPr>
            </w:pPr>
            <w:r w:rsidRPr="00BF2047">
              <w:rPr>
                <w:sz w:val="18"/>
                <w:szCs w:val="18"/>
              </w:rPr>
              <w:t>3 659,8</w:t>
            </w:r>
          </w:p>
        </w:tc>
        <w:tc>
          <w:tcPr>
            <w:tcW w:w="784"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sz w:val="18"/>
                <w:szCs w:val="18"/>
              </w:rPr>
            </w:pPr>
            <w:r w:rsidRPr="00BF2047">
              <w:rPr>
                <w:sz w:val="18"/>
                <w:szCs w:val="18"/>
              </w:rPr>
              <w:t>12,6%</w:t>
            </w:r>
          </w:p>
        </w:tc>
        <w:tc>
          <w:tcPr>
            <w:tcW w:w="984"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sz w:val="18"/>
                <w:szCs w:val="18"/>
              </w:rPr>
            </w:pPr>
            <w:r w:rsidRPr="00BF2047">
              <w:rPr>
                <w:sz w:val="18"/>
                <w:szCs w:val="18"/>
              </w:rPr>
              <w:t>3 883,5</w:t>
            </w:r>
          </w:p>
        </w:tc>
        <w:tc>
          <w:tcPr>
            <w:tcW w:w="809"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sz w:val="18"/>
                <w:szCs w:val="18"/>
              </w:rPr>
            </w:pPr>
            <w:r w:rsidRPr="00BF2047">
              <w:rPr>
                <w:sz w:val="18"/>
                <w:szCs w:val="18"/>
              </w:rPr>
              <w:t>12,7%</w:t>
            </w:r>
          </w:p>
        </w:tc>
        <w:tc>
          <w:tcPr>
            <w:tcW w:w="985"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sz w:val="18"/>
                <w:szCs w:val="18"/>
              </w:rPr>
            </w:pPr>
            <w:r w:rsidRPr="00BF2047">
              <w:rPr>
                <w:sz w:val="18"/>
                <w:szCs w:val="18"/>
              </w:rPr>
              <w:t>3 715,4</w:t>
            </w:r>
          </w:p>
        </w:tc>
        <w:tc>
          <w:tcPr>
            <w:tcW w:w="830" w:type="dxa"/>
            <w:tcBorders>
              <w:top w:val="nil"/>
              <w:left w:val="nil"/>
              <w:bottom w:val="single" w:sz="4" w:space="0" w:color="auto"/>
              <w:right w:val="single" w:sz="4" w:space="0" w:color="auto"/>
            </w:tcBorders>
            <w:shd w:val="clear" w:color="auto" w:fill="auto"/>
            <w:vAlign w:val="center"/>
            <w:hideMark/>
          </w:tcPr>
          <w:p w:rsidR="000B4FAC" w:rsidRPr="00BF2047" w:rsidRDefault="000B4FAC" w:rsidP="000B4FAC">
            <w:pPr>
              <w:ind w:firstLine="0"/>
              <w:jc w:val="center"/>
              <w:rPr>
                <w:sz w:val="18"/>
                <w:szCs w:val="18"/>
              </w:rPr>
            </w:pPr>
            <w:r w:rsidRPr="00BF2047">
              <w:rPr>
                <w:sz w:val="18"/>
                <w:szCs w:val="18"/>
              </w:rPr>
              <w:t>13,2%</w:t>
            </w:r>
          </w:p>
        </w:tc>
        <w:tc>
          <w:tcPr>
            <w:tcW w:w="984" w:type="dxa"/>
            <w:tcBorders>
              <w:top w:val="nil"/>
              <w:left w:val="nil"/>
              <w:bottom w:val="single" w:sz="4" w:space="0" w:color="auto"/>
              <w:right w:val="single" w:sz="4" w:space="0" w:color="auto"/>
            </w:tcBorders>
            <w:shd w:val="clear" w:color="auto" w:fill="auto"/>
            <w:vAlign w:val="center"/>
            <w:hideMark/>
          </w:tcPr>
          <w:p w:rsidR="000B4FAC" w:rsidRPr="000B4FAC" w:rsidRDefault="000B4FAC" w:rsidP="000B4FAC">
            <w:pPr>
              <w:ind w:firstLine="0"/>
              <w:jc w:val="center"/>
              <w:rPr>
                <w:sz w:val="18"/>
              </w:rPr>
            </w:pPr>
            <w:r w:rsidRPr="000B4FAC">
              <w:rPr>
                <w:sz w:val="18"/>
              </w:rPr>
              <w:t>4 037,4</w:t>
            </w:r>
          </w:p>
        </w:tc>
        <w:tc>
          <w:tcPr>
            <w:tcW w:w="868" w:type="dxa"/>
            <w:tcBorders>
              <w:top w:val="nil"/>
              <w:left w:val="nil"/>
              <w:bottom w:val="single" w:sz="4" w:space="0" w:color="auto"/>
              <w:right w:val="single" w:sz="4" w:space="0" w:color="auto"/>
            </w:tcBorders>
            <w:shd w:val="clear" w:color="auto" w:fill="auto"/>
            <w:vAlign w:val="center"/>
            <w:hideMark/>
          </w:tcPr>
          <w:p w:rsidR="000B4FAC" w:rsidRPr="000B4FAC" w:rsidRDefault="000B4FAC" w:rsidP="000B4FAC">
            <w:pPr>
              <w:ind w:firstLine="156"/>
              <w:jc w:val="center"/>
              <w:rPr>
                <w:sz w:val="18"/>
              </w:rPr>
            </w:pPr>
            <w:r w:rsidRPr="000B4FAC">
              <w:rPr>
                <w:sz w:val="18"/>
              </w:rPr>
              <w:t>13,4%</w:t>
            </w:r>
          </w:p>
        </w:tc>
      </w:tr>
      <w:tr w:rsidR="00BF2047" w:rsidRPr="00BF2047" w:rsidTr="000B4FAC">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F2047" w:rsidRPr="00BF2047" w:rsidRDefault="00BF2047" w:rsidP="00421DF3">
            <w:pPr>
              <w:spacing w:after="0"/>
              <w:ind w:firstLine="0"/>
              <w:jc w:val="left"/>
              <w:rPr>
                <w:sz w:val="18"/>
                <w:szCs w:val="18"/>
                <w:lang w:eastAsia="lv-LV"/>
              </w:rPr>
            </w:pPr>
            <w:r w:rsidRPr="00BF2047">
              <w:rPr>
                <w:sz w:val="18"/>
                <w:szCs w:val="18"/>
                <w:lang w:eastAsia="lv-LV"/>
              </w:rPr>
              <w:t>Pārējie nodokļi***</w:t>
            </w:r>
          </w:p>
        </w:tc>
        <w:tc>
          <w:tcPr>
            <w:tcW w:w="985" w:type="dxa"/>
            <w:tcBorders>
              <w:top w:val="nil"/>
              <w:left w:val="nil"/>
              <w:bottom w:val="single" w:sz="4" w:space="0" w:color="auto"/>
              <w:right w:val="single" w:sz="4" w:space="0" w:color="auto"/>
            </w:tcBorders>
            <w:shd w:val="clear" w:color="auto" w:fill="auto"/>
            <w:vAlign w:val="center"/>
            <w:hideMark/>
          </w:tcPr>
          <w:p w:rsidR="00BF2047" w:rsidRPr="00BF2047" w:rsidRDefault="00BF2047" w:rsidP="00421DF3">
            <w:pPr>
              <w:ind w:firstLine="0"/>
              <w:jc w:val="center"/>
              <w:rPr>
                <w:sz w:val="18"/>
                <w:szCs w:val="18"/>
              </w:rPr>
            </w:pPr>
            <w:r w:rsidRPr="00BF2047">
              <w:rPr>
                <w:sz w:val="18"/>
                <w:szCs w:val="18"/>
              </w:rPr>
              <w:t>79,8</w:t>
            </w:r>
          </w:p>
        </w:tc>
        <w:tc>
          <w:tcPr>
            <w:tcW w:w="784" w:type="dxa"/>
            <w:tcBorders>
              <w:top w:val="nil"/>
              <w:left w:val="nil"/>
              <w:bottom w:val="single" w:sz="4" w:space="0" w:color="auto"/>
              <w:right w:val="single" w:sz="4" w:space="0" w:color="auto"/>
            </w:tcBorders>
            <w:shd w:val="clear" w:color="auto" w:fill="auto"/>
            <w:vAlign w:val="center"/>
            <w:hideMark/>
          </w:tcPr>
          <w:p w:rsidR="00BF2047" w:rsidRPr="00BF2047" w:rsidRDefault="00BF2047" w:rsidP="00421DF3">
            <w:pPr>
              <w:ind w:firstLine="0"/>
              <w:jc w:val="center"/>
              <w:rPr>
                <w:sz w:val="18"/>
                <w:szCs w:val="18"/>
              </w:rPr>
            </w:pPr>
            <w:r w:rsidRPr="00BF2047">
              <w:rPr>
                <w:sz w:val="18"/>
                <w:szCs w:val="18"/>
              </w:rPr>
              <w:t>0,3%</w:t>
            </w:r>
          </w:p>
        </w:tc>
        <w:tc>
          <w:tcPr>
            <w:tcW w:w="984" w:type="dxa"/>
            <w:tcBorders>
              <w:top w:val="nil"/>
              <w:left w:val="nil"/>
              <w:bottom w:val="single" w:sz="4" w:space="0" w:color="auto"/>
              <w:right w:val="single" w:sz="4" w:space="0" w:color="auto"/>
            </w:tcBorders>
            <w:shd w:val="clear" w:color="auto" w:fill="auto"/>
            <w:vAlign w:val="center"/>
            <w:hideMark/>
          </w:tcPr>
          <w:p w:rsidR="00BF2047" w:rsidRPr="00BF2047" w:rsidRDefault="00BF2047" w:rsidP="00421DF3">
            <w:pPr>
              <w:ind w:firstLine="0"/>
              <w:jc w:val="center"/>
              <w:rPr>
                <w:sz w:val="18"/>
                <w:szCs w:val="18"/>
              </w:rPr>
            </w:pPr>
            <w:r w:rsidRPr="00BF2047">
              <w:rPr>
                <w:sz w:val="18"/>
                <w:szCs w:val="18"/>
              </w:rPr>
              <w:t>77,3</w:t>
            </w:r>
          </w:p>
        </w:tc>
        <w:tc>
          <w:tcPr>
            <w:tcW w:w="809" w:type="dxa"/>
            <w:tcBorders>
              <w:top w:val="nil"/>
              <w:left w:val="nil"/>
              <w:bottom w:val="single" w:sz="4" w:space="0" w:color="auto"/>
              <w:right w:val="single" w:sz="4" w:space="0" w:color="auto"/>
            </w:tcBorders>
            <w:shd w:val="clear" w:color="auto" w:fill="auto"/>
            <w:vAlign w:val="center"/>
            <w:hideMark/>
          </w:tcPr>
          <w:p w:rsidR="00BF2047" w:rsidRPr="00BF2047" w:rsidRDefault="00BF2047" w:rsidP="00421DF3">
            <w:pPr>
              <w:ind w:firstLine="0"/>
              <w:jc w:val="center"/>
              <w:rPr>
                <w:sz w:val="18"/>
                <w:szCs w:val="18"/>
              </w:rPr>
            </w:pPr>
            <w:r w:rsidRPr="00BF2047">
              <w:rPr>
                <w:sz w:val="18"/>
                <w:szCs w:val="18"/>
              </w:rPr>
              <w:t>0,3%</w:t>
            </w:r>
          </w:p>
        </w:tc>
        <w:tc>
          <w:tcPr>
            <w:tcW w:w="985" w:type="dxa"/>
            <w:tcBorders>
              <w:top w:val="nil"/>
              <w:left w:val="nil"/>
              <w:bottom w:val="single" w:sz="4" w:space="0" w:color="auto"/>
              <w:right w:val="single" w:sz="4" w:space="0" w:color="auto"/>
            </w:tcBorders>
            <w:shd w:val="clear" w:color="auto" w:fill="auto"/>
            <w:vAlign w:val="center"/>
            <w:hideMark/>
          </w:tcPr>
          <w:p w:rsidR="00BF2047" w:rsidRPr="00BF2047" w:rsidRDefault="00BF2047" w:rsidP="00421DF3">
            <w:pPr>
              <w:ind w:firstLine="0"/>
              <w:jc w:val="center"/>
              <w:rPr>
                <w:sz w:val="18"/>
                <w:szCs w:val="18"/>
              </w:rPr>
            </w:pPr>
            <w:r w:rsidRPr="00BF2047">
              <w:rPr>
                <w:sz w:val="18"/>
                <w:szCs w:val="18"/>
              </w:rPr>
              <w:t>73,0</w:t>
            </w:r>
          </w:p>
        </w:tc>
        <w:tc>
          <w:tcPr>
            <w:tcW w:w="830" w:type="dxa"/>
            <w:tcBorders>
              <w:top w:val="nil"/>
              <w:left w:val="nil"/>
              <w:bottom w:val="single" w:sz="4" w:space="0" w:color="auto"/>
              <w:right w:val="single" w:sz="4" w:space="0" w:color="auto"/>
            </w:tcBorders>
            <w:shd w:val="clear" w:color="auto" w:fill="auto"/>
            <w:vAlign w:val="center"/>
            <w:hideMark/>
          </w:tcPr>
          <w:p w:rsidR="00BF2047" w:rsidRPr="00BF2047" w:rsidRDefault="00BF2047" w:rsidP="00421DF3">
            <w:pPr>
              <w:ind w:firstLine="0"/>
              <w:jc w:val="center"/>
              <w:rPr>
                <w:sz w:val="18"/>
                <w:szCs w:val="18"/>
              </w:rPr>
            </w:pPr>
            <w:r w:rsidRPr="00BF2047">
              <w:rPr>
                <w:sz w:val="18"/>
                <w:szCs w:val="18"/>
              </w:rPr>
              <w:t>0,3%</w:t>
            </w:r>
          </w:p>
        </w:tc>
        <w:tc>
          <w:tcPr>
            <w:tcW w:w="984" w:type="dxa"/>
            <w:tcBorders>
              <w:top w:val="nil"/>
              <w:left w:val="nil"/>
              <w:bottom w:val="single" w:sz="4" w:space="0" w:color="auto"/>
              <w:right w:val="single" w:sz="4" w:space="0" w:color="auto"/>
            </w:tcBorders>
            <w:shd w:val="clear" w:color="auto" w:fill="auto"/>
            <w:vAlign w:val="center"/>
            <w:hideMark/>
          </w:tcPr>
          <w:p w:rsidR="00BF2047" w:rsidRPr="00BF2047" w:rsidRDefault="00BF2047" w:rsidP="00421DF3">
            <w:pPr>
              <w:ind w:firstLine="0"/>
              <w:jc w:val="center"/>
              <w:rPr>
                <w:sz w:val="18"/>
                <w:szCs w:val="18"/>
              </w:rPr>
            </w:pPr>
            <w:r w:rsidRPr="00BF2047">
              <w:rPr>
                <w:sz w:val="18"/>
                <w:szCs w:val="18"/>
              </w:rPr>
              <w:t>92,3</w:t>
            </w:r>
          </w:p>
        </w:tc>
        <w:tc>
          <w:tcPr>
            <w:tcW w:w="868" w:type="dxa"/>
            <w:tcBorders>
              <w:top w:val="nil"/>
              <w:left w:val="nil"/>
              <w:bottom w:val="single" w:sz="4" w:space="0" w:color="auto"/>
              <w:right w:val="single" w:sz="4" w:space="0" w:color="auto"/>
            </w:tcBorders>
            <w:shd w:val="clear" w:color="auto" w:fill="auto"/>
            <w:vAlign w:val="center"/>
            <w:hideMark/>
          </w:tcPr>
          <w:p w:rsidR="00BF2047" w:rsidRPr="00BF2047" w:rsidRDefault="00BF2047" w:rsidP="00421DF3">
            <w:pPr>
              <w:ind w:firstLine="156"/>
              <w:jc w:val="center"/>
              <w:rPr>
                <w:sz w:val="18"/>
                <w:szCs w:val="18"/>
              </w:rPr>
            </w:pPr>
            <w:r w:rsidRPr="00BF2047">
              <w:rPr>
                <w:sz w:val="18"/>
                <w:szCs w:val="18"/>
              </w:rPr>
              <w:t>0,3%</w:t>
            </w:r>
          </w:p>
        </w:tc>
      </w:tr>
    </w:tbl>
    <w:p w:rsidR="00BF2047" w:rsidRPr="00BF2047" w:rsidRDefault="00BF2047" w:rsidP="00BF2047">
      <w:pPr>
        <w:spacing w:before="40" w:after="0"/>
        <w:ind w:hanging="11"/>
        <w:rPr>
          <w:sz w:val="20"/>
        </w:rPr>
      </w:pPr>
      <w:r w:rsidRPr="00BF2047">
        <w:rPr>
          <w:sz w:val="20"/>
        </w:rPr>
        <w:t>* iedzīvotāju ienākuma nodoklis, sociālās apdrošināšanas iemaksas, uzņēmumu ienākuma nodoklis, nekustamā īpašuma nodoklis, solidaritātes nodoklis valsts pamatbudžetā, veselības aprūpes maksājums (2016.</w:t>
      </w:r>
      <w:r>
        <w:rPr>
          <w:sz w:val="20"/>
        </w:rPr>
        <w:t xml:space="preserve"> </w:t>
      </w:r>
      <w:r w:rsidRPr="00BF2047">
        <w:rPr>
          <w:sz w:val="20"/>
        </w:rPr>
        <w:t>gadā tika ieviests solidaritātes nodoklis, 2018.</w:t>
      </w:r>
      <w:r>
        <w:rPr>
          <w:sz w:val="20"/>
        </w:rPr>
        <w:t xml:space="preserve"> </w:t>
      </w:r>
      <w:r w:rsidRPr="00BF2047">
        <w:rPr>
          <w:sz w:val="20"/>
        </w:rPr>
        <w:t>gadā veselības aprūpes maksājums).</w:t>
      </w:r>
    </w:p>
    <w:p w:rsidR="00BF2047" w:rsidRPr="00BF2047" w:rsidRDefault="00BF2047" w:rsidP="00BF2047">
      <w:pPr>
        <w:spacing w:before="40" w:after="0"/>
        <w:ind w:hanging="11"/>
        <w:rPr>
          <w:sz w:val="20"/>
        </w:rPr>
      </w:pPr>
      <w:r w:rsidRPr="00BF2047">
        <w:rPr>
          <w:sz w:val="20"/>
        </w:rPr>
        <w:t>** pievienotās vērtības nodoklis, akcīzes nodoklis, vieglo automobiļu un motociklu nodoklis, transportlīdzekļu ekspluatācijas nodoklis, uzņēmumu vieglo transportlīdzekļu nodoklis, elektroenerģijas nodoklis, muitas nodoklis.</w:t>
      </w:r>
    </w:p>
    <w:p w:rsidR="00BF2047" w:rsidRPr="00BF2047" w:rsidRDefault="00BF2047" w:rsidP="00BF2047">
      <w:pPr>
        <w:spacing w:before="40" w:after="0"/>
        <w:ind w:hanging="11"/>
        <w:rPr>
          <w:sz w:val="20"/>
        </w:rPr>
      </w:pPr>
      <w:r w:rsidRPr="00BF2047">
        <w:rPr>
          <w:sz w:val="20"/>
        </w:rPr>
        <w:t>*** dabas resursu nodoklis, izložu un azartspēļu nodoklis, subsidētās enerģijas nodoklis (līdz 2018.</w:t>
      </w:r>
      <w:r>
        <w:rPr>
          <w:sz w:val="20"/>
        </w:rPr>
        <w:t xml:space="preserve"> </w:t>
      </w:r>
      <w:r w:rsidRPr="00BF2047">
        <w:rPr>
          <w:sz w:val="20"/>
        </w:rPr>
        <w:t>gadam).</w:t>
      </w:r>
    </w:p>
    <w:p w:rsidR="00BF2047" w:rsidRPr="00BF2047" w:rsidRDefault="00BF2047" w:rsidP="00BF2047">
      <w:pPr>
        <w:spacing w:before="40" w:after="0"/>
        <w:ind w:hanging="11"/>
        <w:rPr>
          <w:sz w:val="20"/>
        </w:rPr>
      </w:pPr>
      <w:r w:rsidRPr="00BF2047">
        <w:rPr>
          <w:sz w:val="20"/>
        </w:rPr>
        <w:t>***</w:t>
      </w:r>
      <w:r>
        <w:rPr>
          <w:sz w:val="20"/>
        </w:rPr>
        <w:t>*saskaņā ar likumprojektu “</w:t>
      </w:r>
      <w:r w:rsidRPr="00BF2047">
        <w:rPr>
          <w:sz w:val="20"/>
        </w:rPr>
        <w:t>Par valsts budžetu 2021.</w:t>
      </w:r>
      <w:r>
        <w:rPr>
          <w:sz w:val="20"/>
        </w:rPr>
        <w:t xml:space="preserve"> </w:t>
      </w:r>
      <w:r w:rsidRPr="00BF2047">
        <w:rPr>
          <w:sz w:val="20"/>
        </w:rPr>
        <w:t>gadam”.</w:t>
      </w:r>
    </w:p>
    <w:p w:rsidR="00BF2047" w:rsidRPr="008E4D84" w:rsidRDefault="00BF2047" w:rsidP="00BF2047">
      <w:pPr>
        <w:contextualSpacing/>
      </w:pPr>
      <w:r w:rsidRPr="008E4D84">
        <w:lastRenderedPageBreak/>
        <w:t>Nodokļu ieņēmumu struktūrā lielāko daļu veido tiešie nodokļi, lai arī pakāpeniska nodokļu sloga pārnešana no tiešajiem uz netiešajiem nodokļiem ir noteikta kā viena no nodokļu politikas prioritātēm.</w:t>
      </w:r>
      <w:r>
        <w:t xml:space="preserve"> Jāpiebilst, ka 2020.</w:t>
      </w:r>
      <w:r w:rsidR="00D4366D">
        <w:t xml:space="preserve"> </w:t>
      </w:r>
      <w:r>
        <w:t>un 2021.</w:t>
      </w:r>
      <w:r w:rsidR="00D4366D">
        <w:t xml:space="preserve"> </w:t>
      </w:r>
      <w:r>
        <w:t>gadā tiešo nodokļu proporcija pieaug, ko ietekmē gan Covid-19 krīzes radītās izmaiņas nodokļu ieņēmumu struktūrā, gan šobrīd virzītās likumdošanas izmaiņas.</w:t>
      </w:r>
    </w:p>
    <w:p w:rsidR="003613E3" w:rsidRDefault="003613E3" w:rsidP="004E1EF0">
      <w:pPr>
        <w:pStyle w:val="H3"/>
      </w:pPr>
      <w:bookmarkStart w:id="5" w:name="_Toc150840174"/>
      <w:bookmarkStart w:id="6" w:name="_Toc150941364"/>
      <w:bookmarkStart w:id="7" w:name="_Toc40591664"/>
      <w:r w:rsidRPr="00221972">
        <w:t>3.</w:t>
      </w:r>
      <w:r w:rsidR="00BE4104">
        <w:t>2</w:t>
      </w:r>
      <w:r w:rsidRPr="00221972">
        <w:t>.1. Tiešie nodokļi</w:t>
      </w:r>
    </w:p>
    <w:p w:rsidR="00D4366D" w:rsidRPr="00713DC3" w:rsidRDefault="00D4366D" w:rsidP="00D4366D">
      <w:r w:rsidRPr="00713DC3">
        <w:t>Lielāko daļu no tiešo nodokļu ieņēmumiem veido valsts sociālās apdrošināšanas iemaksas un iedzīvotāju ienākuma nodokļa ieņēmumi.</w:t>
      </w:r>
    </w:p>
    <w:p w:rsidR="00D4366D" w:rsidRPr="00713DC3" w:rsidRDefault="00D4366D" w:rsidP="00D4366D">
      <w:pPr>
        <w:pStyle w:val="T"/>
        <w:spacing w:before="240"/>
        <w:rPr>
          <w:szCs w:val="24"/>
        </w:rPr>
      </w:pPr>
      <w:r w:rsidRPr="00713DC3">
        <w:t xml:space="preserve">3.2. tabula </w:t>
      </w:r>
      <w:r w:rsidRPr="00D4366D">
        <w:rPr>
          <w:i w:val="0"/>
        </w:rPr>
        <w:t>Tiešo nodokļu ieņēmumi milj.</w:t>
      </w:r>
      <w:r w:rsidRPr="00713DC3">
        <w:t xml:space="preserve"> </w:t>
      </w:r>
      <w:proofErr w:type="spellStart"/>
      <w:r w:rsidRPr="00713DC3">
        <w:t>euro</w:t>
      </w:r>
      <w:proofErr w:type="spellEnd"/>
      <w:r w:rsidRPr="00713DC3">
        <w:t xml:space="preserve"> </w:t>
      </w:r>
      <w:r w:rsidRPr="00D4366D">
        <w:rPr>
          <w:i w:val="0"/>
        </w:rPr>
        <w:t xml:space="preserve">un % no </w:t>
      </w:r>
      <w:r>
        <w:rPr>
          <w:i w:val="0"/>
        </w:rPr>
        <w:t>IKP</w:t>
      </w:r>
    </w:p>
    <w:tbl>
      <w:tblPr>
        <w:tblW w:w="9209" w:type="dxa"/>
        <w:tblLook w:val="04A0" w:firstRow="1" w:lastRow="0" w:firstColumn="1" w:lastColumn="0" w:noHBand="0" w:noVBand="1"/>
      </w:tblPr>
      <w:tblGrid>
        <w:gridCol w:w="1742"/>
        <w:gridCol w:w="992"/>
        <w:gridCol w:w="831"/>
        <w:gridCol w:w="991"/>
        <w:gridCol w:w="766"/>
        <w:gridCol w:w="1191"/>
        <w:gridCol w:w="939"/>
        <w:gridCol w:w="991"/>
        <w:gridCol w:w="766"/>
      </w:tblGrid>
      <w:tr w:rsidR="00D4366D" w:rsidRPr="00D4366D" w:rsidTr="00421DF3">
        <w:trPr>
          <w:trHeight w:val="255"/>
        </w:trPr>
        <w:tc>
          <w:tcPr>
            <w:tcW w:w="17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center"/>
              <w:rPr>
                <w:b/>
                <w:bCs/>
                <w:sz w:val="18"/>
                <w:szCs w:val="18"/>
                <w:lang w:eastAsia="lv-LV"/>
              </w:rPr>
            </w:pPr>
            <w:r w:rsidRPr="00D4366D">
              <w:rPr>
                <w:b/>
                <w:bCs/>
                <w:sz w:val="18"/>
                <w:szCs w:val="18"/>
                <w:lang w:eastAsia="lv-LV"/>
              </w:rPr>
              <w:t> </w:t>
            </w:r>
          </w:p>
        </w:tc>
        <w:tc>
          <w:tcPr>
            <w:tcW w:w="182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center"/>
              <w:rPr>
                <w:b/>
                <w:bCs/>
                <w:sz w:val="18"/>
                <w:szCs w:val="18"/>
                <w:lang w:eastAsia="lv-LV"/>
              </w:rPr>
            </w:pPr>
            <w:r w:rsidRPr="00D4366D">
              <w:rPr>
                <w:b/>
                <w:bCs/>
                <w:sz w:val="18"/>
                <w:szCs w:val="18"/>
                <w:lang w:eastAsia="lv-LV"/>
              </w:rPr>
              <w:t>2018</w:t>
            </w:r>
          </w:p>
        </w:tc>
        <w:tc>
          <w:tcPr>
            <w:tcW w:w="175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center"/>
              <w:rPr>
                <w:b/>
                <w:bCs/>
                <w:sz w:val="18"/>
                <w:szCs w:val="18"/>
                <w:lang w:eastAsia="lv-LV"/>
              </w:rPr>
            </w:pPr>
            <w:r w:rsidRPr="00D4366D">
              <w:rPr>
                <w:b/>
                <w:bCs/>
                <w:sz w:val="18"/>
                <w:szCs w:val="18"/>
                <w:lang w:eastAsia="lv-LV"/>
              </w:rPr>
              <w:t>2019</w:t>
            </w:r>
          </w:p>
        </w:tc>
        <w:tc>
          <w:tcPr>
            <w:tcW w:w="213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center"/>
              <w:rPr>
                <w:b/>
                <w:bCs/>
                <w:sz w:val="18"/>
                <w:szCs w:val="18"/>
                <w:lang w:eastAsia="lv-LV"/>
              </w:rPr>
            </w:pPr>
            <w:r w:rsidRPr="00D4366D">
              <w:rPr>
                <w:b/>
                <w:bCs/>
                <w:sz w:val="18"/>
                <w:szCs w:val="18"/>
                <w:lang w:eastAsia="lv-LV"/>
              </w:rPr>
              <w:t>2020</w:t>
            </w:r>
          </w:p>
        </w:tc>
        <w:tc>
          <w:tcPr>
            <w:tcW w:w="175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center"/>
              <w:rPr>
                <w:b/>
                <w:bCs/>
                <w:sz w:val="18"/>
                <w:szCs w:val="18"/>
                <w:lang w:eastAsia="lv-LV"/>
              </w:rPr>
            </w:pPr>
            <w:r w:rsidRPr="00D4366D">
              <w:rPr>
                <w:b/>
                <w:bCs/>
                <w:sz w:val="18"/>
                <w:szCs w:val="18"/>
                <w:lang w:eastAsia="lv-LV"/>
              </w:rPr>
              <w:t>2021</w:t>
            </w:r>
          </w:p>
        </w:tc>
      </w:tr>
      <w:tr w:rsidR="00D4366D" w:rsidRPr="00D4366D" w:rsidTr="00421DF3">
        <w:trPr>
          <w:trHeight w:val="270"/>
        </w:trPr>
        <w:tc>
          <w:tcPr>
            <w:tcW w:w="17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left"/>
              <w:rPr>
                <w:b/>
                <w:bCs/>
                <w:sz w:val="18"/>
                <w:szCs w:val="18"/>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center"/>
              <w:rPr>
                <w:b/>
                <w:bCs/>
                <w:sz w:val="18"/>
                <w:szCs w:val="18"/>
                <w:lang w:eastAsia="lv-LV"/>
              </w:rPr>
            </w:pPr>
            <w:proofErr w:type="spellStart"/>
            <w:r w:rsidRPr="00D4366D">
              <w:rPr>
                <w:b/>
                <w:bCs/>
                <w:sz w:val="18"/>
                <w:szCs w:val="18"/>
                <w:lang w:eastAsia="lv-LV"/>
              </w:rPr>
              <w:t>milj.</w:t>
            </w:r>
            <w:r w:rsidRPr="00D4366D">
              <w:rPr>
                <w:b/>
                <w:bCs/>
                <w:i/>
                <w:iCs/>
                <w:sz w:val="18"/>
                <w:szCs w:val="18"/>
                <w:lang w:eastAsia="lv-LV"/>
              </w:rPr>
              <w:t>euro</w:t>
            </w:r>
            <w:proofErr w:type="spellEnd"/>
          </w:p>
        </w:tc>
        <w:tc>
          <w:tcPr>
            <w:tcW w:w="831" w:type="dxa"/>
            <w:tcBorders>
              <w:top w:val="nil"/>
              <w:left w:val="nil"/>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center"/>
              <w:rPr>
                <w:b/>
                <w:bCs/>
                <w:sz w:val="18"/>
                <w:szCs w:val="18"/>
                <w:lang w:eastAsia="lv-LV"/>
              </w:rPr>
            </w:pPr>
            <w:r w:rsidRPr="00D4366D">
              <w:rPr>
                <w:b/>
                <w:bCs/>
                <w:sz w:val="18"/>
                <w:szCs w:val="18"/>
                <w:lang w:eastAsia="lv-LV"/>
              </w:rPr>
              <w:t>% no IKP</w:t>
            </w:r>
          </w:p>
        </w:tc>
        <w:tc>
          <w:tcPr>
            <w:tcW w:w="991" w:type="dxa"/>
            <w:tcBorders>
              <w:top w:val="nil"/>
              <w:left w:val="nil"/>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center"/>
              <w:rPr>
                <w:b/>
                <w:bCs/>
                <w:sz w:val="18"/>
                <w:szCs w:val="18"/>
                <w:lang w:eastAsia="lv-LV"/>
              </w:rPr>
            </w:pPr>
            <w:proofErr w:type="spellStart"/>
            <w:r w:rsidRPr="00D4366D">
              <w:rPr>
                <w:b/>
                <w:bCs/>
                <w:sz w:val="18"/>
                <w:szCs w:val="18"/>
                <w:lang w:eastAsia="lv-LV"/>
              </w:rPr>
              <w:t>milj.</w:t>
            </w:r>
            <w:r w:rsidRPr="00D4366D">
              <w:rPr>
                <w:b/>
                <w:bCs/>
                <w:i/>
                <w:iCs/>
                <w:sz w:val="18"/>
                <w:szCs w:val="18"/>
                <w:lang w:eastAsia="lv-LV"/>
              </w:rPr>
              <w:t>euro</w:t>
            </w:r>
            <w:proofErr w:type="spellEnd"/>
          </w:p>
        </w:tc>
        <w:tc>
          <w:tcPr>
            <w:tcW w:w="766" w:type="dxa"/>
            <w:tcBorders>
              <w:top w:val="nil"/>
              <w:left w:val="nil"/>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center"/>
              <w:rPr>
                <w:b/>
                <w:bCs/>
                <w:sz w:val="18"/>
                <w:szCs w:val="18"/>
                <w:lang w:eastAsia="lv-LV"/>
              </w:rPr>
            </w:pPr>
            <w:r w:rsidRPr="00D4366D">
              <w:rPr>
                <w:b/>
                <w:bCs/>
                <w:sz w:val="18"/>
                <w:szCs w:val="18"/>
                <w:lang w:eastAsia="lv-LV"/>
              </w:rPr>
              <w:t>% no IKP</w:t>
            </w:r>
          </w:p>
        </w:tc>
        <w:tc>
          <w:tcPr>
            <w:tcW w:w="1191" w:type="dxa"/>
            <w:tcBorders>
              <w:top w:val="nil"/>
              <w:left w:val="nil"/>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center"/>
              <w:rPr>
                <w:b/>
                <w:bCs/>
                <w:sz w:val="18"/>
                <w:szCs w:val="18"/>
                <w:lang w:eastAsia="lv-LV"/>
              </w:rPr>
            </w:pPr>
            <w:proofErr w:type="spellStart"/>
            <w:r w:rsidRPr="00D4366D">
              <w:rPr>
                <w:b/>
                <w:bCs/>
                <w:sz w:val="18"/>
                <w:szCs w:val="18"/>
                <w:lang w:eastAsia="lv-LV"/>
              </w:rPr>
              <w:t>milj.</w:t>
            </w:r>
            <w:r w:rsidRPr="00D4366D">
              <w:rPr>
                <w:b/>
                <w:bCs/>
                <w:i/>
                <w:iCs/>
                <w:sz w:val="18"/>
                <w:szCs w:val="18"/>
                <w:lang w:eastAsia="lv-LV"/>
              </w:rPr>
              <w:t>euro</w:t>
            </w:r>
            <w:proofErr w:type="spellEnd"/>
          </w:p>
        </w:tc>
        <w:tc>
          <w:tcPr>
            <w:tcW w:w="939" w:type="dxa"/>
            <w:tcBorders>
              <w:top w:val="nil"/>
              <w:left w:val="nil"/>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center"/>
              <w:rPr>
                <w:b/>
                <w:bCs/>
                <w:sz w:val="18"/>
                <w:szCs w:val="18"/>
                <w:lang w:eastAsia="lv-LV"/>
              </w:rPr>
            </w:pPr>
            <w:r w:rsidRPr="00D4366D">
              <w:rPr>
                <w:b/>
                <w:bCs/>
                <w:sz w:val="18"/>
                <w:szCs w:val="18"/>
                <w:lang w:eastAsia="lv-LV"/>
              </w:rPr>
              <w:t>% no IKP</w:t>
            </w:r>
          </w:p>
        </w:tc>
        <w:tc>
          <w:tcPr>
            <w:tcW w:w="991" w:type="dxa"/>
            <w:tcBorders>
              <w:top w:val="nil"/>
              <w:left w:val="nil"/>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center"/>
              <w:rPr>
                <w:b/>
                <w:bCs/>
                <w:sz w:val="18"/>
                <w:szCs w:val="18"/>
                <w:lang w:eastAsia="lv-LV"/>
              </w:rPr>
            </w:pPr>
            <w:proofErr w:type="spellStart"/>
            <w:r w:rsidRPr="00D4366D">
              <w:rPr>
                <w:b/>
                <w:bCs/>
                <w:sz w:val="18"/>
                <w:szCs w:val="18"/>
                <w:lang w:eastAsia="lv-LV"/>
              </w:rPr>
              <w:t>milj.</w:t>
            </w:r>
            <w:r w:rsidRPr="00D4366D">
              <w:rPr>
                <w:b/>
                <w:bCs/>
                <w:i/>
                <w:iCs/>
                <w:sz w:val="18"/>
                <w:szCs w:val="18"/>
                <w:lang w:eastAsia="lv-LV"/>
              </w:rPr>
              <w:t>euro</w:t>
            </w:r>
            <w:proofErr w:type="spellEnd"/>
          </w:p>
        </w:tc>
        <w:tc>
          <w:tcPr>
            <w:tcW w:w="766" w:type="dxa"/>
            <w:tcBorders>
              <w:top w:val="nil"/>
              <w:left w:val="nil"/>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center"/>
              <w:rPr>
                <w:b/>
                <w:bCs/>
                <w:sz w:val="18"/>
                <w:szCs w:val="18"/>
                <w:lang w:eastAsia="lv-LV"/>
              </w:rPr>
            </w:pPr>
            <w:r w:rsidRPr="00D4366D">
              <w:rPr>
                <w:b/>
                <w:bCs/>
                <w:sz w:val="18"/>
                <w:szCs w:val="18"/>
                <w:lang w:eastAsia="lv-LV"/>
              </w:rPr>
              <w:t>% no IKP</w:t>
            </w:r>
          </w:p>
        </w:tc>
      </w:tr>
      <w:tr w:rsidR="00D4366D" w:rsidRPr="00D4366D" w:rsidTr="00421DF3">
        <w:trPr>
          <w:trHeight w:val="255"/>
        </w:trPr>
        <w:tc>
          <w:tcPr>
            <w:tcW w:w="17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left"/>
              <w:rPr>
                <w:b/>
                <w:bCs/>
                <w:sz w:val="18"/>
                <w:szCs w:val="18"/>
                <w:lang w:eastAsia="lv-LV"/>
              </w:rPr>
            </w:pPr>
          </w:p>
        </w:tc>
        <w:tc>
          <w:tcPr>
            <w:tcW w:w="3580"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center"/>
              <w:rPr>
                <w:sz w:val="18"/>
                <w:szCs w:val="18"/>
                <w:lang w:eastAsia="lv-LV"/>
              </w:rPr>
            </w:pPr>
            <w:r w:rsidRPr="00D4366D">
              <w:rPr>
                <w:sz w:val="18"/>
                <w:szCs w:val="18"/>
                <w:lang w:eastAsia="lv-LV"/>
              </w:rPr>
              <w:t>fakts</w:t>
            </w:r>
          </w:p>
        </w:tc>
        <w:tc>
          <w:tcPr>
            <w:tcW w:w="213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center"/>
              <w:rPr>
                <w:sz w:val="18"/>
                <w:szCs w:val="18"/>
                <w:lang w:eastAsia="lv-LV"/>
              </w:rPr>
            </w:pPr>
            <w:r w:rsidRPr="00D4366D">
              <w:rPr>
                <w:sz w:val="18"/>
                <w:szCs w:val="18"/>
                <w:lang w:eastAsia="lv-LV"/>
              </w:rPr>
              <w:t>prognoze</w:t>
            </w:r>
          </w:p>
        </w:tc>
        <w:tc>
          <w:tcPr>
            <w:tcW w:w="175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4366D" w:rsidRPr="00D4366D" w:rsidRDefault="00D4366D" w:rsidP="00421DF3">
            <w:pPr>
              <w:spacing w:after="0"/>
              <w:ind w:firstLine="0"/>
              <w:jc w:val="center"/>
              <w:rPr>
                <w:sz w:val="18"/>
                <w:szCs w:val="18"/>
                <w:lang w:eastAsia="lv-LV"/>
              </w:rPr>
            </w:pPr>
            <w:r w:rsidRPr="00D4366D">
              <w:rPr>
                <w:sz w:val="18"/>
                <w:szCs w:val="18"/>
                <w:lang w:eastAsia="lv-LV"/>
              </w:rPr>
              <w:t>plāns*</w:t>
            </w:r>
          </w:p>
        </w:tc>
      </w:tr>
      <w:tr w:rsidR="00D4366D" w:rsidRPr="00D4366D" w:rsidTr="00D4366D">
        <w:trPr>
          <w:trHeight w:val="255"/>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D4366D" w:rsidRPr="00D4366D" w:rsidRDefault="00D4366D" w:rsidP="00D4366D">
            <w:pPr>
              <w:spacing w:after="0"/>
              <w:ind w:firstLine="0"/>
              <w:jc w:val="left"/>
              <w:rPr>
                <w:b/>
                <w:bCs/>
                <w:sz w:val="18"/>
                <w:szCs w:val="18"/>
                <w:lang w:eastAsia="lv-LV"/>
              </w:rPr>
            </w:pPr>
            <w:r w:rsidRPr="00D4366D">
              <w:rPr>
                <w:b/>
                <w:bCs/>
                <w:sz w:val="18"/>
                <w:szCs w:val="18"/>
                <w:lang w:eastAsia="lv-LV"/>
              </w:rPr>
              <w:t>Tiešie nodokļi:</w:t>
            </w:r>
          </w:p>
        </w:tc>
        <w:tc>
          <w:tcPr>
            <w:tcW w:w="992"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b/>
                <w:sz w:val="18"/>
                <w:szCs w:val="18"/>
              </w:rPr>
            </w:pPr>
            <w:r w:rsidRPr="00D4366D">
              <w:rPr>
                <w:b/>
                <w:sz w:val="18"/>
                <w:szCs w:val="18"/>
              </w:rPr>
              <w:t>4 918,2</w:t>
            </w:r>
          </w:p>
        </w:tc>
        <w:tc>
          <w:tcPr>
            <w:tcW w:w="83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b/>
                <w:sz w:val="18"/>
                <w:szCs w:val="18"/>
              </w:rPr>
            </w:pPr>
            <w:r w:rsidRPr="00D4366D">
              <w:rPr>
                <w:b/>
                <w:sz w:val="18"/>
                <w:szCs w:val="18"/>
              </w:rPr>
              <w:t>16,9%</w:t>
            </w:r>
          </w:p>
        </w:tc>
        <w:tc>
          <w:tcPr>
            <w:tcW w:w="9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b/>
                <w:sz w:val="18"/>
                <w:szCs w:val="18"/>
              </w:rPr>
            </w:pPr>
            <w:r w:rsidRPr="00D4366D">
              <w:rPr>
                <w:b/>
                <w:sz w:val="18"/>
                <w:szCs w:val="18"/>
              </w:rPr>
              <w:t>5 096,5</w:t>
            </w:r>
          </w:p>
        </w:tc>
        <w:tc>
          <w:tcPr>
            <w:tcW w:w="766"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b/>
                <w:sz w:val="18"/>
                <w:szCs w:val="18"/>
              </w:rPr>
            </w:pPr>
            <w:r w:rsidRPr="00D4366D">
              <w:rPr>
                <w:b/>
                <w:sz w:val="18"/>
                <w:szCs w:val="18"/>
              </w:rPr>
              <w:t>16,7%</w:t>
            </w:r>
          </w:p>
        </w:tc>
        <w:tc>
          <w:tcPr>
            <w:tcW w:w="11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b/>
                <w:sz w:val="18"/>
                <w:szCs w:val="18"/>
              </w:rPr>
            </w:pPr>
            <w:r w:rsidRPr="00D4366D">
              <w:rPr>
                <w:b/>
                <w:sz w:val="18"/>
                <w:szCs w:val="18"/>
              </w:rPr>
              <w:t>4 877,4</w:t>
            </w:r>
          </w:p>
        </w:tc>
        <w:tc>
          <w:tcPr>
            <w:tcW w:w="939"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b/>
                <w:sz w:val="18"/>
                <w:szCs w:val="18"/>
              </w:rPr>
            </w:pPr>
            <w:r w:rsidRPr="00D4366D">
              <w:rPr>
                <w:b/>
                <w:sz w:val="18"/>
                <w:szCs w:val="18"/>
              </w:rPr>
              <w:t>17,3%</w:t>
            </w:r>
          </w:p>
        </w:tc>
        <w:tc>
          <w:tcPr>
            <w:tcW w:w="9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b/>
                <w:sz w:val="18"/>
                <w:szCs w:val="18"/>
              </w:rPr>
            </w:pPr>
            <w:r w:rsidRPr="00D4366D">
              <w:rPr>
                <w:b/>
                <w:sz w:val="18"/>
                <w:szCs w:val="18"/>
              </w:rPr>
              <w:t>5 210,7</w:t>
            </w:r>
          </w:p>
        </w:tc>
        <w:tc>
          <w:tcPr>
            <w:tcW w:w="766"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b/>
                <w:sz w:val="18"/>
                <w:szCs w:val="18"/>
              </w:rPr>
            </w:pPr>
            <w:r w:rsidRPr="00D4366D">
              <w:rPr>
                <w:b/>
                <w:sz w:val="18"/>
                <w:szCs w:val="18"/>
              </w:rPr>
              <w:t>17,3%</w:t>
            </w:r>
          </w:p>
        </w:tc>
      </w:tr>
      <w:tr w:rsidR="00D4366D" w:rsidRPr="00D4366D" w:rsidTr="00D4366D">
        <w:trPr>
          <w:trHeight w:val="51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D4366D" w:rsidRPr="00D4366D" w:rsidRDefault="00D4366D" w:rsidP="00D4366D">
            <w:pPr>
              <w:spacing w:after="0"/>
              <w:ind w:firstLine="0"/>
              <w:jc w:val="left"/>
              <w:rPr>
                <w:sz w:val="18"/>
                <w:szCs w:val="18"/>
                <w:lang w:eastAsia="lv-LV"/>
              </w:rPr>
            </w:pPr>
            <w:r w:rsidRPr="00D4366D">
              <w:rPr>
                <w:sz w:val="18"/>
                <w:szCs w:val="18"/>
                <w:lang w:eastAsia="lv-LV"/>
              </w:rPr>
              <w:t>Iedzīvotāju ienākuma nodoklis</w:t>
            </w:r>
          </w:p>
        </w:tc>
        <w:tc>
          <w:tcPr>
            <w:tcW w:w="992"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1 728,4</w:t>
            </w:r>
          </w:p>
        </w:tc>
        <w:tc>
          <w:tcPr>
            <w:tcW w:w="83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5,9%</w:t>
            </w:r>
          </w:p>
        </w:tc>
        <w:tc>
          <w:tcPr>
            <w:tcW w:w="9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1 929,6</w:t>
            </w:r>
          </w:p>
        </w:tc>
        <w:tc>
          <w:tcPr>
            <w:tcW w:w="766"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6,3%</w:t>
            </w:r>
          </w:p>
        </w:tc>
        <w:tc>
          <w:tcPr>
            <w:tcW w:w="11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1 697,8</w:t>
            </w:r>
          </w:p>
        </w:tc>
        <w:tc>
          <w:tcPr>
            <w:tcW w:w="939"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6,0%</w:t>
            </w:r>
          </w:p>
        </w:tc>
        <w:tc>
          <w:tcPr>
            <w:tcW w:w="9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1 778,7</w:t>
            </w:r>
          </w:p>
        </w:tc>
        <w:tc>
          <w:tcPr>
            <w:tcW w:w="766"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5,9%</w:t>
            </w:r>
          </w:p>
        </w:tc>
      </w:tr>
      <w:tr w:rsidR="00D4366D" w:rsidRPr="00D4366D" w:rsidTr="00D4366D">
        <w:trPr>
          <w:trHeight w:val="51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D4366D" w:rsidRPr="00D4366D" w:rsidRDefault="00D4366D" w:rsidP="00D4366D">
            <w:pPr>
              <w:spacing w:after="0"/>
              <w:ind w:firstLine="0"/>
              <w:jc w:val="left"/>
              <w:rPr>
                <w:sz w:val="18"/>
                <w:szCs w:val="18"/>
                <w:lang w:eastAsia="lv-LV"/>
              </w:rPr>
            </w:pPr>
            <w:r w:rsidRPr="00D4366D">
              <w:rPr>
                <w:sz w:val="18"/>
                <w:szCs w:val="18"/>
                <w:lang w:eastAsia="lv-LV"/>
              </w:rPr>
              <w:t>Sociālās apdrošināšanas iemaksas</w:t>
            </w:r>
          </w:p>
        </w:tc>
        <w:tc>
          <w:tcPr>
            <w:tcW w:w="992"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2 543,2</w:t>
            </w:r>
          </w:p>
        </w:tc>
        <w:tc>
          <w:tcPr>
            <w:tcW w:w="83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8,8%</w:t>
            </w:r>
          </w:p>
        </w:tc>
        <w:tc>
          <w:tcPr>
            <w:tcW w:w="9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2 795,0</w:t>
            </w:r>
          </w:p>
        </w:tc>
        <w:tc>
          <w:tcPr>
            <w:tcW w:w="766"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9,2%</w:t>
            </w:r>
          </w:p>
        </w:tc>
        <w:tc>
          <w:tcPr>
            <w:tcW w:w="11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2 664,5</w:t>
            </w:r>
          </w:p>
        </w:tc>
        <w:tc>
          <w:tcPr>
            <w:tcW w:w="939"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9,4%</w:t>
            </w:r>
          </w:p>
        </w:tc>
        <w:tc>
          <w:tcPr>
            <w:tcW w:w="9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2 840,4</w:t>
            </w:r>
          </w:p>
        </w:tc>
        <w:tc>
          <w:tcPr>
            <w:tcW w:w="766"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9,5%</w:t>
            </w:r>
          </w:p>
        </w:tc>
      </w:tr>
      <w:tr w:rsidR="00D4366D" w:rsidRPr="00D4366D" w:rsidTr="00D4366D">
        <w:trPr>
          <w:trHeight w:val="51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D4366D" w:rsidRPr="00D4366D" w:rsidRDefault="00D4366D" w:rsidP="00D4366D">
            <w:pPr>
              <w:spacing w:after="0"/>
              <w:ind w:firstLine="0"/>
              <w:jc w:val="left"/>
              <w:rPr>
                <w:sz w:val="18"/>
                <w:szCs w:val="18"/>
                <w:lang w:eastAsia="lv-LV"/>
              </w:rPr>
            </w:pPr>
            <w:r w:rsidRPr="00D4366D">
              <w:rPr>
                <w:sz w:val="18"/>
                <w:szCs w:val="18"/>
                <w:lang w:eastAsia="lv-LV"/>
              </w:rPr>
              <w:t>Uzņēmumu ienākuma nodoklis</w:t>
            </w:r>
          </w:p>
        </w:tc>
        <w:tc>
          <w:tcPr>
            <w:tcW w:w="992"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304,0</w:t>
            </w:r>
          </w:p>
        </w:tc>
        <w:tc>
          <w:tcPr>
            <w:tcW w:w="83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1,0%</w:t>
            </w:r>
          </w:p>
        </w:tc>
        <w:tc>
          <w:tcPr>
            <w:tcW w:w="9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44,8</w:t>
            </w:r>
          </w:p>
        </w:tc>
        <w:tc>
          <w:tcPr>
            <w:tcW w:w="766"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0,1%</w:t>
            </w:r>
          </w:p>
        </w:tc>
        <w:tc>
          <w:tcPr>
            <w:tcW w:w="11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200,0</w:t>
            </w:r>
          </w:p>
        </w:tc>
        <w:tc>
          <w:tcPr>
            <w:tcW w:w="939"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0,7%</w:t>
            </w:r>
          </w:p>
        </w:tc>
        <w:tc>
          <w:tcPr>
            <w:tcW w:w="9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263,2</w:t>
            </w:r>
          </w:p>
        </w:tc>
        <w:tc>
          <w:tcPr>
            <w:tcW w:w="766"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0,9%</w:t>
            </w:r>
          </w:p>
        </w:tc>
      </w:tr>
      <w:tr w:rsidR="00D4366D" w:rsidRPr="00D4366D" w:rsidTr="00D4366D">
        <w:trPr>
          <w:trHeight w:val="51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D4366D" w:rsidRPr="00D4366D" w:rsidRDefault="00D4366D" w:rsidP="00D4366D">
            <w:pPr>
              <w:spacing w:after="0"/>
              <w:ind w:firstLine="0"/>
              <w:jc w:val="left"/>
              <w:rPr>
                <w:sz w:val="18"/>
                <w:szCs w:val="18"/>
                <w:lang w:eastAsia="lv-LV"/>
              </w:rPr>
            </w:pPr>
            <w:r w:rsidRPr="00D4366D">
              <w:rPr>
                <w:sz w:val="18"/>
                <w:szCs w:val="18"/>
                <w:lang w:eastAsia="lv-LV"/>
              </w:rPr>
              <w:t>Nekustamā īpašuma nodoklis</w:t>
            </w:r>
          </w:p>
        </w:tc>
        <w:tc>
          <w:tcPr>
            <w:tcW w:w="992"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223,1</w:t>
            </w:r>
          </w:p>
        </w:tc>
        <w:tc>
          <w:tcPr>
            <w:tcW w:w="83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0,8%</w:t>
            </w:r>
          </w:p>
        </w:tc>
        <w:tc>
          <w:tcPr>
            <w:tcW w:w="9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226,4</w:t>
            </w:r>
          </w:p>
        </w:tc>
        <w:tc>
          <w:tcPr>
            <w:tcW w:w="766"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0,7%</w:t>
            </w:r>
          </w:p>
        </w:tc>
        <w:tc>
          <w:tcPr>
            <w:tcW w:w="11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223,1</w:t>
            </w:r>
          </w:p>
        </w:tc>
        <w:tc>
          <w:tcPr>
            <w:tcW w:w="939"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0,8%</w:t>
            </w:r>
          </w:p>
        </w:tc>
        <w:tc>
          <w:tcPr>
            <w:tcW w:w="9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230,7</w:t>
            </w:r>
          </w:p>
        </w:tc>
        <w:tc>
          <w:tcPr>
            <w:tcW w:w="766"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0,8%</w:t>
            </w:r>
          </w:p>
        </w:tc>
      </w:tr>
      <w:tr w:rsidR="00D4366D" w:rsidRPr="00D4366D" w:rsidTr="00D4366D">
        <w:trPr>
          <w:trHeight w:val="51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D4366D" w:rsidRPr="00D4366D" w:rsidRDefault="00D4366D" w:rsidP="00D4366D">
            <w:pPr>
              <w:spacing w:after="0"/>
              <w:ind w:firstLine="0"/>
              <w:jc w:val="left"/>
              <w:rPr>
                <w:sz w:val="18"/>
                <w:szCs w:val="18"/>
                <w:lang w:eastAsia="lv-LV"/>
              </w:rPr>
            </w:pPr>
            <w:r w:rsidRPr="00D4366D">
              <w:rPr>
                <w:sz w:val="18"/>
                <w:szCs w:val="18"/>
                <w:lang w:eastAsia="lv-LV"/>
              </w:rPr>
              <w:t>Solidaritātes nodoklis valsts pamatbudžetā</w:t>
            </w:r>
          </w:p>
        </w:tc>
        <w:tc>
          <w:tcPr>
            <w:tcW w:w="992"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33,9</w:t>
            </w:r>
          </w:p>
        </w:tc>
        <w:tc>
          <w:tcPr>
            <w:tcW w:w="83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0,1%</w:t>
            </w:r>
          </w:p>
        </w:tc>
        <w:tc>
          <w:tcPr>
            <w:tcW w:w="9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0,6</w:t>
            </w:r>
          </w:p>
        </w:tc>
        <w:tc>
          <w:tcPr>
            <w:tcW w:w="766"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0,0</w:t>
            </w:r>
          </w:p>
        </w:tc>
        <w:tc>
          <w:tcPr>
            <w:tcW w:w="939"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0,0%</w:t>
            </w:r>
          </w:p>
        </w:tc>
        <w:tc>
          <w:tcPr>
            <w:tcW w:w="9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0,0</w:t>
            </w:r>
          </w:p>
        </w:tc>
        <w:tc>
          <w:tcPr>
            <w:tcW w:w="766"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0,0%</w:t>
            </w:r>
          </w:p>
        </w:tc>
      </w:tr>
      <w:tr w:rsidR="00D4366D" w:rsidRPr="00D4366D" w:rsidTr="00D4366D">
        <w:trPr>
          <w:trHeight w:val="510"/>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D4366D" w:rsidRPr="00D4366D" w:rsidRDefault="00D4366D" w:rsidP="00D4366D">
            <w:pPr>
              <w:spacing w:after="0"/>
              <w:ind w:firstLine="0"/>
              <w:jc w:val="left"/>
              <w:rPr>
                <w:sz w:val="18"/>
                <w:szCs w:val="18"/>
                <w:lang w:eastAsia="lv-LV"/>
              </w:rPr>
            </w:pPr>
            <w:r w:rsidRPr="00D4366D">
              <w:rPr>
                <w:sz w:val="18"/>
                <w:szCs w:val="18"/>
                <w:lang w:eastAsia="lv-LV"/>
              </w:rPr>
              <w:t>Veselības aprūpes maksājums</w:t>
            </w:r>
          </w:p>
        </w:tc>
        <w:tc>
          <w:tcPr>
            <w:tcW w:w="992"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85,6</w:t>
            </w:r>
          </w:p>
        </w:tc>
        <w:tc>
          <w:tcPr>
            <w:tcW w:w="83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0,3%</w:t>
            </w:r>
          </w:p>
        </w:tc>
        <w:tc>
          <w:tcPr>
            <w:tcW w:w="9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100,0</w:t>
            </w:r>
          </w:p>
        </w:tc>
        <w:tc>
          <w:tcPr>
            <w:tcW w:w="766"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0,3%</w:t>
            </w:r>
          </w:p>
        </w:tc>
        <w:tc>
          <w:tcPr>
            <w:tcW w:w="11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92,0</w:t>
            </w:r>
          </w:p>
        </w:tc>
        <w:tc>
          <w:tcPr>
            <w:tcW w:w="939"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0,3%</w:t>
            </w:r>
          </w:p>
        </w:tc>
        <w:tc>
          <w:tcPr>
            <w:tcW w:w="991"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97,7</w:t>
            </w:r>
          </w:p>
        </w:tc>
        <w:tc>
          <w:tcPr>
            <w:tcW w:w="766" w:type="dxa"/>
            <w:tcBorders>
              <w:top w:val="nil"/>
              <w:left w:val="nil"/>
              <w:bottom w:val="single" w:sz="4" w:space="0" w:color="auto"/>
              <w:right w:val="single" w:sz="4" w:space="0" w:color="auto"/>
            </w:tcBorders>
            <w:shd w:val="clear" w:color="auto" w:fill="auto"/>
            <w:vAlign w:val="center"/>
            <w:hideMark/>
          </w:tcPr>
          <w:p w:rsidR="00D4366D" w:rsidRPr="00D4366D" w:rsidRDefault="00D4366D" w:rsidP="00D4366D">
            <w:pPr>
              <w:ind w:hanging="42"/>
              <w:jc w:val="center"/>
              <w:rPr>
                <w:sz w:val="18"/>
                <w:szCs w:val="18"/>
              </w:rPr>
            </w:pPr>
            <w:r w:rsidRPr="00D4366D">
              <w:rPr>
                <w:sz w:val="18"/>
                <w:szCs w:val="18"/>
              </w:rPr>
              <w:t>0,3%</w:t>
            </w:r>
          </w:p>
        </w:tc>
      </w:tr>
    </w:tbl>
    <w:p w:rsidR="00D4366D" w:rsidRPr="00713DC3" w:rsidRDefault="00D4366D" w:rsidP="00D4366D">
      <w:pPr>
        <w:spacing w:before="40" w:after="0"/>
        <w:ind w:hanging="11"/>
        <w:jc w:val="left"/>
        <w:rPr>
          <w:sz w:val="18"/>
          <w:szCs w:val="18"/>
        </w:rPr>
      </w:pPr>
      <w:r>
        <w:rPr>
          <w:sz w:val="18"/>
          <w:szCs w:val="18"/>
        </w:rPr>
        <w:t>*saskaņā ar likumprojektu “</w:t>
      </w:r>
      <w:r w:rsidRPr="00713DC3">
        <w:rPr>
          <w:sz w:val="18"/>
          <w:szCs w:val="18"/>
        </w:rPr>
        <w:t>Par valsts budžetu 2021.</w:t>
      </w:r>
      <w:r>
        <w:rPr>
          <w:sz w:val="18"/>
          <w:szCs w:val="18"/>
        </w:rPr>
        <w:t xml:space="preserve"> </w:t>
      </w:r>
      <w:r w:rsidRPr="00713DC3">
        <w:rPr>
          <w:sz w:val="18"/>
          <w:szCs w:val="18"/>
        </w:rPr>
        <w:t>gadam”</w:t>
      </w:r>
      <w:r>
        <w:rPr>
          <w:sz w:val="18"/>
          <w:szCs w:val="18"/>
        </w:rPr>
        <w:t>.</w:t>
      </w:r>
    </w:p>
    <w:p w:rsidR="00D4366D" w:rsidRPr="00713DC3" w:rsidRDefault="00D4366D" w:rsidP="00D4366D">
      <w:pPr>
        <w:spacing w:before="240"/>
      </w:pPr>
      <w:r w:rsidRPr="00713DC3">
        <w:t>2020. un 2021.</w:t>
      </w:r>
      <w:r w:rsidR="00412F14">
        <w:t xml:space="preserve"> </w:t>
      </w:r>
      <w:r w:rsidRPr="00713DC3">
        <w:t xml:space="preserve">gadā tiešo nodokļu ieņēmumu īpatsvars </w:t>
      </w:r>
      <w:r>
        <w:t>IKP</w:t>
      </w:r>
      <w:r w:rsidRPr="00713DC3">
        <w:t xml:space="preserve"> tiek prognozēts 17,3%, kas ir par 0,6</w:t>
      </w:r>
      <w:r>
        <w:t> </w:t>
      </w:r>
      <w:r w:rsidRPr="00713DC3">
        <w:t>procentpunktiem vairāk kā 2019.</w:t>
      </w:r>
      <w:r>
        <w:t xml:space="preserve"> </w:t>
      </w:r>
      <w:r w:rsidRPr="00713DC3">
        <w:t>gadā. To pamatā nosaka sociālās apdrošināšanas iemaksu un uzņēmumu ienākumu nodokļa īpatsvara palielinājums.</w:t>
      </w:r>
    </w:p>
    <w:p w:rsidR="00D4366D" w:rsidRPr="00C41A71" w:rsidRDefault="00D4366D" w:rsidP="00D4366D">
      <w:pPr>
        <w:spacing w:before="240"/>
        <w:ind w:firstLine="0"/>
        <w:jc w:val="center"/>
        <w:outlineLvl w:val="3"/>
        <w:rPr>
          <w:b/>
          <w:sz w:val="28"/>
        </w:rPr>
      </w:pPr>
      <w:bookmarkStart w:id="8" w:name="_Toc150840171"/>
      <w:bookmarkStart w:id="9" w:name="_Toc150941361"/>
      <w:r w:rsidRPr="00C41A71">
        <w:rPr>
          <w:b/>
          <w:sz w:val="28"/>
        </w:rPr>
        <w:t>Iedzīvotāju ienākuma nodoklis</w:t>
      </w:r>
      <w:bookmarkEnd w:id="8"/>
      <w:bookmarkEnd w:id="9"/>
    </w:p>
    <w:p w:rsidR="00D4366D" w:rsidRPr="00005C67" w:rsidRDefault="00D4366D" w:rsidP="00D4366D">
      <w:pPr>
        <w:rPr>
          <w:szCs w:val="24"/>
        </w:rPr>
      </w:pPr>
      <w:bookmarkStart w:id="10" w:name="_Toc150840172"/>
      <w:bookmarkStart w:id="11" w:name="_Toc150941362"/>
      <w:bookmarkStart w:id="12" w:name="_Toc150840170"/>
      <w:bookmarkStart w:id="13" w:name="_Toc150941360"/>
      <w:r w:rsidRPr="00C41A71">
        <w:t xml:space="preserve">Iedzīvotāju ienākuma nodokļa </w:t>
      </w:r>
      <w:r w:rsidRPr="00C41A71">
        <w:rPr>
          <w:szCs w:val="24"/>
        </w:rPr>
        <w:t>ieņēmumus galvenokārt ietekmē</w:t>
      </w:r>
      <w:r w:rsidRPr="00005C67">
        <w:rPr>
          <w:szCs w:val="24"/>
        </w:rPr>
        <w:t xml:space="preserve"> tautsaimniecībā nodarbināto skaits, nodarbināto ienākumi, atvieglojumu apmērs, kā arī minimālā darba alga.</w:t>
      </w:r>
    </w:p>
    <w:p w:rsidR="00D4366D" w:rsidRPr="00005C67" w:rsidRDefault="00D4366D" w:rsidP="00D4366D">
      <w:pPr>
        <w:rPr>
          <w:bCs/>
          <w:szCs w:val="24"/>
        </w:rPr>
      </w:pPr>
      <w:r w:rsidRPr="00005C67">
        <w:rPr>
          <w:szCs w:val="24"/>
        </w:rPr>
        <w:t>Kopējie iedzīvotāju ienākuma nodokļa ieņēmumi 2020.</w:t>
      </w:r>
      <w:r>
        <w:rPr>
          <w:szCs w:val="24"/>
        </w:rPr>
        <w:t xml:space="preserve"> </w:t>
      </w:r>
      <w:r w:rsidRPr="00005C67">
        <w:rPr>
          <w:szCs w:val="24"/>
        </w:rPr>
        <w:t>gada 1.</w:t>
      </w:r>
      <w:r>
        <w:rPr>
          <w:szCs w:val="24"/>
        </w:rPr>
        <w:t xml:space="preserve"> </w:t>
      </w:r>
      <w:r w:rsidRPr="00005C67">
        <w:rPr>
          <w:szCs w:val="24"/>
        </w:rPr>
        <w:t>pusgadā bija 837,3 milj. </w:t>
      </w:r>
      <w:proofErr w:type="spellStart"/>
      <w:r w:rsidRPr="00005C67">
        <w:rPr>
          <w:i/>
          <w:szCs w:val="24"/>
        </w:rPr>
        <w:t>euro</w:t>
      </w:r>
      <w:proofErr w:type="spellEnd"/>
      <w:r w:rsidRPr="00005C67">
        <w:rPr>
          <w:szCs w:val="24"/>
        </w:rPr>
        <w:t>, par 7,0 milj. </w:t>
      </w:r>
      <w:proofErr w:type="spellStart"/>
      <w:r w:rsidRPr="00005C67">
        <w:rPr>
          <w:i/>
          <w:szCs w:val="24"/>
        </w:rPr>
        <w:t>euro</w:t>
      </w:r>
      <w:proofErr w:type="spellEnd"/>
      <w:r>
        <w:rPr>
          <w:szCs w:val="24"/>
        </w:rPr>
        <w:t xml:space="preserve"> jeb 0,8%</w:t>
      </w:r>
      <w:r w:rsidRPr="00005C67">
        <w:rPr>
          <w:szCs w:val="24"/>
        </w:rPr>
        <w:t xml:space="preserve"> mazāk kā 2019.</w:t>
      </w:r>
      <w:r w:rsidR="00EC13B4">
        <w:rPr>
          <w:szCs w:val="24"/>
        </w:rPr>
        <w:t xml:space="preserve"> </w:t>
      </w:r>
      <w:r w:rsidRPr="00005C67">
        <w:rPr>
          <w:szCs w:val="24"/>
        </w:rPr>
        <w:t>gada attiecīgajā periodā. Ieņēmumu</w:t>
      </w:r>
      <w:r>
        <w:rPr>
          <w:szCs w:val="24"/>
        </w:rPr>
        <w:t xml:space="preserve"> kritums pret iepriekšējo gadu </w:t>
      </w:r>
      <w:r w:rsidRPr="00005C67">
        <w:rPr>
          <w:szCs w:val="24"/>
        </w:rPr>
        <w:t xml:space="preserve">pamatā saistās ar </w:t>
      </w:r>
      <w:r>
        <w:t xml:space="preserve">Covid-19 </w:t>
      </w:r>
      <w:r w:rsidRPr="00005C67">
        <w:rPr>
          <w:szCs w:val="24"/>
        </w:rPr>
        <w:t>krīzes izraisītajām sekām</w:t>
      </w:r>
      <w:r>
        <w:rPr>
          <w:szCs w:val="24"/>
        </w:rPr>
        <w:t xml:space="preserve">, tāpat to papildus ietekmēja arī </w:t>
      </w:r>
      <w:r w:rsidRPr="00005C67">
        <w:rPr>
          <w:szCs w:val="24"/>
        </w:rPr>
        <w:t>atvieglojumu apmēru pieaugum</w:t>
      </w:r>
      <w:r>
        <w:rPr>
          <w:szCs w:val="24"/>
        </w:rPr>
        <w:t>s</w:t>
      </w:r>
      <w:r w:rsidRPr="00005C67">
        <w:rPr>
          <w:szCs w:val="24"/>
        </w:rPr>
        <w:t>. Nodarbināto skaita, kā arī darba sam</w:t>
      </w:r>
      <w:r>
        <w:rPr>
          <w:szCs w:val="24"/>
        </w:rPr>
        <w:t>a</w:t>
      </w:r>
      <w:r w:rsidRPr="00005C67">
        <w:rPr>
          <w:szCs w:val="24"/>
        </w:rPr>
        <w:t xml:space="preserve">ksas fonda apmēra kritums bija vērojams no aprīļa mēneša. Savukārt </w:t>
      </w:r>
      <w:r w:rsidRPr="00005C67">
        <w:rPr>
          <w:bCs/>
          <w:szCs w:val="24"/>
        </w:rPr>
        <w:t xml:space="preserve">pusgada plāns ir pārsniegts par </w:t>
      </w:r>
      <w:r w:rsidRPr="00005C67">
        <w:rPr>
          <w:szCs w:val="24"/>
        </w:rPr>
        <w:t>35,3 milj. </w:t>
      </w:r>
      <w:proofErr w:type="spellStart"/>
      <w:r w:rsidRPr="00005C67">
        <w:rPr>
          <w:i/>
          <w:szCs w:val="24"/>
        </w:rPr>
        <w:t>euro</w:t>
      </w:r>
      <w:proofErr w:type="spellEnd"/>
      <w:r w:rsidRPr="00005C67">
        <w:rPr>
          <w:bCs/>
          <w:szCs w:val="24"/>
        </w:rPr>
        <w:t xml:space="preserve"> jeb 4,4%, ko </w:t>
      </w:r>
      <w:r w:rsidRPr="00005C67">
        <w:rPr>
          <w:szCs w:val="24"/>
        </w:rPr>
        <w:t xml:space="preserve">nodrošināja plāna </w:t>
      </w:r>
      <w:proofErr w:type="spellStart"/>
      <w:r w:rsidRPr="00005C67">
        <w:rPr>
          <w:szCs w:val="24"/>
        </w:rPr>
        <w:t>pārpilde</w:t>
      </w:r>
      <w:proofErr w:type="spellEnd"/>
      <w:r w:rsidRPr="00005C67">
        <w:rPr>
          <w:szCs w:val="24"/>
        </w:rPr>
        <w:t xml:space="preserve"> gada pirmajos divos mēnešos. Tam par iemeslu bija </w:t>
      </w:r>
      <w:r w:rsidRPr="00005C67">
        <w:t>ienākumu pieaugums no algota darba ienākumiem, kā arī daļa no ieturētā nodokļa par decembrī izmaksātajām dividendēm tika pārskaitīts budžetā janvāra sākumā</w:t>
      </w:r>
      <w:r w:rsidRPr="00005C67">
        <w:rPr>
          <w:szCs w:val="24"/>
        </w:rPr>
        <w:t>.</w:t>
      </w:r>
      <w:r>
        <w:rPr>
          <w:szCs w:val="24"/>
        </w:rPr>
        <w:t xml:space="preserve"> </w:t>
      </w:r>
      <w:r w:rsidRPr="009A0ABC">
        <w:t>Ņemot vērā darba samaksas fonda makroekonomiskās prognozes, 2020.</w:t>
      </w:r>
      <w:r w:rsidR="00EC13B4">
        <w:t xml:space="preserve"> </w:t>
      </w:r>
      <w:r w:rsidRPr="009A0ABC">
        <w:t xml:space="preserve">gada </w:t>
      </w:r>
      <w:r>
        <w:t>iedzīvotāju ienākuma nodokļa</w:t>
      </w:r>
      <w:r w:rsidRPr="009A0ABC">
        <w:t xml:space="preserve"> prognoze tika samazināta par </w:t>
      </w:r>
      <w:r>
        <w:t>60,5</w:t>
      </w:r>
      <w:r w:rsidRPr="009A0ABC">
        <w:t> milj. </w:t>
      </w:r>
      <w:proofErr w:type="spellStart"/>
      <w:r w:rsidRPr="009A0ABC">
        <w:rPr>
          <w:i/>
        </w:rPr>
        <w:t>euro</w:t>
      </w:r>
      <w:proofErr w:type="spellEnd"/>
      <w:r w:rsidRPr="009A0ABC">
        <w:t xml:space="preserve"> jeb par </w:t>
      </w:r>
      <w:r>
        <w:t>3,4</w:t>
      </w:r>
      <w:r w:rsidRPr="009A0ABC">
        <w:t>%, salīdzinot ar plānu.</w:t>
      </w:r>
    </w:p>
    <w:p w:rsidR="00D4366D" w:rsidRPr="00005C67" w:rsidRDefault="00D4366D" w:rsidP="00D4366D">
      <w:pPr>
        <w:rPr>
          <w:szCs w:val="24"/>
        </w:rPr>
      </w:pPr>
      <w:r w:rsidRPr="00005C67">
        <w:rPr>
          <w:szCs w:val="24"/>
        </w:rPr>
        <w:t xml:space="preserve"> Pēc Centrālās statistikas pārvaldes datiem 2020.</w:t>
      </w:r>
      <w:r w:rsidR="00EC13B4">
        <w:rPr>
          <w:szCs w:val="24"/>
        </w:rPr>
        <w:t xml:space="preserve"> </w:t>
      </w:r>
      <w:r w:rsidRPr="00005C67">
        <w:rPr>
          <w:szCs w:val="24"/>
        </w:rPr>
        <w:t>gada jūnijā strādājošo mēneša vidējā bruto darba samaksa bija 1</w:t>
      </w:r>
      <w:r>
        <w:rPr>
          <w:szCs w:val="24"/>
        </w:rPr>
        <w:t> </w:t>
      </w:r>
      <w:r w:rsidRPr="00005C67">
        <w:rPr>
          <w:szCs w:val="24"/>
        </w:rPr>
        <w:t>134</w:t>
      </w:r>
      <w:r>
        <w:rPr>
          <w:szCs w:val="24"/>
        </w:rPr>
        <w:t> </w:t>
      </w:r>
      <w:proofErr w:type="spellStart"/>
      <w:r w:rsidRPr="00005C67">
        <w:rPr>
          <w:i/>
          <w:szCs w:val="24"/>
        </w:rPr>
        <w:t>euro</w:t>
      </w:r>
      <w:proofErr w:type="spellEnd"/>
      <w:r w:rsidRPr="00005C67">
        <w:rPr>
          <w:szCs w:val="24"/>
        </w:rPr>
        <w:t xml:space="preserve"> jeb par 5,6</w:t>
      </w:r>
      <w:r>
        <w:rPr>
          <w:szCs w:val="24"/>
        </w:rPr>
        <w:t>%</w:t>
      </w:r>
      <w:r w:rsidRPr="00005C67">
        <w:rPr>
          <w:szCs w:val="24"/>
        </w:rPr>
        <w:t xml:space="preserve"> lielāka nekā 2019.</w:t>
      </w:r>
      <w:r w:rsidR="00EC13B4">
        <w:rPr>
          <w:szCs w:val="24"/>
        </w:rPr>
        <w:t xml:space="preserve"> </w:t>
      </w:r>
      <w:r w:rsidRPr="00005C67">
        <w:rPr>
          <w:szCs w:val="24"/>
        </w:rPr>
        <w:t>gada attiecīgajā mēnesī.</w:t>
      </w:r>
    </w:p>
    <w:p w:rsidR="00D4366D" w:rsidRPr="00005C67" w:rsidRDefault="00D4366D" w:rsidP="00EC13B4">
      <w:pPr>
        <w:rPr>
          <w:szCs w:val="24"/>
        </w:rPr>
      </w:pPr>
      <w:r w:rsidRPr="00005C67">
        <w:rPr>
          <w:szCs w:val="24"/>
        </w:rPr>
        <w:lastRenderedPageBreak/>
        <w:t>Saskaņā ar Nodarbinātības valsts aģentūras informāciju reģistrētā bezdarba līmenis 2020.</w:t>
      </w:r>
      <w:r w:rsidR="00EC13B4">
        <w:rPr>
          <w:szCs w:val="24"/>
        </w:rPr>
        <w:t xml:space="preserve"> </w:t>
      </w:r>
      <w:r w:rsidRPr="00005C67">
        <w:rPr>
          <w:szCs w:val="24"/>
        </w:rPr>
        <w:t xml:space="preserve">gada jūnijā bija 8,6 procenti, kas salīdzinājumā ar iepriekšējā gada attiecīgo mēnesi ir par 2,6 procentpunktiem vairāk. </w:t>
      </w:r>
    </w:p>
    <w:p w:rsidR="00D4366D" w:rsidRPr="00005C67" w:rsidRDefault="00D4366D" w:rsidP="00EC13B4">
      <w:pPr>
        <w:rPr>
          <w:szCs w:val="24"/>
        </w:rPr>
      </w:pPr>
      <w:r w:rsidRPr="00005C67">
        <w:rPr>
          <w:szCs w:val="24"/>
        </w:rPr>
        <w:t>Pēc informācijas iesniegtajos darba devēju ziņojumos par valsts sociālās apdrošināšanas obligātajām iemaksām un iedzīvotāju ienākuma nodokli, 2020.</w:t>
      </w:r>
      <w:r w:rsidR="00EC13B4">
        <w:rPr>
          <w:szCs w:val="24"/>
        </w:rPr>
        <w:t xml:space="preserve"> </w:t>
      </w:r>
      <w:r w:rsidRPr="00005C67">
        <w:rPr>
          <w:szCs w:val="24"/>
        </w:rPr>
        <w:t>gada 1.</w:t>
      </w:r>
      <w:r w:rsidR="00EC13B4">
        <w:rPr>
          <w:szCs w:val="24"/>
        </w:rPr>
        <w:t xml:space="preserve"> </w:t>
      </w:r>
      <w:r w:rsidRPr="00005C67">
        <w:rPr>
          <w:szCs w:val="24"/>
        </w:rPr>
        <w:t>pusgadā ienākumus virs valstī noteiktās minimālās darba algas saņēma 74,0</w:t>
      </w:r>
      <w:r>
        <w:rPr>
          <w:szCs w:val="24"/>
        </w:rPr>
        <w:t>%</w:t>
      </w:r>
      <w:r w:rsidRPr="00005C67">
        <w:rPr>
          <w:szCs w:val="24"/>
        </w:rPr>
        <w:t xml:space="preserve"> darba ņēmēju un to īpatsvars, salīdzinot ar 2019.</w:t>
      </w:r>
      <w:r w:rsidR="00EC13B4">
        <w:rPr>
          <w:szCs w:val="24"/>
        </w:rPr>
        <w:t xml:space="preserve"> </w:t>
      </w:r>
      <w:r w:rsidRPr="00005C67">
        <w:rPr>
          <w:szCs w:val="24"/>
        </w:rPr>
        <w:t>gada attiecīgo periodu, samazinājies par pusi procentpunkta. To pamatā veicināja darbinieku skaita, kuriem alga bija nulle, pieaugums krīzes periodā.</w:t>
      </w:r>
    </w:p>
    <w:p w:rsidR="00D4366D" w:rsidRPr="006711DE" w:rsidRDefault="00D4366D" w:rsidP="00EC13B4">
      <w:pPr>
        <w:ind w:firstLine="720"/>
      </w:pPr>
      <w:r w:rsidRPr="006711DE">
        <w:t xml:space="preserve">Saskaņā ar </w:t>
      </w:r>
      <w:r w:rsidR="00EC13B4">
        <w:rPr>
          <w:color w:val="000000" w:themeColor="text1"/>
        </w:rPr>
        <w:t>likumprojektu “</w:t>
      </w:r>
      <w:r w:rsidRPr="006711DE">
        <w:rPr>
          <w:color w:val="000000" w:themeColor="text1"/>
        </w:rPr>
        <w:t>Par valsts budžetu 2021.</w:t>
      </w:r>
      <w:r w:rsidR="00EC13B4">
        <w:rPr>
          <w:color w:val="000000" w:themeColor="text1"/>
        </w:rPr>
        <w:t xml:space="preserve"> </w:t>
      </w:r>
      <w:r w:rsidRPr="006711DE">
        <w:rPr>
          <w:color w:val="000000" w:themeColor="text1"/>
        </w:rPr>
        <w:t xml:space="preserve">gadam” </w:t>
      </w:r>
      <w:r w:rsidRPr="006711DE">
        <w:t>iedzīvotāju ienākuma nodokļa ieņēmumi 2021.</w:t>
      </w:r>
      <w:r w:rsidR="00EC13B4">
        <w:t xml:space="preserve"> </w:t>
      </w:r>
      <w:r w:rsidRPr="006711DE">
        <w:t>gadā tiek plānoti 1 778,7 milj. </w:t>
      </w:r>
      <w:proofErr w:type="spellStart"/>
      <w:r w:rsidRPr="006711DE">
        <w:rPr>
          <w:i/>
        </w:rPr>
        <w:t>euro</w:t>
      </w:r>
      <w:proofErr w:type="spellEnd"/>
      <w:r w:rsidRPr="006711DE">
        <w:t>, kas salīdzinājumā ar 2020.</w:t>
      </w:r>
      <w:r w:rsidR="00EC13B4">
        <w:t xml:space="preserve"> </w:t>
      </w:r>
      <w:r w:rsidRPr="006711DE">
        <w:t xml:space="preserve">gada prognozētajiem </w:t>
      </w:r>
      <w:r w:rsidRPr="00884D27">
        <w:t>ieņēmumiem ir par 80,8</w:t>
      </w:r>
      <w:r>
        <w:t> </w:t>
      </w:r>
      <w:r w:rsidRPr="00884D27">
        <w:t>milj. </w:t>
      </w:r>
      <w:proofErr w:type="spellStart"/>
      <w:r w:rsidRPr="00884D27">
        <w:rPr>
          <w:i/>
        </w:rPr>
        <w:t>euro</w:t>
      </w:r>
      <w:proofErr w:type="spellEnd"/>
      <w:r w:rsidRPr="00884D27">
        <w:t xml:space="preserve"> jeb 4,8% vairāk.</w:t>
      </w:r>
      <w:r w:rsidRPr="006711DE">
        <w:t xml:space="preserve"> </w:t>
      </w:r>
    </w:p>
    <w:p w:rsidR="00D4366D" w:rsidRPr="00005C67" w:rsidRDefault="00D4366D" w:rsidP="00EC13B4">
      <w:pPr>
        <w:rPr>
          <w:szCs w:val="24"/>
        </w:rPr>
      </w:pPr>
      <w:r w:rsidRPr="00005C67">
        <w:rPr>
          <w:szCs w:val="24"/>
        </w:rPr>
        <w:t>Iedzīvotāju ienākuma nodokļa 2021</w:t>
      </w:r>
      <w:r>
        <w:rPr>
          <w:szCs w:val="24"/>
        </w:rPr>
        <w:t>.</w:t>
      </w:r>
      <w:r w:rsidR="00EC13B4">
        <w:rPr>
          <w:szCs w:val="24"/>
        </w:rPr>
        <w:t xml:space="preserve"> </w:t>
      </w:r>
      <w:r w:rsidRPr="00005C67">
        <w:rPr>
          <w:szCs w:val="24"/>
        </w:rPr>
        <w:t>gadam ieņēmumu plānu ietekmēs prognozētais darba samaksas fonda pieauguma temps, 2020.</w:t>
      </w:r>
      <w:r w:rsidR="00EC13B4">
        <w:rPr>
          <w:szCs w:val="24"/>
        </w:rPr>
        <w:t xml:space="preserve"> </w:t>
      </w:r>
      <w:r w:rsidRPr="00005C67">
        <w:rPr>
          <w:szCs w:val="24"/>
        </w:rPr>
        <w:t>gada pirmā pusgada izpilde, kā arī</w:t>
      </w:r>
      <w:r w:rsidRPr="00005C67">
        <w:rPr>
          <w:szCs w:val="24"/>
          <w:lang w:eastAsia="lv-LV"/>
        </w:rPr>
        <w:t xml:space="preserve"> 3.1. sadaļā minētie pasākumi</w:t>
      </w:r>
      <w:r w:rsidRPr="00005C67">
        <w:rPr>
          <w:szCs w:val="24"/>
        </w:rPr>
        <w:t>.</w:t>
      </w:r>
    </w:p>
    <w:p w:rsidR="00D4366D" w:rsidRPr="001A5AD8" w:rsidRDefault="00D4366D" w:rsidP="00EC13B4">
      <w:pPr>
        <w:spacing w:before="120"/>
        <w:ind w:right="-1"/>
        <w:rPr>
          <w:rFonts w:eastAsia="Calibri"/>
          <w:noProof/>
          <w:szCs w:val="24"/>
          <w:lang w:eastAsia="lv-LV"/>
        </w:rPr>
      </w:pPr>
      <w:r w:rsidRPr="001A5AD8">
        <w:tab/>
      </w:r>
      <w:r w:rsidRPr="001A5AD8">
        <w:rPr>
          <w:noProof/>
          <w:szCs w:val="24"/>
        </w:rPr>
        <w:t xml:space="preserve">Kā būtiskāko pasākumu jāmin </w:t>
      </w:r>
      <w:r w:rsidRPr="001A5AD8">
        <w:t xml:space="preserve">informatīvajā ziņojumā </w:t>
      </w:r>
      <w:r w:rsidR="00EC13B4" w:rsidRPr="00EC13B4">
        <w:rPr>
          <w:b/>
        </w:rPr>
        <w:t>“</w:t>
      </w:r>
      <w:r w:rsidRPr="00EC13B4">
        <w:rPr>
          <w:b/>
        </w:rPr>
        <w:t>Par nodokļu politikas attīstības virzieniem, valsts sociālās un veselības apdrošināšanas ilgtspējas veicināšanai</w:t>
      </w:r>
      <w:r w:rsidR="00EC13B4" w:rsidRPr="00EC13B4">
        <w:rPr>
          <w:b/>
        </w:rPr>
        <w:t>”</w:t>
      </w:r>
      <w:r w:rsidRPr="001A5AD8">
        <w:t xml:space="preserve"> ietverto</w:t>
      </w:r>
      <w:r w:rsidRPr="001A5AD8">
        <w:rPr>
          <w:szCs w:val="24"/>
          <w:lang w:eastAsia="lv-LV"/>
        </w:rPr>
        <w:t xml:space="preserve"> </w:t>
      </w:r>
      <w:r w:rsidRPr="001A5AD8">
        <w:rPr>
          <w:noProof/>
          <w:szCs w:val="24"/>
        </w:rPr>
        <w:t>iedzīvotāju ienākuma nodokļa diferencētā neapliekamā minimuma</w:t>
      </w:r>
      <w:r w:rsidRPr="001A5AD8">
        <w:rPr>
          <w:rFonts w:eastAsia="Calibri"/>
          <w:noProof/>
          <w:szCs w:val="24"/>
          <w:lang w:eastAsia="lv-LV"/>
        </w:rPr>
        <w:t xml:space="preserve"> sliekšņa paaugstināšanu līdz 1 800 </w:t>
      </w:r>
      <w:r w:rsidRPr="00EC13B4">
        <w:rPr>
          <w:rFonts w:eastAsia="Calibri"/>
          <w:i/>
          <w:noProof/>
          <w:szCs w:val="24"/>
          <w:lang w:eastAsia="lv-LV"/>
        </w:rPr>
        <w:t>euro</w:t>
      </w:r>
      <w:r w:rsidRPr="001A5AD8">
        <w:rPr>
          <w:rFonts w:eastAsia="Calibri"/>
          <w:noProof/>
          <w:szCs w:val="24"/>
          <w:lang w:eastAsia="lv-LV"/>
        </w:rPr>
        <w:t xml:space="preserve"> mēnesī </w:t>
      </w:r>
      <w:r w:rsidRPr="001A5AD8">
        <w:rPr>
          <w:szCs w:val="24"/>
        </w:rPr>
        <w:t>(</w:t>
      </w:r>
      <w:r w:rsidRPr="001A5AD8">
        <w:rPr>
          <w:szCs w:val="24"/>
          <w:lang w:eastAsia="lv-LV"/>
        </w:rPr>
        <w:t xml:space="preserve">fiskālā ietekme </w:t>
      </w:r>
      <w:r w:rsidRPr="001A5AD8">
        <w:rPr>
          <w:szCs w:val="24"/>
        </w:rPr>
        <w:t>2021.</w:t>
      </w:r>
      <w:r w:rsidR="00EC13B4">
        <w:rPr>
          <w:szCs w:val="24"/>
        </w:rPr>
        <w:t xml:space="preserve"> </w:t>
      </w:r>
      <w:r w:rsidRPr="001A5AD8">
        <w:rPr>
          <w:szCs w:val="24"/>
        </w:rPr>
        <w:t>gadā</w:t>
      </w:r>
      <w:r w:rsidRPr="001A5AD8">
        <w:rPr>
          <w:szCs w:val="24"/>
          <w:lang w:eastAsia="lv-LV"/>
        </w:rPr>
        <w:t xml:space="preserve"> </w:t>
      </w:r>
      <w:r w:rsidRPr="001A5AD8">
        <w:rPr>
          <w:szCs w:val="24"/>
        </w:rPr>
        <w:t>-38,1 milj. </w:t>
      </w:r>
      <w:proofErr w:type="spellStart"/>
      <w:r w:rsidRPr="001A5AD8">
        <w:rPr>
          <w:i/>
          <w:spacing w:val="-6"/>
          <w:szCs w:val="24"/>
        </w:rPr>
        <w:t>euro</w:t>
      </w:r>
      <w:proofErr w:type="spellEnd"/>
      <w:r w:rsidRPr="001A5AD8">
        <w:rPr>
          <w:szCs w:val="24"/>
        </w:rPr>
        <w:t xml:space="preserve"> (t.sk., valsts budžetā -9,5 milj. </w:t>
      </w:r>
      <w:proofErr w:type="spellStart"/>
      <w:r w:rsidRPr="001A5AD8">
        <w:rPr>
          <w:i/>
          <w:spacing w:val="-6"/>
          <w:szCs w:val="24"/>
        </w:rPr>
        <w:t>euro</w:t>
      </w:r>
      <w:proofErr w:type="spellEnd"/>
      <w:r w:rsidRPr="001A5AD8">
        <w:rPr>
          <w:szCs w:val="24"/>
        </w:rPr>
        <w:t>, pašvaldību budžetā -28,6 milj. </w:t>
      </w:r>
      <w:proofErr w:type="spellStart"/>
      <w:r w:rsidRPr="001A5AD8">
        <w:rPr>
          <w:i/>
          <w:spacing w:val="-6"/>
          <w:szCs w:val="24"/>
        </w:rPr>
        <w:t>euro</w:t>
      </w:r>
      <w:proofErr w:type="spellEnd"/>
      <w:r w:rsidRPr="001A5AD8">
        <w:rPr>
          <w:szCs w:val="24"/>
        </w:rPr>
        <w:t>)</w:t>
      </w:r>
      <w:r w:rsidR="00EC13B4">
        <w:rPr>
          <w:szCs w:val="24"/>
        </w:rPr>
        <w:t>)</w:t>
      </w:r>
      <w:r w:rsidRPr="001A5AD8">
        <w:rPr>
          <w:szCs w:val="24"/>
        </w:rPr>
        <w:t>, kas turpina virzienu darbaspēka nodokļu sloga mazināšanā</w:t>
      </w:r>
      <w:r w:rsidRPr="001A5AD8">
        <w:rPr>
          <w:rFonts w:eastAsia="Calibri"/>
          <w:noProof/>
          <w:szCs w:val="24"/>
          <w:lang w:eastAsia="lv-LV"/>
        </w:rPr>
        <w:t>.</w:t>
      </w:r>
    </w:p>
    <w:p w:rsidR="00D4366D" w:rsidRPr="001A5AD8" w:rsidRDefault="00D4366D" w:rsidP="00EC13B4">
      <w:pPr>
        <w:spacing w:before="120"/>
        <w:ind w:right="-1"/>
        <w:rPr>
          <w:szCs w:val="24"/>
          <w:lang w:eastAsia="lv-LV"/>
        </w:rPr>
      </w:pPr>
      <w:r w:rsidRPr="001A5AD8">
        <w:rPr>
          <w:rFonts w:eastAsia="Calibri"/>
          <w:noProof/>
          <w:szCs w:val="24"/>
          <w:lang w:eastAsia="lv-LV"/>
        </w:rPr>
        <w:t>Tāpat iedzīvotāju ienākuma nodokļa ieņēmumus ietekmēs</w:t>
      </w:r>
      <w:r w:rsidRPr="001A5AD8">
        <w:rPr>
          <w:szCs w:val="24"/>
          <w:lang w:eastAsia="lv-LV"/>
        </w:rPr>
        <w:t xml:space="preserve"> </w:t>
      </w:r>
      <w:r w:rsidRPr="001A5AD8">
        <w:rPr>
          <w:noProof/>
          <w:szCs w:val="24"/>
        </w:rPr>
        <w:t xml:space="preserve">VSAOI likmes samazināšana no 35,09 </w:t>
      </w:r>
      <w:r w:rsidR="00EC13B4">
        <w:rPr>
          <w:noProof/>
          <w:szCs w:val="24"/>
        </w:rPr>
        <w:t>%</w:t>
      </w:r>
      <w:r w:rsidRPr="001A5AD8">
        <w:rPr>
          <w:noProof/>
          <w:szCs w:val="24"/>
        </w:rPr>
        <w:t xml:space="preserve"> uz 34,09 </w:t>
      </w:r>
      <w:r w:rsidR="00EC13B4">
        <w:rPr>
          <w:noProof/>
          <w:szCs w:val="24"/>
        </w:rPr>
        <w:t>%</w:t>
      </w:r>
      <w:r w:rsidRPr="001A5AD8">
        <w:rPr>
          <w:noProof/>
          <w:szCs w:val="24"/>
        </w:rPr>
        <w:t xml:space="preserve"> </w:t>
      </w:r>
      <w:r w:rsidRPr="001A5AD8">
        <w:rPr>
          <w:szCs w:val="24"/>
        </w:rPr>
        <w:t>(</w:t>
      </w:r>
      <w:r w:rsidRPr="001A5AD8">
        <w:rPr>
          <w:szCs w:val="24"/>
          <w:lang w:eastAsia="lv-LV"/>
        </w:rPr>
        <w:t xml:space="preserve">fiskālā ietekme </w:t>
      </w:r>
      <w:r w:rsidRPr="001A5AD8">
        <w:rPr>
          <w:szCs w:val="24"/>
        </w:rPr>
        <w:t>2021.</w:t>
      </w:r>
      <w:r w:rsidR="00EC13B4">
        <w:rPr>
          <w:szCs w:val="24"/>
        </w:rPr>
        <w:t xml:space="preserve"> </w:t>
      </w:r>
      <w:r w:rsidRPr="001A5AD8">
        <w:rPr>
          <w:szCs w:val="24"/>
        </w:rPr>
        <w:t>gadā +6,1 milj. </w:t>
      </w:r>
      <w:proofErr w:type="spellStart"/>
      <w:r w:rsidRPr="001A5AD8">
        <w:rPr>
          <w:i/>
          <w:spacing w:val="-6"/>
          <w:szCs w:val="24"/>
        </w:rPr>
        <w:t>euro</w:t>
      </w:r>
      <w:proofErr w:type="spellEnd"/>
      <w:r w:rsidRPr="001A5AD8">
        <w:rPr>
          <w:szCs w:val="24"/>
        </w:rPr>
        <w:t xml:space="preserve"> (t.sk., valsts budžetā +1,5 milj. </w:t>
      </w:r>
      <w:proofErr w:type="spellStart"/>
      <w:r w:rsidRPr="001A5AD8">
        <w:rPr>
          <w:i/>
          <w:spacing w:val="-6"/>
          <w:szCs w:val="24"/>
        </w:rPr>
        <w:t>euro</w:t>
      </w:r>
      <w:proofErr w:type="spellEnd"/>
      <w:r w:rsidRPr="001A5AD8">
        <w:rPr>
          <w:szCs w:val="24"/>
        </w:rPr>
        <w:t>, pašvaldību budžetā +4,6 milj. </w:t>
      </w:r>
      <w:proofErr w:type="spellStart"/>
      <w:r w:rsidRPr="001A5AD8">
        <w:rPr>
          <w:i/>
          <w:spacing w:val="-6"/>
          <w:szCs w:val="24"/>
        </w:rPr>
        <w:t>euro</w:t>
      </w:r>
      <w:proofErr w:type="spellEnd"/>
      <w:r w:rsidRPr="001A5AD8">
        <w:rPr>
          <w:szCs w:val="24"/>
        </w:rPr>
        <w:t xml:space="preserve">)) un </w:t>
      </w:r>
      <w:r w:rsidRPr="001A5AD8">
        <w:rPr>
          <w:noProof/>
          <w:szCs w:val="24"/>
        </w:rPr>
        <w:t xml:space="preserve">minimālā VSAOI apmēra ieviešana un alternatīvo nodokļu režīmu reorganizācija </w:t>
      </w:r>
      <w:r w:rsidRPr="001A5AD8">
        <w:rPr>
          <w:szCs w:val="24"/>
        </w:rPr>
        <w:t>(</w:t>
      </w:r>
      <w:r w:rsidRPr="001A5AD8">
        <w:rPr>
          <w:szCs w:val="24"/>
          <w:lang w:eastAsia="lv-LV"/>
        </w:rPr>
        <w:t xml:space="preserve">fiskālā ietekme </w:t>
      </w:r>
      <w:r w:rsidRPr="001A5AD8">
        <w:rPr>
          <w:szCs w:val="24"/>
        </w:rPr>
        <w:t>2021.</w:t>
      </w:r>
      <w:r w:rsidR="00EC13B4">
        <w:rPr>
          <w:szCs w:val="24"/>
        </w:rPr>
        <w:t xml:space="preserve"> </w:t>
      </w:r>
      <w:r w:rsidRPr="001A5AD8">
        <w:rPr>
          <w:szCs w:val="24"/>
        </w:rPr>
        <w:t>gadā</w:t>
      </w:r>
      <w:r w:rsidRPr="001A5AD8">
        <w:rPr>
          <w:szCs w:val="24"/>
          <w:lang w:eastAsia="lv-LV"/>
        </w:rPr>
        <w:t xml:space="preserve"> </w:t>
      </w:r>
      <w:r w:rsidRPr="001A5AD8">
        <w:rPr>
          <w:szCs w:val="24"/>
        </w:rPr>
        <w:t>+12,9 milj. </w:t>
      </w:r>
      <w:proofErr w:type="spellStart"/>
      <w:r w:rsidRPr="001A5AD8">
        <w:rPr>
          <w:i/>
          <w:spacing w:val="-6"/>
          <w:szCs w:val="24"/>
        </w:rPr>
        <w:t>euro</w:t>
      </w:r>
      <w:proofErr w:type="spellEnd"/>
      <w:r w:rsidRPr="001A5AD8">
        <w:rPr>
          <w:szCs w:val="24"/>
        </w:rPr>
        <w:t xml:space="preserve"> (t.sk., valsts budžetā +3,2 milj. </w:t>
      </w:r>
      <w:proofErr w:type="spellStart"/>
      <w:r w:rsidRPr="001A5AD8">
        <w:rPr>
          <w:i/>
          <w:spacing w:val="-6"/>
          <w:szCs w:val="24"/>
        </w:rPr>
        <w:t>euro</w:t>
      </w:r>
      <w:proofErr w:type="spellEnd"/>
      <w:r w:rsidRPr="001A5AD8">
        <w:rPr>
          <w:szCs w:val="24"/>
        </w:rPr>
        <w:t>, pašvaldību budžetā +9,7 milj. </w:t>
      </w:r>
      <w:proofErr w:type="spellStart"/>
      <w:r w:rsidRPr="001A5AD8">
        <w:rPr>
          <w:i/>
          <w:spacing w:val="-6"/>
          <w:szCs w:val="24"/>
        </w:rPr>
        <w:t>euro</w:t>
      </w:r>
      <w:proofErr w:type="spellEnd"/>
      <w:r w:rsidRPr="001A5AD8">
        <w:rPr>
          <w:szCs w:val="24"/>
        </w:rPr>
        <w:t>))</w:t>
      </w:r>
      <w:r w:rsidRPr="001A5AD8">
        <w:rPr>
          <w:szCs w:val="24"/>
          <w:lang w:eastAsia="lv-LV"/>
        </w:rPr>
        <w:t>. Vienlaikus samazinās trešā progresīvā iedzīvotāju ienākuma nodokļa likme no 31,4% uz 31,0%</w:t>
      </w:r>
      <w:r w:rsidRPr="001A5AD8">
        <w:rPr>
          <w:szCs w:val="24"/>
        </w:rPr>
        <w:t xml:space="preserve">, kas </w:t>
      </w:r>
      <w:r w:rsidRPr="001A5AD8">
        <w:t>tiek aprēķināta matemātiski, lai neveidotos papildus piemaksas, salīdzinājumā ar 2020.</w:t>
      </w:r>
      <w:r w:rsidR="00EC13B4">
        <w:t xml:space="preserve"> </w:t>
      </w:r>
      <w:r w:rsidRPr="001A5AD8">
        <w:t>gadā esošajiem aprēķiniem</w:t>
      </w:r>
      <w:r w:rsidRPr="001A5AD8">
        <w:rPr>
          <w:szCs w:val="24"/>
        </w:rPr>
        <w:t>.</w:t>
      </w:r>
      <w:r w:rsidRPr="001A5AD8">
        <w:rPr>
          <w:szCs w:val="24"/>
          <w:lang w:eastAsia="lv-LV"/>
        </w:rPr>
        <w:t xml:space="preserve"> </w:t>
      </w:r>
    </w:p>
    <w:p w:rsidR="00D4366D" w:rsidRPr="00915FA8" w:rsidRDefault="00D4366D" w:rsidP="00EC13B4">
      <w:pPr>
        <w:spacing w:before="120"/>
        <w:ind w:right="-1"/>
        <w:rPr>
          <w:szCs w:val="24"/>
          <w:lang w:eastAsia="lv-LV"/>
        </w:rPr>
      </w:pPr>
      <w:r w:rsidRPr="001A5AD8">
        <w:rPr>
          <w:noProof/>
          <w:szCs w:val="24"/>
        </w:rPr>
        <w:t>Jāatzīmē arī iedzīvotāju ienākuma nodokļa</w:t>
      </w:r>
      <w:r w:rsidRPr="001A5AD8">
        <w:rPr>
          <w:szCs w:val="24"/>
        </w:rPr>
        <w:t xml:space="preserve"> pā</w:t>
      </w:r>
      <w:r w:rsidR="00FD7849">
        <w:rPr>
          <w:szCs w:val="24"/>
        </w:rPr>
        <w:t>rdale pašvaldību budžetam no 80</w:t>
      </w:r>
      <w:r w:rsidR="00FD7849">
        <w:rPr>
          <w:noProof/>
          <w:szCs w:val="24"/>
        </w:rPr>
        <w:t>%</w:t>
      </w:r>
      <w:r w:rsidRPr="001A5AD8">
        <w:rPr>
          <w:szCs w:val="24"/>
        </w:rPr>
        <w:t xml:space="preserve"> uz 75</w:t>
      </w:r>
      <w:r w:rsidR="00FD7849">
        <w:rPr>
          <w:szCs w:val="24"/>
        </w:rPr>
        <w:t> </w:t>
      </w:r>
      <w:r w:rsidR="00FD7849">
        <w:rPr>
          <w:noProof/>
          <w:szCs w:val="24"/>
        </w:rPr>
        <w:t>%</w:t>
      </w:r>
      <w:r w:rsidRPr="001A5AD8">
        <w:rPr>
          <w:szCs w:val="24"/>
        </w:rPr>
        <w:t xml:space="preserve"> un valsts pamatbudžetam no 20</w:t>
      </w:r>
      <w:r w:rsidR="00FD7849">
        <w:rPr>
          <w:noProof/>
          <w:szCs w:val="24"/>
        </w:rPr>
        <w:t>%</w:t>
      </w:r>
      <w:r w:rsidR="00FD7849">
        <w:rPr>
          <w:szCs w:val="24"/>
        </w:rPr>
        <w:t xml:space="preserve"> uz 25%</w:t>
      </w:r>
      <w:r w:rsidRPr="001A5AD8">
        <w:rPr>
          <w:noProof/>
          <w:szCs w:val="24"/>
        </w:rPr>
        <w:t xml:space="preserve">, kur </w:t>
      </w:r>
      <w:r w:rsidRPr="001A5AD8">
        <w:rPr>
          <w:szCs w:val="24"/>
        </w:rPr>
        <w:t xml:space="preserve">kopējā </w:t>
      </w:r>
      <w:r w:rsidRPr="001A5AD8">
        <w:rPr>
          <w:szCs w:val="24"/>
          <w:lang w:eastAsia="lv-LV"/>
        </w:rPr>
        <w:t xml:space="preserve">fiskālā ietekme </w:t>
      </w:r>
      <w:r w:rsidRPr="001A5AD8">
        <w:rPr>
          <w:szCs w:val="24"/>
        </w:rPr>
        <w:t>2021.</w:t>
      </w:r>
      <w:r w:rsidR="00FD7849">
        <w:rPr>
          <w:szCs w:val="24"/>
        </w:rPr>
        <w:t xml:space="preserve"> </w:t>
      </w:r>
      <w:r w:rsidRPr="001A5AD8">
        <w:rPr>
          <w:szCs w:val="24"/>
        </w:rPr>
        <w:t>gadā</w:t>
      </w:r>
      <w:r w:rsidRPr="001A5AD8">
        <w:rPr>
          <w:szCs w:val="24"/>
          <w:lang w:eastAsia="lv-LV"/>
        </w:rPr>
        <w:t xml:space="preserve"> </w:t>
      </w:r>
      <w:r w:rsidRPr="001A5AD8">
        <w:rPr>
          <w:szCs w:val="24"/>
        </w:rPr>
        <w:t xml:space="preserve">neitrāla, </w:t>
      </w:r>
      <w:r>
        <w:rPr>
          <w:szCs w:val="24"/>
        </w:rPr>
        <w:t>palielinoties</w:t>
      </w:r>
      <w:r w:rsidRPr="001A5AD8">
        <w:rPr>
          <w:szCs w:val="24"/>
        </w:rPr>
        <w:t xml:space="preserve"> valsts budžet</w:t>
      </w:r>
      <w:r>
        <w:rPr>
          <w:szCs w:val="24"/>
        </w:rPr>
        <w:t>a daļai</w:t>
      </w:r>
      <w:r w:rsidRPr="001A5AD8">
        <w:rPr>
          <w:szCs w:val="24"/>
        </w:rPr>
        <w:t xml:space="preserve"> +90,9 milj. </w:t>
      </w:r>
      <w:proofErr w:type="spellStart"/>
      <w:r w:rsidRPr="001A5AD8">
        <w:rPr>
          <w:i/>
          <w:spacing w:val="-6"/>
          <w:szCs w:val="24"/>
        </w:rPr>
        <w:t>euro</w:t>
      </w:r>
      <w:proofErr w:type="spellEnd"/>
      <w:r w:rsidRPr="001A5AD8">
        <w:rPr>
          <w:szCs w:val="24"/>
        </w:rPr>
        <w:t xml:space="preserve"> un </w:t>
      </w:r>
      <w:r>
        <w:rPr>
          <w:szCs w:val="24"/>
        </w:rPr>
        <w:t xml:space="preserve">attiecīgi samazinoties </w:t>
      </w:r>
      <w:r w:rsidRPr="001A5AD8">
        <w:rPr>
          <w:szCs w:val="24"/>
        </w:rPr>
        <w:t>pašvaldību budžet</w:t>
      </w:r>
      <w:r>
        <w:rPr>
          <w:szCs w:val="24"/>
        </w:rPr>
        <w:t>a daļai</w:t>
      </w:r>
      <w:r w:rsidRPr="001A5AD8">
        <w:rPr>
          <w:szCs w:val="24"/>
        </w:rPr>
        <w:t xml:space="preserve"> -90,9 milj. </w:t>
      </w:r>
      <w:proofErr w:type="spellStart"/>
      <w:r w:rsidRPr="001A5AD8">
        <w:rPr>
          <w:i/>
          <w:spacing w:val="-6"/>
          <w:szCs w:val="24"/>
        </w:rPr>
        <w:t>euro</w:t>
      </w:r>
      <w:proofErr w:type="spellEnd"/>
      <w:r w:rsidRPr="001A5AD8">
        <w:rPr>
          <w:noProof/>
          <w:szCs w:val="24"/>
        </w:rPr>
        <w:t>.</w:t>
      </w:r>
    </w:p>
    <w:p w:rsidR="00D4366D" w:rsidRPr="00005C67" w:rsidRDefault="00D4366D" w:rsidP="00EC13B4">
      <w:pPr>
        <w:pStyle w:val="cipari"/>
        <w:ind w:left="0" w:firstLine="709"/>
        <w:rPr>
          <w:rFonts w:eastAsia="Calibri"/>
          <w:szCs w:val="24"/>
          <w:lang w:eastAsia="lv-LV"/>
        </w:rPr>
      </w:pPr>
      <w:r w:rsidRPr="00005C67">
        <w:rPr>
          <w:rFonts w:eastAsia="Calibri"/>
          <w:szCs w:val="24"/>
          <w:lang w:eastAsia="lv-LV"/>
        </w:rPr>
        <w:t xml:space="preserve">Papildus minētajam </w:t>
      </w:r>
      <w:r w:rsidRPr="00005C67">
        <w:rPr>
          <w:szCs w:val="24"/>
        </w:rPr>
        <w:t xml:space="preserve">iedzīvotāju ienākuma </w:t>
      </w:r>
      <w:r w:rsidRPr="00005C67">
        <w:rPr>
          <w:rFonts w:eastAsia="Calibri"/>
          <w:szCs w:val="24"/>
          <w:lang w:eastAsia="lv-LV"/>
        </w:rPr>
        <w:t xml:space="preserve">nodokļu ieņēmumus </w:t>
      </w:r>
      <w:r w:rsidR="00843043">
        <w:rPr>
          <w:rFonts w:eastAsia="Calibri"/>
          <w:szCs w:val="24"/>
          <w:lang w:eastAsia="lv-LV"/>
        </w:rPr>
        <w:t>2021</w:t>
      </w:r>
      <w:r w:rsidRPr="00005C67">
        <w:rPr>
          <w:rFonts w:eastAsia="Calibri"/>
          <w:szCs w:val="24"/>
          <w:lang w:eastAsia="lv-LV"/>
        </w:rPr>
        <w:t>.</w:t>
      </w:r>
      <w:r w:rsidR="00843043">
        <w:rPr>
          <w:rFonts w:eastAsia="Calibri"/>
          <w:szCs w:val="24"/>
          <w:lang w:eastAsia="lv-LV"/>
        </w:rPr>
        <w:t xml:space="preserve"> </w:t>
      </w:r>
      <w:r w:rsidRPr="00005C67">
        <w:rPr>
          <w:rFonts w:eastAsia="Calibri"/>
          <w:szCs w:val="24"/>
          <w:lang w:eastAsia="lv-LV"/>
        </w:rPr>
        <w:t xml:space="preserve">gadā ietekmēs arī </w:t>
      </w:r>
      <w:r w:rsidR="00843043">
        <w:rPr>
          <w:rFonts w:eastAsia="Calibri"/>
          <w:szCs w:val="24"/>
          <w:lang w:eastAsia="lv-LV"/>
        </w:rPr>
        <w:t>MK</w:t>
      </w:r>
      <w:r w:rsidRPr="00005C67">
        <w:rPr>
          <w:rFonts w:eastAsia="Calibri"/>
          <w:szCs w:val="24"/>
          <w:lang w:eastAsia="lv-LV"/>
        </w:rPr>
        <w:t xml:space="preserve"> atbalstītie pasākumi likumprojekta “Par valsts budžetu 2021.</w:t>
      </w:r>
      <w:r w:rsidR="00412F14">
        <w:rPr>
          <w:rFonts w:eastAsia="Calibri"/>
          <w:szCs w:val="24"/>
          <w:lang w:eastAsia="lv-LV"/>
        </w:rPr>
        <w:t xml:space="preserve"> </w:t>
      </w:r>
      <w:r w:rsidRPr="00005C67">
        <w:rPr>
          <w:rFonts w:eastAsia="Calibri"/>
          <w:szCs w:val="24"/>
          <w:lang w:eastAsia="lv-LV"/>
        </w:rPr>
        <w:t>gadam” izstrādes gaitā:</w:t>
      </w:r>
    </w:p>
    <w:p w:rsidR="00D4366D" w:rsidRPr="00932584" w:rsidRDefault="00D4366D" w:rsidP="00373FD4">
      <w:pPr>
        <w:pStyle w:val="ListParagraph"/>
        <w:numPr>
          <w:ilvl w:val="0"/>
          <w:numId w:val="3"/>
        </w:numPr>
        <w:spacing w:before="120"/>
        <w:ind w:right="-1"/>
        <w:rPr>
          <w:rFonts w:eastAsia="Calibri"/>
          <w:color w:val="000000"/>
          <w:szCs w:val="24"/>
          <w:lang w:eastAsia="lv-LV"/>
        </w:rPr>
      </w:pPr>
      <w:r w:rsidRPr="00005C67">
        <w:rPr>
          <w:szCs w:val="24"/>
          <w:lang w:eastAsia="lv-LV"/>
        </w:rPr>
        <w:t>grozījumi Čeku loterijas likumā</w:t>
      </w:r>
      <w:r>
        <w:rPr>
          <w:szCs w:val="24"/>
          <w:lang w:eastAsia="lv-LV"/>
        </w:rPr>
        <w:t xml:space="preserve"> </w:t>
      </w:r>
      <w:r w:rsidRPr="00483F14">
        <w:rPr>
          <w:szCs w:val="24"/>
        </w:rPr>
        <w:t>(</w:t>
      </w:r>
      <w:r w:rsidRPr="00483F14">
        <w:rPr>
          <w:szCs w:val="24"/>
          <w:lang w:eastAsia="lv-LV"/>
        </w:rPr>
        <w:t>fiskālā ietekme</w:t>
      </w:r>
      <w:r>
        <w:rPr>
          <w:szCs w:val="24"/>
          <w:lang w:eastAsia="lv-LV"/>
        </w:rPr>
        <w:t xml:space="preserve"> </w:t>
      </w:r>
      <w:r>
        <w:rPr>
          <w:szCs w:val="24"/>
        </w:rPr>
        <w:t>2021.</w:t>
      </w:r>
      <w:r w:rsidR="00412F14">
        <w:rPr>
          <w:szCs w:val="24"/>
        </w:rPr>
        <w:t xml:space="preserve"> </w:t>
      </w:r>
      <w:r>
        <w:rPr>
          <w:szCs w:val="24"/>
        </w:rPr>
        <w:t>gadā</w:t>
      </w:r>
      <w:r w:rsidR="00843043">
        <w:rPr>
          <w:szCs w:val="24"/>
        </w:rPr>
        <w:t xml:space="preserve"> </w:t>
      </w:r>
      <w:r>
        <w:rPr>
          <w:szCs w:val="24"/>
        </w:rPr>
        <w:t>+4,2 tūkst</w:t>
      </w:r>
      <w:r w:rsidRPr="00483F14">
        <w:rPr>
          <w:szCs w:val="24"/>
        </w:rPr>
        <w:t>. </w:t>
      </w:r>
      <w:proofErr w:type="spellStart"/>
      <w:r w:rsidRPr="00483F14">
        <w:rPr>
          <w:i/>
          <w:spacing w:val="-6"/>
          <w:szCs w:val="24"/>
        </w:rPr>
        <w:t>euro</w:t>
      </w:r>
      <w:proofErr w:type="spellEnd"/>
      <w:r w:rsidRPr="00483F14">
        <w:rPr>
          <w:szCs w:val="24"/>
        </w:rPr>
        <w:t xml:space="preserve"> (t.sk., valsts budžetā </w:t>
      </w:r>
      <w:r>
        <w:rPr>
          <w:szCs w:val="24"/>
        </w:rPr>
        <w:t>+0,8</w:t>
      </w:r>
      <w:r w:rsidRPr="00483F14">
        <w:rPr>
          <w:szCs w:val="24"/>
        </w:rPr>
        <w:t> </w:t>
      </w:r>
      <w:r>
        <w:rPr>
          <w:szCs w:val="24"/>
        </w:rPr>
        <w:t>tūkst</w:t>
      </w:r>
      <w:r w:rsidRPr="00483F14">
        <w:rPr>
          <w:szCs w:val="24"/>
        </w:rPr>
        <w:t>. </w:t>
      </w:r>
      <w:proofErr w:type="spellStart"/>
      <w:r w:rsidRPr="00483F14">
        <w:rPr>
          <w:i/>
          <w:spacing w:val="-6"/>
          <w:szCs w:val="24"/>
        </w:rPr>
        <w:t>euro</w:t>
      </w:r>
      <w:proofErr w:type="spellEnd"/>
      <w:r w:rsidRPr="00483F14">
        <w:rPr>
          <w:szCs w:val="24"/>
        </w:rPr>
        <w:t xml:space="preserve">, pašvaldību budžetā </w:t>
      </w:r>
      <w:r>
        <w:rPr>
          <w:szCs w:val="24"/>
        </w:rPr>
        <w:t>+3,4</w:t>
      </w:r>
      <w:r w:rsidRPr="00483F14">
        <w:rPr>
          <w:szCs w:val="24"/>
        </w:rPr>
        <w:t> </w:t>
      </w:r>
      <w:r>
        <w:rPr>
          <w:szCs w:val="24"/>
        </w:rPr>
        <w:t>tūkst</w:t>
      </w:r>
      <w:r w:rsidRPr="00483F14">
        <w:rPr>
          <w:szCs w:val="24"/>
        </w:rPr>
        <w:t>. </w:t>
      </w:r>
      <w:proofErr w:type="spellStart"/>
      <w:r w:rsidRPr="00483F14">
        <w:rPr>
          <w:i/>
          <w:spacing w:val="-6"/>
          <w:szCs w:val="24"/>
        </w:rPr>
        <w:t>euro</w:t>
      </w:r>
      <w:proofErr w:type="spellEnd"/>
      <w:r>
        <w:rPr>
          <w:szCs w:val="24"/>
        </w:rPr>
        <w:t>))</w:t>
      </w:r>
      <w:r>
        <w:rPr>
          <w:szCs w:val="24"/>
          <w:lang w:eastAsia="lv-LV"/>
        </w:rPr>
        <w:t>;</w:t>
      </w:r>
    </w:p>
    <w:p w:rsidR="00D4366D" w:rsidRPr="00D9515F" w:rsidRDefault="00D4366D" w:rsidP="00373FD4">
      <w:pPr>
        <w:pStyle w:val="ListParagraph"/>
        <w:numPr>
          <w:ilvl w:val="0"/>
          <w:numId w:val="3"/>
        </w:numPr>
        <w:spacing w:before="120"/>
        <w:ind w:right="-1"/>
        <w:rPr>
          <w:rFonts w:eastAsia="Calibri"/>
          <w:color w:val="000000"/>
          <w:szCs w:val="24"/>
          <w:lang w:eastAsia="lv-LV"/>
        </w:rPr>
      </w:pPr>
      <w:r>
        <w:rPr>
          <w:noProof/>
          <w:szCs w:val="24"/>
        </w:rPr>
        <w:t xml:space="preserve">pārmaksātā </w:t>
      </w:r>
      <w:r w:rsidRPr="007F6CE9">
        <w:rPr>
          <w:noProof/>
          <w:szCs w:val="24"/>
        </w:rPr>
        <w:t>iedzīvotāju ienākuma nodokļa</w:t>
      </w:r>
      <w:r>
        <w:rPr>
          <w:noProof/>
          <w:szCs w:val="24"/>
        </w:rPr>
        <w:t xml:space="preserve"> atmaksu neveikšana, ja nav iesniegta deklarācija, par kādu no iepriekšējiem gadiem </w:t>
      </w:r>
      <w:r w:rsidRPr="00005C67">
        <w:rPr>
          <w:szCs w:val="24"/>
          <w:lang w:eastAsia="lv-LV"/>
        </w:rPr>
        <w:t>likumā</w:t>
      </w:r>
      <w:r>
        <w:rPr>
          <w:szCs w:val="24"/>
          <w:lang w:eastAsia="lv-LV"/>
        </w:rPr>
        <w:t xml:space="preserve"> </w:t>
      </w:r>
      <w:r w:rsidRPr="00483F14">
        <w:rPr>
          <w:szCs w:val="24"/>
        </w:rPr>
        <w:t>(</w:t>
      </w:r>
      <w:r w:rsidRPr="00483F14">
        <w:rPr>
          <w:szCs w:val="24"/>
          <w:lang w:eastAsia="lv-LV"/>
        </w:rPr>
        <w:t>fiskālā ietekme</w:t>
      </w:r>
      <w:r>
        <w:rPr>
          <w:szCs w:val="24"/>
          <w:lang w:eastAsia="lv-LV"/>
        </w:rPr>
        <w:t xml:space="preserve"> </w:t>
      </w:r>
      <w:r>
        <w:rPr>
          <w:szCs w:val="24"/>
        </w:rPr>
        <w:t>2021.</w:t>
      </w:r>
      <w:r w:rsidR="00843043">
        <w:rPr>
          <w:szCs w:val="24"/>
        </w:rPr>
        <w:t> </w:t>
      </w:r>
      <w:r>
        <w:rPr>
          <w:szCs w:val="24"/>
        </w:rPr>
        <w:t>gadā</w:t>
      </w:r>
      <w:r w:rsidRPr="00483F14">
        <w:rPr>
          <w:szCs w:val="24"/>
          <w:lang w:eastAsia="lv-LV"/>
        </w:rPr>
        <w:t xml:space="preserve"> </w:t>
      </w:r>
      <w:r>
        <w:rPr>
          <w:szCs w:val="24"/>
        </w:rPr>
        <w:t>+1,0 milj</w:t>
      </w:r>
      <w:r w:rsidRPr="00483F14">
        <w:rPr>
          <w:szCs w:val="24"/>
        </w:rPr>
        <w:t>. </w:t>
      </w:r>
      <w:proofErr w:type="spellStart"/>
      <w:r w:rsidRPr="00483F14">
        <w:rPr>
          <w:i/>
          <w:spacing w:val="-6"/>
          <w:szCs w:val="24"/>
        </w:rPr>
        <w:t>euro</w:t>
      </w:r>
      <w:proofErr w:type="spellEnd"/>
      <w:r w:rsidRPr="00483F14">
        <w:rPr>
          <w:szCs w:val="24"/>
        </w:rPr>
        <w:t xml:space="preserve"> (t.sk., valsts budžetā </w:t>
      </w:r>
      <w:r>
        <w:rPr>
          <w:szCs w:val="24"/>
        </w:rPr>
        <w:t>+0,25</w:t>
      </w:r>
      <w:r w:rsidRPr="00483F14">
        <w:rPr>
          <w:szCs w:val="24"/>
        </w:rPr>
        <w:t> </w:t>
      </w:r>
      <w:r>
        <w:rPr>
          <w:szCs w:val="24"/>
        </w:rPr>
        <w:t>milj</w:t>
      </w:r>
      <w:r w:rsidRPr="00483F14">
        <w:rPr>
          <w:szCs w:val="24"/>
        </w:rPr>
        <w:t>. </w:t>
      </w:r>
      <w:proofErr w:type="spellStart"/>
      <w:r w:rsidRPr="00483F14">
        <w:rPr>
          <w:i/>
          <w:spacing w:val="-6"/>
          <w:szCs w:val="24"/>
        </w:rPr>
        <w:t>euro</w:t>
      </w:r>
      <w:proofErr w:type="spellEnd"/>
      <w:r w:rsidRPr="00483F14">
        <w:rPr>
          <w:szCs w:val="24"/>
        </w:rPr>
        <w:t xml:space="preserve">, pašvaldību budžetā </w:t>
      </w:r>
      <w:r>
        <w:rPr>
          <w:szCs w:val="24"/>
        </w:rPr>
        <w:t>+0,75</w:t>
      </w:r>
      <w:r w:rsidRPr="00483F14">
        <w:rPr>
          <w:szCs w:val="24"/>
        </w:rPr>
        <w:t> </w:t>
      </w:r>
      <w:r>
        <w:rPr>
          <w:szCs w:val="24"/>
        </w:rPr>
        <w:t>milj</w:t>
      </w:r>
      <w:r w:rsidRPr="00483F14">
        <w:rPr>
          <w:szCs w:val="24"/>
        </w:rPr>
        <w:t>. </w:t>
      </w:r>
      <w:proofErr w:type="spellStart"/>
      <w:r w:rsidRPr="00483F14">
        <w:rPr>
          <w:i/>
          <w:spacing w:val="-6"/>
          <w:szCs w:val="24"/>
        </w:rPr>
        <w:t>euro</w:t>
      </w:r>
      <w:proofErr w:type="spellEnd"/>
      <w:r>
        <w:rPr>
          <w:szCs w:val="24"/>
        </w:rPr>
        <w:t>));</w:t>
      </w:r>
    </w:p>
    <w:p w:rsidR="00D4366D" w:rsidRPr="00872E30" w:rsidRDefault="00D4366D" w:rsidP="00373FD4">
      <w:pPr>
        <w:pStyle w:val="ListParagraph"/>
        <w:numPr>
          <w:ilvl w:val="0"/>
          <w:numId w:val="3"/>
        </w:numPr>
        <w:spacing w:before="120"/>
        <w:ind w:right="-1"/>
        <w:rPr>
          <w:rFonts w:eastAsia="Calibri"/>
          <w:color w:val="000000"/>
          <w:szCs w:val="24"/>
          <w:lang w:eastAsia="lv-LV"/>
        </w:rPr>
      </w:pPr>
      <w:r>
        <w:rPr>
          <w:szCs w:val="28"/>
          <w:lang w:eastAsia="lv-LV"/>
        </w:rPr>
        <w:t>a</w:t>
      </w:r>
      <w:r w:rsidRPr="00AA740C">
        <w:rPr>
          <w:szCs w:val="28"/>
          <w:lang w:eastAsia="lv-LV"/>
        </w:rPr>
        <w:t>tgriezeniskais efekts no algu palielināšanas veselības un izglītības jomā</w:t>
      </w:r>
      <w:r>
        <w:rPr>
          <w:szCs w:val="28"/>
          <w:lang w:eastAsia="lv-LV"/>
        </w:rPr>
        <w:t xml:space="preserve"> </w:t>
      </w:r>
      <w:r w:rsidRPr="00483F14">
        <w:rPr>
          <w:szCs w:val="24"/>
        </w:rPr>
        <w:t>(</w:t>
      </w:r>
      <w:r w:rsidRPr="00483F14">
        <w:rPr>
          <w:szCs w:val="24"/>
          <w:lang w:eastAsia="lv-LV"/>
        </w:rPr>
        <w:t>fiskālā ietekme</w:t>
      </w:r>
      <w:r>
        <w:rPr>
          <w:szCs w:val="24"/>
          <w:lang w:eastAsia="lv-LV"/>
        </w:rPr>
        <w:t xml:space="preserve"> </w:t>
      </w:r>
      <w:r>
        <w:rPr>
          <w:szCs w:val="24"/>
        </w:rPr>
        <w:t>2021.</w:t>
      </w:r>
      <w:r w:rsidR="00843043">
        <w:rPr>
          <w:szCs w:val="24"/>
        </w:rPr>
        <w:t xml:space="preserve"> </w:t>
      </w:r>
      <w:r>
        <w:rPr>
          <w:szCs w:val="24"/>
        </w:rPr>
        <w:t>gadā</w:t>
      </w:r>
      <w:r w:rsidRPr="00483F14">
        <w:rPr>
          <w:szCs w:val="24"/>
          <w:lang w:eastAsia="lv-LV"/>
        </w:rPr>
        <w:t xml:space="preserve"> </w:t>
      </w:r>
      <w:r>
        <w:rPr>
          <w:szCs w:val="24"/>
        </w:rPr>
        <w:t>+32,1 milj</w:t>
      </w:r>
      <w:r w:rsidRPr="00483F14">
        <w:rPr>
          <w:szCs w:val="24"/>
        </w:rPr>
        <w:t>. </w:t>
      </w:r>
      <w:proofErr w:type="spellStart"/>
      <w:r w:rsidRPr="00483F14">
        <w:rPr>
          <w:i/>
          <w:spacing w:val="-6"/>
          <w:szCs w:val="24"/>
        </w:rPr>
        <w:t>euro</w:t>
      </w:r>
      <w:proofErr w:type="spellEnd"/>
      <w:r w:rsidRPr="00483F14">
        <w:rPr>
          <w:szCs w:val="24"/>
        </w:rPr>
        <w:t xml:space="preserve"> (t.sk., valsts budžetā </w:t>
      </w:r>
      <w:r>
        <w:rPr>
          <w:szCs w:val="24"/>
        </w:rPr>
        <w:t>+6,4</w:t>
      </w:r>
      <w:r w:rsidRPr="00483F14">
        <w:rPr>
          <w:szCs w:val="24"/>
        </w:rPr>
        <w:t> </w:t>
      </w:r>
      <w:r>
        <w:rPr>
          <w:szCs w:val="24"/>
        </w:rPr>
        <w:t>milj</w:t>
      </w:r>
      <w:r w:rsidRPr="00483F14">
        <w:rPr>
          <w:szCs w:val="24"/>
        </w:rPr>
        <w:t>. </w:t>
      </w:r>
      <w:proofErr w:type="spellStart"/>
      <w:r w:rsidRPr="00483F14">
        <w:rPr>
          <w:i/>
          <w:spacing w:val="-6"/>
          <w:szCs w:val="24"/>
        </w:rPr>
        <w:t>euro</w:t>
      </w:r>
      <w:proofErr w:type="spellEnd"/>
      <w:r w:rsidRPr="00483F14">
        <w:rPr>
          <w:szCs w:val="24"/>
        </w:rPr>
        <w:t xml:space="preserve">, pašvaldību budžetā </w:t>
      </w:r>
      <w:r>
        <w:rPr>
          <w:szCs w:val="24"/>
        </w:rPr>
        <w:t>+25,7</w:t>
      </w:r>
      <w:r w:rsidRPr="00483F14">
        <w:rPr>
          <w:szCs w:val="24"/>
        </w:rPr>
        <w:t> </w:t>
      </w:r>
      <w:r>
        <w:rPr>
          <w:szCs w:val="24"/>
        </w:rPr>
        <w:t>milj</w:t>
      </w:r>
      <w:r w:rsidRPr="00483F14">
        <w:rPr>
          <w:szCs w:val="24"/>
        </w:rPr>
        <w:t>. </w:t>
      </w:r>
      <w:proofErr w:type="spellStart"/>
      <w:r w:rsidRPr="00483F14">
        <w:rPr>
          <w:i/>
          <w:spacing w:val="-6"/>
          <w:szCs w:val="24"/>
        </w:rPr>
        <w:t>euro</w:t>
      </w:r>
      <w:proofErr w:type="spellEnd"/>
      <w:r>
        <w:rPr>
          <w:szCs w:val="24"/>
        </w:rPr>
        <w:t>)).</w:t>
      </w:r>
    </w:p>
    <w:p w:rsidR="00D4366D" w:rsidRPr="00005C67" w:rsidRDefault="00D4366D" w:rsidP="00D4366D">
      <w:pPr>
        <w:pStyle w:val="cipari"/>
        <w:spacing w:after="0"/>
        <w:ind w:left="0" w:firstLine="709"/>
        <w:rPr>
          <w:rFonts w:eastAsia="Calibri"/>
          <w:szCs w:val="24"/>
          <w:lang w:eastAsia="lv-LV"/>
        </w:rPr>
      </w:pPr>
      <w:r w:rsidRPr="00005C67">
        <w:rPr>
          <w:rFonts w:eastAsia="Calibri"/>
          <w:szCs w:val="24"/>
          <w:lang w:eastAsia="lv-LV"/>
        </w:rPr>
        <w:t xml:space="preserve">Tāpat  </w:t>
      </w:r>
      <w:r w:rsidRPr="00005C67">
        <w:rPr>
          <w:szCs w:val="24"/>
        </w:rPr>
        <w:t xml:space="preserve">iedzīvotāju ienākuma nodokļa ieņēmumus </w:t>
      </w:r>
      <w:r>
        <w:rPr>
          <w:rFonts w:eastAsia="Calibri"/>
          <w:szCs w:val="24"/>
          <w:lang w:eastAsia="lv-LV"/>
        </w:rPr>
        <w:t xml:space="preserve">ietekmēs arī iepriekš </w:t>
      </w:r>
      <w:r w:rsidRPr="00005C67">
        <w:rPr>
          <w:rFonts w:eastAsia="Calibri"/>
          <w:szCs w:val="24"/>
          <w:lang w:eastAsia="lv-LV"/>
        </w:rPr>
        <w:t>pieņemtie</w:t>
      </w:r>
      <w:r>
        <w:rPr>
          <w:rFonts w:eastAsia="Calibri"/>
          <w:szCs w:val="24"/>
          <w:lang w:eastAsia="lv-LV"/>
        </w:rPr>
        <w:t xml:space="preserve"> </w:t>
      </w:r>
      <w:r w:rsidRPr="00005C67">
        <w:rPr>
          <w:rFonts w:eastAsia="Calibri"/>
          <w:szCs w:val="24"/>
          <w:lang w:eastAsia="lv-LV"/>
        </w:rPr>
        <w:t>nodokļu pasākumi:</w:t>
      </w:r>
    </w:p>
    <w:p w:rsidR="00D4366D" w:rsidRPr="00005C67" w:rsidRDefault="00D4366D" w:rsidP="00373FD4">
      <w:pPr>
        <w:pStyle w:val="ListParagraph"/>
        <w:numPr>
          <w:ilvl w:val="0"/>
          <w:numId w:val="3"/>
        </w:numPr>
        <w:spacing w:before="120"/>
        <w:ind w:right="-1"/>
        <w:rPr>
          <w:szCs w:val="24"/>
          <w:lang w:eastAsia="lv-LV"/>
        </w:rPr>
      </w:pPr>
      <w:r w:rsidRPr="00483F14">
        <w:rPr>
          <w:rFonts w:eastAsia="Calibri"/>
          <w:color w:val="000000"/>
          <w:szCs w:val="24"/>
          <w:lang w:eastAsia="lv-LV"/>
        </w:rPr>
        <w:lastRenderedPageBreak/>
        <w:t>minimālās mēneša darba algas paaugstināšana līdz 500</w:t>
      </w:r>
      <w:r>
        <w:rPr>
          <w:rFonts w:eastAsia="Calibri"/>
          <w:color w:val="000000"/>
          <w:szCs w:val="24"/>
          <w:lang w:eastAsia="lv-LV"/>
        </w:rPr>
        <w:t> </w:t>
      </w:r>
      <w:proofErr w:type="spellStart"/>
      <w:r w:rsidRPr="00843043">
        <w:rPr>
          <w:rFonts w:eastAsia="Calibri"/>
          <w:i/>
          <w:color w:val="000000"/>
          <w:szCs w:val="24"/>
          <w:lang w:eastAsia="lv-LV"/>
        </w:rPr>
        <w:t>euro</w:t>
      </w:r>
      <w:proofErr w:type="spellEnd"/>
      <w:r w:rsidRPr="00483F14">
        <w:rPr>
          <w:rFonts w:eastAsia="Calibri"/>
          <w:color w:val="000000"/>
          <w:szCs w:val="24"/>
          <w:lang w:eastAsia="lv-LV"/>
        </w:rPr>
        <w:t>/mēnesī ar 2021.</w:t>
      </w:r>
      <w:r w:rsidR="00843043">
        <w:rPr>
          <w:rFonts w:eastAsia="Calibri"/>
          <w:color w:val="000000"/>
          <w:szCs w:val="24"/>
          <w:lang w:eastAsia="lv-LV"/>
        </w:rPr>
        <w:t> </w:t>
      </w:r>
      <w:r w:rsidRPr="00483F14">
        <w:rPr>
          <w:rFonts w:eastAsia="Calibri"/>
          <w:color w:val="000000"/>
          <w:szCs w:val="24"/>
          <w:lang w:eastAsia="lv-LV"/>
        </w:rPr>
        <w:t xml:space="preserve">gadu </w:t>
      </w:r>
      <w:r w:rsidRPr="00483F14">
        <w:rPr>
          <w:szCs w:val="24"/>
        </w:rPr>
        <w:t>(</w:t>
      </w:r>
      <w:r w:rsidRPr="00483F14">
        <w:rPr>
          <w:szCs w:val="24"/>
          <w:lang w:eastAsia="lv-LV"/>
        </w:rPr>
        <w:t>fiskālā ietekme</w:t>
      </w:r>
      <w:r>
        <w:rPr>
          <w:szCs w:val="24"/>
          <w:lang w:eastAsia="lv-LV"/>
        </w:rPr>
        <w:t xml:space="preserve"> </w:t>
      </w:r>
      <w:r>
        <w:rPr>
          <w:szCs w:val="24"/>
        </w:rPr>
        <w:t>2021.</w:t>
      </w:r>
      <w:r w:rsidR="00843043">
        <w:rPr>
          <w:szCs w:val="24"/>
        </w:rPr>
        <w:t xml:space="preserve"> </w:t>
      </w:r>
      <w:r>
        <w:rPr>
          <w:szCs w:val="24"/>
        </w:rPr>
        <w:t>gadā</w:t>
      </w:r>
      <w:r w:rsidRPr="00483F14">
        <w:rPr>
          <w:szCs w:val="24"/>
          <w:lang w:eastAsia="lv-LV"/>
        </w:rPr>
        <w:t xml:space="preserve"> </w:t>
      </w:r>
      <w:r w:rsidRPr="00483F14">
        <w:rPr>
          <w:szCs w:val="24"/>
        </w:rPr>
        <w:t>+11,9</w:t>
      </w:r>
      <w:r>
        <w:rPr>
          <w:szCs w:val="24"/>
        </w:rPr>
        <w:t> </w:t>
      </w:r>
      <w:r w:rsidRPr="00483F14">
        <w:rPr>
          <w:szCs w:val="24"/>
        </w:rPr>
        <w:t>milj. </w:t>
      </w:r>
      <w:proofErr w:type="spellStart"/>
      <w:r w:rsidRPr="00483F14">
        <w:rPr>
          <w:i/>
          <w:spacing w:val="-6"/>
          <w:szCs w:val="24"/>
        </w:rPr>
        <w:t>euro</w:t>
      </w:r>
      <w:proofErr w:type="spellEnd"/>
      <w:r w:rsidRPr="00483F14">
        <w:rPr>
          <w:szCs w:val="24"/>
        </w:rPr>
        <w:t xml:space="preserve"> (t.sk., valsts budžetā +2,4 milj. </w:t>
      </w:r>
      <w:proofErr w:type="spellStart"/>
      <w:r w:rsidRPr="00483F14">
        <w:rPr>
          <w:i/>
          <w:spacing w:val="-6"/>
          <w:szCs w:val="24"/>
        </w:rPr>
        <w:t>euro</w:t>
      </w:r>
      <w:proofErr w:type="spellEnd"/>
      <w:r w:rsidRPr="00483F14">
        <w:rPr>
          <w:szCs w:val="24"/>
        </w:rPr>
        <w:t>, pašvaldību budžetā +9,5 milj. </w:t>
      </w:r>
      <w:proofErr w:type="spellStart"/>
      <w:r w:rsidRPr="00483F14">
        <w:rPr>
          <w:i/>
          <w:spacing w:val="-6"/>
          <w:szCs w:val="24"/>
        </w:rPr>
        <w:t>euro</w:t>
      </w:r>
      <w:proofErr w:type="spellEnd"/>
      <w:r w:rsidRPr="00483F14">
        <w:rPr>
          <w:szCs w:val="24"/>
        </w:rPr>
        <w:t>)</w:t>
      </w:r>
      <w:r>
        <w:rPr>
          <w:szCs w:val="24"/>
        </w:rPr>
        <w:t>)</w:t>
      </w:r>
      <w:r w:rsidRPr="00005C67">
        <w:rPr>
          <w:szCs w:val="24"/>
          <w:lang w:eastAsia="lv-LV"/>
        </w:rPr>
        <w:t>;</w:t>
      </w:r>
    </w:p>
    <w:p w:rsidR="00D4366D" w:rsidRDefault="00D4366D" w:rsidP="00373FD4">
      <w:pPr>
        <w:pStyle w:val="ListParagraph"/>
        <w:numPr>
          <w:ilvl w:val="0"/>
          <w:numId w:val="3"/>
        </w:numPr>
        <w:spacing w:before="120"/>
        <w:ind w:right="-1"/>
        <w:rPr>
          <w:szCs w:val="24"/>
          <w:lang w:eastAsia="lv-LV"/>
        </w:rPr>
      </w:pPr>
      <w:r w:rsidRPr="00005C67">
        <w:rPr>
          <w:szCs w:val="24"/>
        </w:rPr>
        <w:t xml:space="preserve">neapliekamā minimuma pensionāriem </w:t>
      </w:r>
      <w:r w:rsidRPr="00005C67">
        <w:rPr>
          <w:noProof/>
          <w:szCs w:val="24"/>
        </w:rPr>
        <w:t>palielināšana</w:t>
      </w:r>
      <w:r w:rsidRPr="00005C67">
        <w:rPr>
          <w:szCs w:val="24"/>
        </w:rPr>
        <w:t xml:space="preserve"> 2021.</w:t>
      </w:r>
      <w:r w:rsidR="00843043">
        <w:rPr>
          <w:szCs w:val="24"/>
        </w:rPr>
        <w:t xml:space="preserve"> </w:t>
      </w:r>
      <w:r w:rsidRPr="00005C67">
        <w:rPr>
          <w:szCs w:val="24"/>
        </w:rPr>
        <w:t>gadā</w:t>
      </w:r>
      <w:r>
        <w:rPr>
          <w:szCs w:val="24"/>
        </w:rPr>
        <w:t xml:space="preserve"> </w:t>
      </w:r>
      <w:r w:rsidRPr="00483F14">
        <w:rPr>
          <w:szCs w:val="24"/>
        </w:rPr>
        <w:t>– līdz 330 </w:t>
      </w:r>
      <w:proofErr w:type="spellStart"/>
      <w:r w:rsidRPr="00483F14">
        <w:rPr>
          <w:i/>
          <w:szCs w:val="24"/>
        </w:rPr>
        <w:t>euro</w:t>
      </w:r>
      <w:proofErr w:type="spellEnd"/>
      <w:r w:rsidRPr="00483F14">
        <w:rPr>
          <w:szCs w:val="24"/>
        </w:rPr>
        <w:t xml:space="preserve"> mēnesī (</w:t>
      </w:r>
      <w:r w:rsidRPr="00483F14">
        <w:rPr>
          <w:szCs w:val="24"/>
          <w:lang w:eastAsia="lv-LV"/>
        </w:rPr>
        <w:t>fiskālā ietekme</w:t>
      </w:r>
      <w:r>
        <w:rPr>
          <w:szCs w:val="24"/>
          <w:lang w:eastAsia="lv-LV"/>
        </w:rPr>
        <w:t xml:space="preserve"> </w:t>
      </w:r>
      <w:r>
        <w:rPr>
          <w:szCs w:val="24"/>
        </w:rPr>
        <w:t>2021.</w:t>
      </w:r>
      <w:r w:rsidR="00843043">
        <w:rPr>
          <w:szCs w:val="24"/>
        </w:rPr>
        <w:t xml:space="preserve"> </w:t>
      </w:r>
      <w:r>
        <w:rPr>
          <w:szCs w:val="24"/>
        </w:rPr>
        <w:t>gadā</w:t>
      </w:r>
      <w:r w:rsidRPr="00483F14">
        <w:rPr>
          <w:szCs w:val="24"/>
          <w:lang w:eastAsia="lv-LV"/>
        </w:rPr>
        <w:t xml:space="preserve"> </w:t>
      </w:r>
      <w:r w:rsidRPr="00483F14">
        <w:rPr>
          <w:szCs w:val="24"/>
        </w:rPr>
        <w:t>-11,8 milj. </w:t>
      </w:r>
      <w:proofErr w:type="spellStart"/>
      <w:r w:rsidRPr="00483F14">
        <w:rPr>
          <w:i/>
          <w:spacing w:val="-6"/>
          <w:szCs w:val="24"/>
        </w:rPr>
        <w:t>euro</w:t>
      </w:r>
      <w:proofErr w:type="spellEnd"/>
      <w:r w:rsidRPr="00483F14">
        <w:rPr>
          <w:szCs w:val="24"/>
        </w:rPr>
        <w:t xml:space="preserve"> (t.sk., valsts budžetā -2,4 milj. </w:t>
      </w:r>
      <w:proofErr w:type="spellStart"/>
      <w:r w:rsidRPr="00483F14">
        <w:rPr>
          <w:i/>
          <w:spacing w:val="-6"/>
          <w:szCs w:val="24"/>
        </w:rPr>
        <w:t>euro</w:t>
      </w:r>
      <w:proofErr w:type="spellEnd"/>
      <w:r w:rsidRPr="00483F14">
        <w:rPr>
          <w:szCs w:val="24"/>
        </w:rPr>
        <w:t>, pašvaldību budžetā -9,4 milj. </w:t>
      </w:r>
      <w:proofErr w:type="spellStart"/>
      <w:r w:rsidRPr="00483F14">
        <w:rPr>
          <w:i/>
          <w:spacing w:val="-6"/>
          <w:szCs w:val="24"/>
        </w:rPr>
        <w:t>euro</w:t>
      </w:r>
      <w:proofErr w:type="spellEnd"/>
      <w:r>
        <w:rPr>
          <w:szCs w:val="24"/>
        </w:rPr>
        <w:t>));</w:t>
      </w:r>
    </w:p>
    <w:p w:rsidR="00D4366D" w:rsidRPr="000879DF" w:rsidRDefault="00D4366D" w:rsidP="00373FD4">
      <w:pPr>
        <w:pStyle w:val="ListParagraph"/>
        <w:numPr>
          <w:ilvl w:val="0"/>
          <w:numId w:val="3"/>
        </w:numPr>
        <w:spacing w:before="120"/>
        <w:ind w:left="1434" w:hanging="357"/>
        <w:rPr>
          <w:szCs w:val="24"/>
        </w:rPr>
      </w:pPr>
      <w:r>
        <w:rPr>
          <w:szCs w:val="24"/>
        </w:rPr>
        <w:t>n</w:t>
      </w:r>
      <w:r w:rsidRPr="0034231A">
        <w:rPr>
          <w:szCs w:val="24"/>
        </w:rPr>
        <w:t>odokļu maksājumu samaksas sadalei termiņos vai atlikšanai uz laiku līdz trim gadiem</w:t>
      </w:r>
      <w:r w:rsidRPr="00F649A4">
        <w:rPr>
          <w:szCs w:val="24"/>
        </w:rPr>
        <w:t xml:space="preserve">, kas </w:t>
      </w:r>
      <w:r w:rsidRPr="00C40600">
        <w:rPr>
          <w:szCs w:val="24"/>
        </w:rPr>
        <w:t>stājās spēkā ar 28.03.2020.</w:t>
      </w:r>
      <w:r w:rsidRPr="0034231A">
        <w:rPr>
          <w:szCs w:val="24"/>
        </w:rPr>
        <w:t xml:space="preserve"> </w:t>
      </w:r>
      <w:r>
        <w:rPr>
          <w:szCs w:val="24"/>
        </w:rPr>
        <w:t>(fiskālā ietekme 2021.</w:t>
      </w:r>
      <w:r w:rsidR="008B6256">
        <w:rPr>
          <w:szCs w:val="24"/>
        </w:rPr>
        <w:t xml:space="preserve"> </w:t>
      </w:r>
      <w:r>
        <w:rPr>
          <w:szCs w:val="24"/>
        </w:rPr>
        <w:t>gadā +1,6 milj. </w:t>
      </w:r>
      <w:proofErr w:type="spellStart"/>
      <w:r w:rsidRPr="00CC04E9">
        <w:rPr>
          <w:i/>
          <w:szCs w:val="24"/>
        </w:rPr>
        <w:t>euro</w:t>
      </w:r>
      <w:proofErr w:type="spellEnd"/>
      <w:r>
        <w:rPr>
          <w:i/>
          <w:szCs w:val="24"/>
        </w:rPr>
        <w:t xml:space="preserve"> </w:t>
      </w:r>
      <w:r w:rsidRPr="00483F14">
        <w:rPr>
          <w:szCs w:val="24"/>
        </w:rPr>
        <w:t xml:space="preserve">(t.sk., valsts budžetā </w:t>
      </w:r>
      <w:r>
        <w:rPr>
          <w:szCs w:val="24"/>
        </w:rPr>
        <w:t>+0,3</w:t>
      </w:r>
      <w:r w:rsidRPr="00483F14">
        <w:rPr>
          <w:szCs w:val="24"/>
        </w:rPr>
        <w:t> milj. </w:t>
      </w:r>
      <w:proofErr w:type="spellStart"/>
      <w:r w:rsidRPr="00483F14">
        <w:rPr>
          <w:i/>
          <w:spacing w:val="-6"/>
          <w:szCs w:val="24"/>
        </w:rPr>
        <w:t>euro</w:t>
      </w:r>
      <w:proofErr w:type="spellEnd"/>
      <w:r w:rsidRPr="00483F14">
        <w:rPr>
          <w:szCs w:val="24"/>
        </w:rPr>
        <w:t xml:space="preserve">, pašvaldību budžetā </w:t>
      </w:r>
      <w:r>
        <w:rPr>
          <w:szCs w:val="24"/>
        </w:rPr>
        <w:t>+1,3</w:t>
      </w:r>
      <w:r w:rsidRPr="00483F14">
        <w:rPr>
          <w:szCs w:val="24"/>
        </w:rPr>
        <w:t> milj. </w:t>
      </w:r>
      <w:proofErr w:type="spellStart"/>
      <w:r w:rsidRPr="00483F14">
        <w:rPr>
          <w:i/>
          <w:spacing w:val="-6"/>
          <w:szCs w:val="24"/>
        </w:rPr>
        <w:t>euro</w:t>
      </w:r>
      <w:proofErr w:type="spellEnd"/>
      <w:r>
        <w:rPr>
          <w:szCs w:val="24"/>
        </w:rPr>
        <w:t>));</w:t>
      </w:r>
    </w:p>
    <w:p w:rsidR="00D4366D" w:rsidRPr="00005C67" w:rsidRDefault="00D4366D" w:rsidP="00373FD4">
      <w:pPr>
        <w:pStyle w:val="ListParagraph"/>
        <w:numPr>
          <w:ilvl w:val="0"/>
          <w:numId w:val="3"/>
        </w:numPr>
        <w:spacing w:before="120"/>
        <w:ind w:right="-1"/>
        <w:rPr>
          <w:rFonts w:eastAsia="Calibri"/>
          <w:color w:val="000000"/>
          <w:szCs w:val="24"/>
          <w:lang w:eastAsia="lv-LV"/>
        </w:rPr>
      </w:pPr>
      <w:r>
        <w:rPr>
          <w:szCs w:val="24"/>
          <w:lang w:eastAsia="lv-LV"/>
        </w:rPr>
        <w:t xml:space="preserve">obligāto avansu maksājumu atcelšana saimnieciskās darbības veicējiem </w:t>
      </w:r>
      <w:r>
        <w:rPr>
          <w:szCs w:val="24"/>
        </w:rPr>
        <w:t>(fiskālā ietekme 2021.gadā +35,0 milj. </w:t>
      </w:r>
      <w:proofErr w:type="spellStart"/>
      <w:r w:rsidRPr="00CC04E9">
        <w:rPr>
          <w:i/>
          <w:szCs w:val="24"/>
        </w:rPr>
        <w:t>euro</w:t>
      </w:r>
      <w:proofErr w:type="spellEnd"/>
      <w:r>
        <w:rPr>
          <w:i/>
          <w:szCs w:val="24"/>
        </w:rPr>
        <w:t xml:space="preserve"> </w:t>
      </w:r>
      <w:r w:rsidRPr="00483F14">
        <w:rPr>
          <w:szCs w:val="24"/>
        </w:rPr>
        <w:t xml:space="preserve">(t.sk., valsts budžetā </w:t>
      </w:r>
      <w:r>
        <w:rPr>
          <w:szCs w:val="24"/>
        </w:rPr>
        <w:t>+7,0</w:t>
      </w:r>
      <w:r w:rsidRPr="00483F14">
        <w:rPr>
          <w:szCs w:val="24"/>
        </w:rPr>
        <w:t> milj. </w:t>
      </w:r>
      <w:proofErr w:type="spellStart"/>
      <w:r w:rsidRPr="00483F14">
        <w:rPr>
          <w:i/>
          <w:spacing w:val="-6"/>
          <w:szCs w:val="24"/>
        </w:rPr>
        <w:t>euro</w:t>
      </w:r>
      <w:proofErr w:type="spellEnd"/>
      <w:r w:rsidRPr="00483F14">
        <w:rPr>
          <w:szCs w:val="24"/>
        </w:rPr>
        <w:t xml:space="preserve">, pašvaldību budžetā </w:t>
      </w:r>
      <w:r>
        <w:rPr>
          <w:szCs w:val="24"/>
        </w:rPr>
        <w:t>+28,0</w:t>
      </w:r>
      <w:r w:rsidRPr="00483F14">
        <w:rPr>
          <w:szCs w:val="24"/>
        </w:rPr>
        <w:t> milj. </w:t>
      </w:r>
      <w:proofErr w:type="spellStart"/>
      <w:r w:rsidRPr="00483F14">
        <w:rPr>
          <w:i/>
          <w:spacing w:val="-6"/>
          <w:szCs w:val="24"/>
        </w:rPr>
        <w:t>euro</w:t>
      </w:r>
      <w:proofErr w:type="spellEnd"/>
      <w:r>
        <w:rPr>
          <w:szCs w:val="24"/>
        </w:rPr>
        <w:t>)).</w:t>
      </w:r>
    </w:p>
    <w:p w:rsidR="00D4366D" w:rsidRPr="008B6256" w:rsidRDefault="00D4366D" w:rsidP="008B6256">
      <w:pPr>
        <w:tabs>
          <w:tab w:val="left" w:pos="567"/>
        </w:tabs>
        <w:spacing w:before="240"/>
        <w:ind w:firstLine="0"/>
        <w:jc w:val="center"/>
        <w:rPr>
          <w:b/>
        </w:rPr>
      </w:pPr>
      <w:r w:rsidRPr="002A183B">
        <w:rPr>
          <w:b/>
          <w:i/>
        </w:rPr>
        <w:t xml:space="preserve">3.3. tabula </w:t>
      </w:r>
      <w:r w:rsidRPr="008B6256">
        <w:rPr>
          <w:b/>
        </w:rPr>
        <w:t>Iedzīvotāju ienākuma nodokļa ieņēmumi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701"/>
        <w:gridCol w:w="1067"/>
        <w:gridCol w:w="1067"/>
        <w:gridCol w:w="1037"/>
        <w:gridCol w:w="1189"/>
      </w:tblGrid>
      <w:tr w:rsidR="00D4366D" w:rsidRPr="008B6256" w:rsidTr="005B71DF">
        <w:trPr>
          <w:trHeight w:val="198"/>
          <w:jc w:val="center"/>
        </w:trPr>
        <w:tc>
          <w:tcPr>
            <w:tcW w:w="2594" w:type="pct"/>
            <w:vMerge w:val="restart"/>
            <w:shd w:val="clear" w:color="auto" w:fill="D9D9D9" w:themeFill="background1" w:themeFillShade="D9"/>
          </w:tcPr>
          <w:p w:rsidR="00D4366D" w:rsidRPr="008B6256" w:rsidRDefault="00D4366D" w:rsidP="00421DF3">
            <w:pPr>
              <w:spacing w:after="0"/>
              <w:ind w:firstLine="0"/>
              <w:jc w:val="center"/>
              <w:rPr>
                <w:b/>
                <w:snapToGrid w:val="0"/>
                <w:sz w:val="18"/>
              </w:rPr>
            </w:pPr>
          </w:p>
        </w:tc>
        <w:tc>
          <w:tcPr>
            <w:tcW w:w="589" w:type="pct"/>
            <w:shd w:val="clear" w:color="auto" w:fill="D9D9D9" w:themeFill="background1" w:themeFillShade="D9"/>
          </w:tcPr>
          <w:p w:rsidR="00D4366D" w:rsidRPr="008B6256" w:rsidRDefault="00D4366D" w:rsidP="00421DF3">
            <w:pPr>
              <w:spacing w:after="0"/>
              <w:ind w:firstLine="0"/>
              <w:jc w:val="center"/>
              <w:rPr>
                <w:b/>
                <w:snapToGrid w:val="0"/>
                <w:sz w:val="18"/>
              </w:rPr>
            </w:pPr>
            <w:r w:rsidRPr="008B6256">
              <w:rPr>
                <w:b/>
                <w:snapToGrid w:val="0"/>
                <w:sz w:val="18"/>
              </w:rPr>
              <w:t>2018</w:t>
            </w:r>
          </w:p>
        </w:tc>
        <w:tc>
          <w:tcPr>
            <w:tcW w:w="589" w:type="pct"/>
            <w:shd w:val="clear" w:color="auto" w:fill="D9D9D9" w:themeFill="background1" w:themeFillShade="D9"/>
          </w:tcPr>
          <w:p w:rsidR="00D4366D" w:rsidRPr="008B6256" w:rsidRDefault="00D4366D" w:rsidP="00421DF3">
            <w:pPr>
              <w:spacing w:after="0"/>
              <w:ind w:firstLine="0"/>
              <w:jc w:val="center"/>
              <w:rPr>
                <w:b/>
                <w:snapToGrid w:val="0"/>
                <w:sz w:val="18"/>
              </w:rPr>
            </w:pPr>
            <w:r w:rsidRPr="008B6256">
              <w:rPr>
                <w:b/>
                <w:snapToGrid w:val="0"/>
                <w:sz w:val="18"/>
              </w:rPr>
              <w:t>2019</w:t>
            </w:r>
          </w:p>
        </w:tc>
        <w:tc>
          <w:tcPr>
            <w:tcW w:w="572" w:type="pct"/>
            <w:shd w:val="clear" w:color="auto" w:fill="D9D9D9" w:themeFill="background1" w:themeFillShade="D9"/>
          </w:tcPr>
          <w:p w:rsidR="00D4366D" w:rsidRPr="008B6256" w:rsidRDefault="00D4366D" w:rsidP="00421DF3">
            <w:pPr>
              <w:spacing w:after="0"/>
              <w:ind w:firstLine="0"/>
              <w:jc w:val="center"/>
              <w:rPr>
                <w:b/>
                <w:snapToGrid w:val="0"/>
                <w:sz w:val="18"/>
              </w:rPr>
            </w:pPr>
            <w:r w:rsidRPr="008B6256">
              <w:rPr>
                <w:b/>
                <w:snapToGrid w:val="0"/>
                <w:sz w:val="18"/>
              </w:rPr>
              <w:t>2020</w:t>
            </w:r>
          </w:p>
        </w:tc>
        <w:tc>
          <w:tcPr>
            <w:tcW w:w="656" w:type="pct"/>
            <w:shd w:val="clear" w:color="auto" w:fill="D9D9D9" w:themeFill="background1" w:themeFillShade="D9"/>
          </w:tcPr>
          <w:p w:rsidR="00D4366D" w:rsidRPr="008B6256" w:rsidRDefault="00D4366D" w:rsidP="00421DF3">
            <w:pPr>
              <w:spacing w:after="0"/>
              <w:ind w:firstLine="0"/>
              <w:jc w:val="center"/>
              <w:rPr>
                <w:b/>
                <w:snapToGrid w:val="0"/>
                <w:sz w:val="18"/>
              </w:rPr>
            </w:pPr>
            <w:r w:rsidRPr="008B6256">
              <w:rPr>
                <w:b/>
                <w:snapToGrid w:val="0"/>
                <w:sz w:val="18"/>
              </w:rPr>
              <w:t>2021</w:t>
            </w:r>
          </w:p>
        </w:tc>
      </w:tr>
      <w:tr w:rsidR="00D4366D" w:rsidRPr="008B6256" w:rsidTr="005B71DF">
        <w:trPr>
          <w:trHeight w:val="209"/>
          <w:jc w:val="center"/>
        </w:trPr>
        <w:tc>
          <w:tcPr>
            <w:tcW w:w="2594" w:type="pct"/>
            <w:vMerge/>
            <w:shd w:val="clear" w:color="auto" w:fill="D9D9D9" w:themeFill="background1" w:themeFillShade="D9"/>
          </w:tcPr>
          <w:p w:rsidR="00D4366D" w:rsidRPr="008B6256" w:rsidRDefault="00D4366D" w:rsidP="00421DF3">
            <w:pPr>
              <w:spacing w:after="0"/>
              <w:ind w:firstLine="0"/>
              <w:jc w:val="center"/>
              <w:rPr>
                <w:b/>
                <w:snapToGrid w:val="0"/>
                <w:sz w:val="18"/>
              </w:rPr>
            </w:pPr>
          </w:p>
        </w:tc>
        <w:tc>
          <w:tcPr>
            <w:tcW w:w="1178" w:type="pct"/>
            <w:gridSpan w:val="2"/>
            <w:shd w:val="clear" w:color="auto" w:fill="D9D9D9" w:themeFill="background1" w:themeFillShade="D9"/>
          </w:tcPr>
          <w:p w:rsidR="00D4366D" w:rsidRPr="008B6256" w:rsidRDefault="00D4366D" w:rsidP="00421DF3">
            <w:pPr>
              <w:spacing w:after="0"/>
              <w:ind w:firstLine="0"/>
              <w:jc w:val="center"/>
              <w:rPr>
                <w:snapToGrid w:val="0"/>
                <w:sz w:val="18"/>
              </w:rPr>
            </w:pPr>
            <w:r w:rsidRPr="008B6256">
              <w:rPr>
                <w:snapToGrid w:val="0"/>
                <w:sz w:val="18"/>
              </w:rPr>
              <w:t>fakts</w:t>
            </w:r>
          </w:p>
        </w:tc>
        <w:tc>
          <w:tcPr>
            <w:tcW w:w="572" w:type="pct"/>
            <w:shd w:val="clear" w:color="auto" w:fill="D9D9D9" w:themeFill="background1" w:themeFillShade="D9"/>
          </w:tcPr>
          <w:p w:rsidR="00D4366D" w:rsidRPr="008B6256" w:rsidRDefault="00D4366D" w:rsidP="00421DF3">
            <w:pPr>
              <w:spacing w:after="0"/>
              <w:ind w:firstLine="0"/>
              <w:jc w:val="center"/>
              <w:rPr>
                <w:snapToGrid w:val="0"/>
                <w:sz w:val="18"/>
              </w:rPr>
            </w:pPr>
            <w:r w:rsidRPr="008B6256">
              <w:rPr>
                <w:snapToGrid w:val="0"/>
                <w:sz w:val="18"/>
              </w:rPr>
              <w:t>prognoze</w:t>
            </w:r>
          </w:p>
        </w:tc>
        <w:tc>
          <w:tcPr>
            <w:tcW w:w="656" w:type="pct"/>
            <w:shd w:val="clear" w:color="auto" w:fill="D9D9D9" w:themeFill="background1" w:themeFillShade="D9"/>
          </w:tcPr>
          <w:p w:rsidR="00D4366D" w:rsidRPr="008B6256" w:rsidRDefault="00D4366D" w:rsidP="00421DF3">
            <w:pPr>
              <w:spacing w:after="0"/>
              <w:ind w:firstLine="0"/>
              <w:jc w:val="center"/>
              <w:rPr>
                <w:snapToGrid w:val="0"/>
                <w:sz w:val="18"/>
              </w:rPr>
            </w:pPr>
            <w:r w:rsidRPr="008B6256">
              <w:rPr>
                <w:snapToGrid w:val="0"/>
                <w:sz w:val="18"/>
              </w:rPr>
              <w:t>plāns*</w:t>
            </w:r>
          </w:p>
        </w:tc>
      </w:tr>
      <w:tr w:rsidR="00D4366D" w:rsidRPr="008B6256" w:rsidTr="005B71DF">
        <w:trPr>
          <w:trHeight w:val="324"/>
          <w:jc w:val="center"/>
        </w:trPr>
        <w:tc>
          <w:tcPr>
            <w:tcW w:w="2594" w:type="pct"/>
          </w:tcPr>
          <w:p w:rsidR="00D4366D" w:rsidRPr="008B6256" w:rsidRDefault="00D4366D" w:rsidP="00421DF3">
            <w:pPr>
              <w:spacing w:after="0"/>
              <w:ind w:firstLine="0"/>
              <w:rPr>
                <w:snapToGrid w:val="0"/>
                <w:sz w:val="18"/>
              </w:rPr>
            </w:pPr>
            <w:r w:rsidRPr="008B6256">
              <w:rPr>
                <w:b/>
                <w:snapToGrid w:val="0"/>
                <w:sz w:val="18"/>
              </w:rPr>
              <w:t>Iedzīvotāju ienākuma nodoklis</w:t>
            </w:r>
            <w:r w:rsidRPr="008B6256">
              <w:rPr>
                <w:snapToGrid w:val="0"/>
                <w:sz w:val="18"/>
              </w:rPr>
              <w:t xml:space="preserve">, milj. </w:t>
            </w:r>
            <w:proofErr w:type="spellStart"/>
            <w:r w:rsidRPr="008B6256">
              <w:rPr>
                <w:i/>
                <w:snapToGrid w:val="0"/>
                <w:sz w:val="18"/>
              </w:rPr>
              <w:t>euro</w:t>
            </w:r>
            <w:proofErr w:type="spellEnd"/>
          </w:p>
        </w:tc>
        <w:tc>
          <w:tcPr>
            <w:tcW w:w="589" w:type="pct"/>
            <w:vAlign w:val="center"/>
          </w:tcPr>
          <w:p w:rsidR="00D4366D" w:rsidRPr="008B6256" w:rsidRDefault="00D4366D" w:rsidP="00421DF3">
            <w:pPr>
              <w:ind w:firstLine="0"/>
              <w:jc w:val="center"/>
              <w:rPr>
                <w:b/>
                <w:sz w:val="18"/>
              </w:rPr>
            </w:pPr>
            <w:r w:rsidRPr="008B6256">
              <w:rPr>
                <w:b/>
                <w:sz w:val="18"/>
              </w:rPr>
              <w:t>1 728,4</w:t>
            </w:r>
          </w:p>
        </w:tc>
        <w:tc>
          <w:tcPr>
            <w:tcW w:w="589" w:type="pct"/>
            <w:vAlign w:val="center"/>
          </w:tcPr>
          <w:p w:rsidR="00D4366D" w:rsidRPr="008B6256" w:rsidRDefault="00D4366D" w:rsidP="00421DF3">
            <w:pPr>
              <w:ind w:firstLine="0"/>
              <w:jc w:val="center"/>
              <w:rPr>
                <w:b/>
                <w:sz w:val="18"/>
              </w:rPr>
            </w:pPr>
            <w:r w:rsidRPr="008B6256">
              <w:rPr>
                <w:b/>
                <w:sz w:val="18"/>
              </w:rPr>
              <w:t>1 929,6</w:t>
            </w:r>
          </w:p>
        </w:tc>
        <w:tc>
          <w:tcPr>
            <w:tcW w:w="572" w:type="pct"/>
            <w:vAlign w:val="center"/>
          </w:tcPr>
          <w:p w:rsidR="00D4366D" w:rsidRPr="008B6256" w:rsidRDefault="00D4366D" w:rsidP="00421DF3">
            <w:pPr>
              <w:ind w:firstLine="0"/>
              <w:jc w:val="center"/>
              <w:rPr>
                <w:b/>
                <w:sz w:val="18"/>
              </w:rPr>
            </w:pPr>
            <w:r w:rsidRPr="008B6256">
              <w:rPr>
                <w:b/>
                <w:sz w:val="18"/>
              </w:rPr>
              <w:t>1 697,8</w:t>
            </w:r>
          </w:p>
        </w:tc>
        <w:tc>
          <w:tcPr>
            <w:tcW w:w="656" w:type="pct"/>
            <w:vAlign w:val="center"/>
          </w:tcPr>
          <w:p w:rsidR="00D4366D" w:rsidRPr="008B6256" w:rsidRDefault="00D4366D" w:rsidP="00421DF3">
            <w:pPr>
              <w:ind w:firstLine="0"/>
              <w:jc w:val="center"/>
              <w:rPr>
                <w:b/>
                <w:sz w:val="18"/>
              </w:rPr>
            </w:pPr>
            <w:r w:rsidRPr="008B6256">
              <w:rPr>
                <w:b/>
                <w:sz w:val="18"/>
              </w:rPr>
              <w:t>1 778,7</w:t>
            </w:r>
          </w:p>
        </w:tc>
      </w:tr>
      <w:tr w:rsidR="00D4366D" w:rsidRPr="008B6256" w:rsidTr="005B71DF">
        <w:trPr>
          <w:trHeight w:val="313"/>
          <w:jc w:val="center"/>
        </w:trPr>
        <w:tc>
          <w:tcPr>
            <w:tcW w:w="2594" w:type="pct"/>
          </w:tcPr>
          <w:p w:rsidR="00D4366D" w:rsidRPr="008B6256" w:rsidRDefault="00D4366D" w:rsidP="00421DF3">
            <w:pPr>
              <w:spacing w:after="0"/>
              <w:ind w:firstLine="0"/>
              <w:rPr>
                <w:snapToGrid w:val="0"/>
                <w:sz w:val="18"/>
              </w:rPr>
            </w:pPr>
            <w:r w:rsidRPr="008B6256">
              <w:rPr>
                <w:snapToGrid w:val="0"/>
                <w:sz w:val="18"/>
              </w:rPr>
              <w:t>t.sk. valsts budžetā</w:t>
            </w:r>
          </w:p>
        </w:tc>
        <w:tc>
          <w:tcPr>
            <w:tcW w:w="589" w:type="pct"/>
            <w:vAlign w:val="center"/>
          </w:tcPr>
          <w:p w:rsidR="00D4366D" w:rsidRPr="008B6256" w:rsidRDefault="00D4366D" w:rsidP="00421DF3">
            <w:pPr>
              <w:ind w:firstLine="0"/>
              <w:jc w:val="center"/>
              <w:rPr>
                <w:sz w:val="18"/>
              </w:rPr>
            </w:pPr>
            <w:r w:rsidRPr="008B6256">
              <w:rPr>
                <w:sz w:val="18"/>
              </w:rPr>
              <w:t>340,6</w:t>
            </w:r>
          </w:p>
        </w:tc>
        <w:tc>
          <w:tcPr>
            <w:tcW w:w="589" w:type="pct"/>
            <w:vAlign w:val="center"/>
          </w:tcPr>
          <w:p w:rsidR="00D4366D" w:rsidRPr="008B6256" w:rsidRDefault="00D4366D" w:rsidP="00421DF3">
            <w:pPr>
              <w:ind w:firstLine="0"/>
              <w:jc w:val="center"/>
              <w:rPr>
                <w:sz w:val="18"/>
              </w:rPr>
            </w:pPr>
            <w:r w:rsidRPr="008B6256">
              <w:rPr>
                <w:sz w:val="18"/>
              </w:rPr>
              <w:t>389,2</w:t>
            </w:r>
          </w:p>
        </w:tc>
        <w:tc>
          <w:tcPr>
            <w:tcW w:w="572" w:type="pct"/>
            <w:vAlign w:val="center"/>
          </w:tcPr>
          <w:p w:rsidR="00D4366D" w:rsidRPr="008B6256" w:rsidRDefault="00D4366D" w:rsidP="00421DF3">
            <w:pPr>
              <w:ind w:firstLine="0"/>
              <w:jc w:val="center"/>
              <w:rPr>
                <w:sz w:val="18"/>
              </w:rPr>
            </w:pPr>
            <w:r w:rsidRPr="008B6256">
              <w:rPr>
                <w:sz w:val="18"/>
              </w:rPr>
              <w:t>339,6</w:t>
            </w:r>
          </w:p>
        </w:tc>
        <w:tc>
          <w:tcPr>
            <w:tcW w:w="656" w:type="pct"/>
            <w:vAlign w:val="center"/>
          </w:tcPr>
          <w:p w:rsidR="00D4366D" w:rsidRPr="008B6256" w:rsidRDefault="00D4366D" w:rsidP="00421DF3">
            <w:pPr>
              <w:ind w:firstLine="0"/>
              <w:jc w:val="center"/>
              <w:rPr>
                <w:sz w:val="18"/>
              </w:rPr>
            </w:pPr>
            <w:r w:rsidRPr="008B6256">
              <w:rPr>
                <w:sz w:val="18"/>
              </w:rPr>
              <w:t>445,7</w:t>
            </w:r>
          </w:p>
        </w:tc>
      </w:tr>
      <w:tr w:rsidR="00D4366D" w:rsidRPr="008B6256" w:rsidTr="005B71DF">
        <w:trPr>
          <w:trHeight w:val="313"/>
          <w:jc w:val="center"/>
        </w:trPr>
        <w:tc>
          <w:tcPr>
            <w:tcW w:w="2594" w:type="pct"/>
          </w:tcPr>
          <w:p w:rsidR="00D4366D" w:rsidRPr="008B6256" w:rsidRDefault="00D4366D" w:rsidP="00421DF3">
            <w:pPr>
              <w:spacing w:after="0"/>
              <w:ind w:firstLine="0"/>
              <w:rPr>
                <w:snapToGrid w:val="0"/>
                <w:sz w:val="18"/>
              </w:rPr>
            </w:pPr>
            <w:r w:rsidRPr="008B6256">
              <w:rPr>
                <w:snapToGrid w:val="0"/>
                <w:sz w:val="18"/>
              </w:rPr>
              <w:t>pašvaldību pamatbudžetā</w:t>
            </w:r>
          </w:p>
        </w:tc>
        <w:tc>
          <w:tcPr>
            <w:tcW w:w="589" w:type="pct"/>
            <w:vAlign w:val="center"/>
          </w:tcPr>
          <w:p w:rsidR="00D4366D" w:rsidRPr="008B6256" w:rsidRDefault="00D4366D" w:rsidP="00421DF3">
            <w:pPr>
              <w:ind w:firstLine="0"/>
              <w:jc w:val="center"/>
              <w:rPr>
                <w:sz w:val="18"/>
              </w:rPr>
            </w:pPr>
            <w:r w:rsidRPr="008B6256">
              <w:rPr>
                <w:sz w:val="18"/>
              </w:rPr>
              <w:t>1 387,8</w:t>
            </w:r>
          </w:p>
        </w:tc>
        <w:tc>
          <w:tcPr>
            <w:tcW w:w="589" w:type="pct"/>
            <w:vAlign w:val="center"/>
          </w:tcPr>
          <w:p w:rsidR="00D4366D" w:rsidRPr="008B6256" w:rsidRDefault="00D4366D" w:rsidP="00421DF3">
            <w:pPr>
              <w:ind w:firstLine="0"/>
              <w:jc w:val="center"/>
              <w:rPr>
                <w:sz w:val="18"/>
              </w:rPr>
            </w:pPr>
            <w:r w:rsidRPr="008B6256">
              <w:rPr>
                <w:sz w:val="18"/>
              </w:rPr>
              <w:t>1 540,4</w:t>
            </w:r>
          </w:p>
        </w:tc>
        <w:tc>
          <w:tcPr>
            <w:tcW w:w="572" w:type="pct"/>
            <w:vAlign w:val="center"/>
          </w:tcPr>
          <w:p w:rsidR="00D4366D" w:rsidRPr="008B6256" w:rsidRDefault="00D4366D" w:rsidP="00421DF3">
            <w:pPr>
              <w:ind w:firstLine="0"/>
              <w:jc w:val="center"/>
              <w:rPr>
                <w:sz w:val="18"/>
              </w:rPr>
            </w:pPr>
            <w:r w:rsidRPr="008B6256">
              <w:rPr>
                <w:sz w:val="18"/>
              </w:rPr>
              <w:t>1 358,3</w:t>
            </w:r>
          </w:p>
        </w:tc>
        <w:tc>
          <w:tcPr>
            <w:tcW w:w="656" w:type="pct"/>
            <w:vAlign w:val="center"/>
          </w:tcPr>
          <w:p w:rsidR="00D4366D" w:rsidRPr="008B6256" w:rsidRDefault="00D4366D" w:rsidP="00421DF3">
            <w:pPr>
              <w:ind w:firstLine="0"/>
              <w:jc w:val="center"/>
              <w:rPr>
                <w:sz w:val="18"/>
              </w:rPr>
            </w:pPr>
            <w:r w:rsidRPr="008B6256">
              <w:rPr>
                <w:sz w:val="18"/>
              </w:rPr>
              <w:t>1 332,9</w:t>
            </w:r>
          </w:p>
        </w:tc>
      </w:tr>
      <w:tr w:rsidR="00D4366D" w:rsidRPr="008B6256" w:rsidTr="005B71DF">
        <w:trPr>
          <w:trHeight w:val="324"/>
          <w:jc w:val="center"/>
        </w:trPr>
        <w:tc>
          <w:tcPr>
            <w:tcW w:w="2594" w:type="pct"/>
          </w:tcPr>
          <w:p w:rsidR="00D4366D" w:rsidRPr="008B6256" w:rsidRDefault="00D4366D" w:rsidP="00421DF3">
            <w:pPr>
              <w:spacing w:after="0"/>
              <w:ind w:firstLine="0"/>
              <w:rPr>
                <w:i/>
                <w:snapToGrid w:val="0"/>
                <w:sz w:val="18"/>
              </w:rPr>
            </w:pPr>
            <w:r w:rsidRPr="008B6256">
              <w:rPr>
                <w:i/>
                <w:snapToGrid w:val="0"/>
                <w:sz w:val="18"/>
              </w:rPr>
              <w:t>pieauguma tempi faktiskās cenās, %</w:t>
            </w:r>
          </w:p>
        </w:tc>
        <w:tc>
          <w:tcPr>
            <w:tcW w:w="589" w:type="pct"/>
            <w:vAlign w:val="center"/>
          </w:tcPr>
          <w:p w:rsidR="00D4366D" w:rsidRPr="008B6256" w:rsidRDefault="00D4366D" w:rsidP="00421DF3">
            <w:pPr>
              <w:ind w:firstLine="0"/>
              <w:jc w:val="center"/>
              <w:rPr>
                <w:sz w:val="18"/>
              </w:rPr>
            </w:pPr>
            <w:r w:rsidRPr="008B6256">
              <w:rPr>
                <w:sz w:val="18"/>
              </w:rPr>
              <w:t>2,1</w:t>
            </w:r>
          </w:p>
        </w:tc>
        <w:tc>
          <w:tcPr>
            <w:tcW w:w="589" w:type="pct"/>
            <w:vAlign w:val="center"/>
          </w:tcPr>
          <w:p w:rsidR="00D4366D" w:rsidRPr="008B6256" w:rsidRDefault="00D4366D" w:rsidP="00421DF3">
            <w:pPr>
              <w:ind w:firstLine="0"/>
              <w:jc w:val="center"/>
              <w:rPr>
                <w:sz w:val="18"/>
              </w:rPr>
            </w:pPr>
            <w:r w:rsidRPr="008B6256">
              <w:rPr>
                <w:sz w:val="18"/>
              </w:rPr>
              <w:t>11,6</w:t>
            </w:r>
          </w:p>
        </w:tc>
        <w:tc>
          <w:tcPr>
            <w:tcW w:w="572" w:type="pct"/>
            <w:vAlign w:val="center"/>
          </w:tcPr>
          <w:p w:rsidR="00D4366D" w:rsidRPr="008B6256" w:rsidRDefault="00D4366D" w:rsidP="00421DF3">
            <w:pPr>
              <w:ind w:firstLine="0"/>
              <w:jc w:val="center"/>
              <w:rPr>
                <w:sz w:val="18"/>
              </w:rPr>
            </w:pPr>
            <w:r w:rsidRPr="008B6256">
              <w:rPr>
                <w:sz w:val="18"/>
              </w:rPr>
              <w:t>-12,0</w:t>
            </w:r>
          </w:p>
        </w:tc>
        <w:tc>
          <w:tcPr>
            <w:tcW w:w="656" w:type="pct"/>
            <w:vAlign w:val="center"/>
          </w:tcPr>
          <w:p w:rsidR="00D4366D" w:rsidRPr="008B6256" w:rsidRDefault="00D4366D" w:rsidP="00421DF3">
            <w:pPr>
              <w:ind w:firstLine="0"/>
              <w:jc w:val="center"/>
              <w:rPr>
                <w:sz w:val="18"/>
              </w:rPr>
            </w:pPr>
            <w:r w:rsidRPr="008B6256">
              <w:rPr>
                <w:sz w:val="18"/>
              </w:rPr>
              <w:t>4,8</w:t>
            </w:r>
          </w:p>
        </w:tc>
      </w:tr>
      <w:tr w:rsidR="00D4366D" w:rsidRPr="008B6256" w:rsidTr="005B71DF">
        <w:trPr>
          <w:trHeight w:val="313"/>
          <w:jc w:val="center"/>
        </w:trPr>
        <w:tc>
          <w:tcPr>
            <w:tcW w:w="2594" w:type="pct"/>
          </w:tcPr>
          <w:p w:rsidR="00D4366D" w:rsidRPr="008B6256" w:rsidRDefault="00D4366D" w:rsidP="00421DF3">
            <w:pPr>
              <w:spacing w:after="0"/>
              <w:ind w:firstLine="0"/>
              <w:rPr>
                <w:i/>
                <w:snapToGrid w:val="0"/>
                <w:sz w:val="18"/>
              </w:rPr>
            </w:pPr>
            <w:r w:rsidRPr="008B6256">
              <w:rPr>
                <w:i/>
                <w:color w:val="000000" w:themeColor="text1"/>
                <w:sz w:val="18"/>
              </w:rPr>
              <w:t>% no IKP</w:t>
            </w:r>
          </w:p>
        </w:tc>
        <w:tc>
          <w:tcPr>
            <w:tcW w:w="589" w:type="pct"/>
            <w:vAlign w:val="center"/>
          </w:tcPr>
          <w:p w:rsidR="00D4366D" w:rsidRPr="008B6256" w:rsidRDefault="00D4366D" w:rsidP="00421DF3">
            <w:pPr>
              <w:ind w:firstLine="0"/>
              <w:jc w:val="center"/>
              <w:rPr>
                <w:sz w:val="18"/>
              </w:rPr>
            </w:pPr>
            <w:r w:rsidRPr="008B6256">
              <w:rPr>
                <w:sz w:val="18"/>
              </w:rPr>
              <w:t>6,0</w:t>
            </w:r>
          </w:p>
        </w:tc>
        <w:tc>
          <w:tcPr>
            <w:tcW w:w="589" w:type="pct"/>
            <w:vAlign w:val="center"/>
          </w:tcPr>
          <w:p w:rsidR="00D4366D" w:rsidRPr="008B6256" w:rsidRDefault="00D4366D" w:rsidP="00421DF3">
            <w:pPr>
              <w:ind w:firstLine="0"/>
              <w:jc w:val="center"/>
              <w:rPr>
                <w:sz w:val="18"/>
              </w:rPr>
            </w:pPr>
            <w:r w:rsidRPr="008B6256">
              <w:rPr>
                <w:sz w:val="18"/>
              </w:rPr>
              <w:t>6,3</w:t>
            </w:r>
          </w:p>
        </w:tc>
        <w:tc>
          <w:tcPr>
            <w:tcW w:w="572" w:type="pct"/>
            <w:vAlign w:val="center"/>
          </w:tcPr>
          <w:p w:rsidR="00D4366D" w:rsidRPr="008B6256" w:rsidRDefault="00D4366D" w:rsidP="00421DF3">
            <w:pPr>
              <w:ind w:firstLine="0"/>
              <w:jc w:val="center"/>
              <w:rPr>
                <w:sz w:val="18"/>
              </w:rPr>
            </w:pPr>
            <w:r w:rsidRPr="008B6256">
              <w:rPr>
                <w:sz w:val="18"/>
              </w:rPr>
              <w:t>6,0</w:t>
            </w:r>
          </w:p>
        </w:tc>
        <w:tc>
          <w:tcPr>
            <w:tcW w:w="656" w:type="pct"/>
            <w:vAlign w:val="center"/>
          </w:tcPr>
          <w:p w:rsidR="00D4366D" w:rsidRPr="008B6256" w:rsidRDefault="00D4366D" w:rsidP="00421DF3">
            <w:pPr>
              <w:ind w:firstLine="0"/>
              <w:jc w:val="center"/>
              <w:rPr>
                <w:sz w:val="18"/>
              </w:rPr>
            </w:pPr>
            <w:r w:rsidRPr="008B6256">
              <w:rPr>
                <w:sz w:val="18"/>
              </w:rPr>
              <w:t>5,9</w:t>
            </w:r>
          </w:p>
        </w:tc>
      </w:tr>
    </w:tbl>
    <w:p w:rsidR="00D4366D" w:rsidRPr="008B6256" w:rsidRDefault="008B6256" w:rsidP="00D4366D">
      <w:pPr>
        <w:pStyle w:val="cipari"/>
        <w:rPr>
          <w:sz w:val="20"/>
          <w:szCs w:val="18"/>
        </w:rPr>
      </w:pPr>
      <w:r w:rsidRPr="008B6256">
        <w:rPr>
          <w:sz w:val="20"/>
          <w:szCs w:val="18"/>
        </w:rPr>
        <w:t>*saskaņā ar likumprojektu “</w:t>
      </w:r>
      <w:r w:rsidR="00D4366D" w:rsidRPr="008B6256">
        <w:rPr>
          <w:sz w:val="20"/>
          <w:szCs w:val="18"/>
        </w:rPr>
        <w:t>Par valsts budžetu 2021.</w:t>
      </w:r>
      <w:r>
        <w:rPr>
          <w:sz w:val="20"/>
          <w:szCs w:val="18"/>
        </w:rPr>
        <w:t xml:space="preserve"> </w:t>
      </w:r>
      <w:r w:rsidR="00D4366D" w:rsidRPr="008B6256">
        <w:rPr>
          <w:sz w:val="20"/>
          <w:szCs w:val="18"/>
        </w:rPr>
        <w:t>gadam”</w:t>
      </w:r>
    </w:p>
    <w:bookmarkEnd w:id="10"/>
    <w:bookmarkEnd w:id="11"/>
    <w:bookmarkEnd w:id="12"/>
    <w:bookmarkEnd w:id="13"/>
    <w:p w:rsidR="00D4366D" w:rsidRPr="002C4B8A" w:rsidRDefault="00D4366D" w:rsidP="008B6256">
      <w:pPr>
        <w:spacing w:before="240" w:after="240"/>
        <w:ind w:firstLine="0"/>
        <w:jc w:val="center"/>
        <w:outlineLvl w:val="3"/>
        <w:rPr>
          <w:b/>
          <w:sz w:val="28"/>
        </w:rPr>
      </w:pPr>
      <w:r w:rsidRPr="002C4B8A">
        <w:rPr>
          <w:b/>
          <w:sz w:val="28"/>
        </w:rPr>
        <w:t>Valsts sociālās apdrošināšanas iemaksas, ieskaitot solidaritātes nodokļa daļu valsts speciālajā budžetā</w:t>
      </w:r>
      <w:r w:rsidRPr="002C4B8A">
        <w:rPr>
          <w:rStyle w:val="FootnoteReference"/>
          <w:b/>
          <w:sz w:val="28"/>
        </w:rPr>
        <w:t xml:space="preserve"> </w:t>
      </w:r>
      <w:r w:rsidRPr="002C4B8A">
        <w:rPr>
          <w:rStyle w:val="FootnoteReference"/>
          <w:b/>
          <w:sz w:val="28"/>
        </w:rPr>
        <w:footnoteReference w:id="2"/>
      </w:r>
    </w:p>
    <w:p w:rsidR="00D4366D" w:rsidRPr="00293ED6" w:rsidRDefault="00D4366D" w:rsidP="00D4366D">
      <w:r w:rsidRPr="00293ED6">
        <w:t xml:space="preserve">No visiem tiešajiem nodokļiem lielākais īpatsvars ir sociālās apdrošināšanas iemaksām valsts speciālajā budžetā. </w:t>
      </w:r>
      <w:r w:rsidRPr="00293ED6">
        <w:rPr>
          <w:szCs w:val="24"/>
        </w:rPr>
        <w:t>Valsts sociālās apdrošināšanas</w:t>
      </w:r>
      <w:r>
        <w:rPr>
          <w:szCs w:val="24"/>
        </w:rPr>
        <w:t xml:space="preserve"> obligāto</w:t>
      </w:r>
      <w:r w:rsidRPr="00293ED6">
        <w:rPr>
          <w:szCs w:val="24"/>
        </w:rPr>
        <w:t xml:space="preserve"> iemaksu likme kopš 2018.</w:t>
      </w:r>
      <w:r w:rsidR="008B6256">
        <w:rPr>
          <w:szCs w:val="24"/>
        </w:rPr>
        <w:t> </w:t>
      </w:r>
      <w:r w:rsidRPr="00293ED6">
        <w:rPr>
          <w:szCs w:val="24"/>
        </w:rPr>
        <w:t>gada ir 35,09% (11% darba ņēmēja un 24,09% - darba devēja daļa). 2018.</w:t>
      </w:r>
      <w:r w:rsidR="008B6256">
        <w:rPr>
          <w:szCs w:val="24"/>
        </w:rPr>
        <w:t xml:space="preserve"> </w:t>
      </w:r>
      <w:r w:rsidRPr="00293ED6">
        <w:rPr>
          <w:szCs w:val="24"/>
        </w:rPr>
        <w:t xml:space="preserve">gadā </w:t>
      </w:r>
      <w:r w:rsidRPr="00293ED6">
        <w:t xml:space="preserve">valsts sociālās apdrošināšanas obligāto iemaksu likme tika palielināta par </w:t>
      </w:r>
      <w:r w:rsidR="008B6256">
        <w:t>vienu</w:t>
      </w:r>
      <w:r w:rsidRPr="00293ED6">
        <w:t xml:space="preserve"> procentpunktu, </w:t>
      </w:r>
      <w:r w:rsidRPr="00293ED6">
        <w:rPr>
          <w:color w:val="000000" w:themeColor="text1"/>
          <w:spacing w:val="-2"/>
        </w:rPr>
        <w:t xml:space="preserve">novirzot to </w:t>
      </w:r>
      <w:r w:rsidRPr="00293ED6">
        <w:t>pamatbudžetā veselības aprūpes finansēšanai</w:t>
      </w:r>
      <w:r w:rsidRPr="00293ED6">
        <w:rPr>
          <w:color w:val="000000" w:themeColor="text1"/>
          <w:spacing w:val="-2"/>
        </w:rPr>
        <w:t xml:space="preserve">. </w:t>
      </w:r>
      <w:r w:rsidRPr="00293ED6">
        <w:rPr>
          <w:szCs w:val="24"/>
        </w:rPr>
        <w:t>Valsts sociālās apdrošināšanas obligātās iemaksas piemēro ienākumu daļai līdz noteiktam maksimālajam objektam, kas 2018.</w:t>
      </w:r>
      <w:r w:rsidR="008B6256">
        <w:rPr>
          <w:szCs w:val="24"/>
        </w:rPr>
        <w:t> </w:t>
      </w:r>
      <w:r w:rsidRPr="00293ED6">
        <w:rPr>
          <w:szCs w:val="24"/>
        </w:rPr>
        <w:t xml:space="preserve">gadā bija 55 000 </w:t>
      </w:r>
      <w:proofErr w:type="spellStart"/>
      <w:r w:rsidRPr="00293ED6">
        <w:rPr>
          <w:i/>
        </w:rPr>
        <w:t>euro</w:t>
      </w:r>
      <w:proofErr w:type="spellEnd"/>
      <w:r w:rsidRPr="00293ED6">
        <w:t>, bet ar 2019.</w:t>
      </w:r>
      <w:r w:rsidR="008B6256">
        <w:t xml:space="preserve"> </w:t>
      </w:r>
      <w:r w:rsidRPr="00293ED6">
        <w:t>gadu - 62 800 </w:t>
      </w:r>
      <w:proofErr w:type="spellStart"/>
      <w:r w:rsidRPr="00293ED6">
        <w:rPr>
          <w:i/>
        </w:rPr>
        <w:t>euro</w:t>
      </w:r>
      <w:proofErr w:type="spellEnd"/>
      <w:r w:rsidRPr="00293ED6">
        <w:t>.</w:t>
      </w:r>
    </w:p>
    <w:p w:rsidR="00D4366D" w:rsidRPr="00293ED6" w:rsidRDefault="00D4366D" w:rsidP="00D4366D">
      <w:pPr>
        <w:rPr>
          <w:spacing w:val="-2"/>
          <w:szCs w:val="28"/>
        </w:rPr>
      </w:pPr>
      <w:r w:rsidRPr="00293ED6">
        <w:rPr>
          <w:szCs w:val="28"/>
          <w:lang w:eastAsia="lv-LV"/>
        </w:rPr>
        <w:t>Ar 2019.</w:t>
      </w:r>
      <w:r w:rsidR="008B6256">
        <w:rPr>
          <w:szCs w:val="28"/>
          <w:lang w:eastAsia="lv-LV"/>
        </w:rPr>
        <w:t xml:space="preserve"> </w:t>
      </w:r>
      <w:r w:rsidRPr="00293ED6">
        <w:rPr>
          <w:szCs w:val="28"/>
          <w:lang w:eastAsia="lv-LV"/>
        </w:rPr>
        <w:t>gada 3.</w:t>
      </w:r>
      <w:r w:rsidR="008B6256">
        <w:rPr>
          <w:szCs w:val="28"/>
          <w:lang w:eastAsia="lv-LV"/>
        </w:rPr>
        <w:t xml:space="preserve"> </w:t>
      </w:r>
      <w:r w:rsidRPr="00293ED6">
        <w:rPr>
          <w:szCs w:val="28"/>
          <w:lang w:eastAsia="lv-LV"/>
        </w:rPr>
        <w:t>janvāri stājās spēkā solidaritātes nodokļa grozījumi, kas paredz, ka solidaritātes nodokļa likme ir 25,5%, ko piemēro ienākumiem</w:t>
      </w:r>
      <w:r w:rsidRPr="00293ED6">
        <w:t>, kas pārsniedz 62 800 </w:t>
      </w:r>
      <w:proofErr w:type="spellStart"/>
      <w:r w:rsidRPr="00293ED6">
        <w:rPr>
          <w:i/>
        </w:rPr>
        <w:t>euro</w:t>
      </w:r>
      <w:proofErr w:type="spellEnd"/>
      <w:r w:rsidRPr="00293ED6">
        <w:t xml:space="preserve"> gadā</w:t>
      </w:r>
      <w:r w:rsidRPr="00293ED6">
        <w:rPr>
          <w:szCs w:val="28"/>
          <w:lang w:eastAsia="lv-LV"/>
        </w:rPr>
        <w:t xml:space="preserve">. Taksācijas periodā solidaritātes nodokļa objektam piemēro tādu pašu likmi, kādu piemēro valsts sociālās apdrošināšanas obligāto iemaksu objektam, un </w:t>
      </w:r>
      <w:r w:rsidR="008B6256">
        <w:rPr>
          <w:szCs w:val="28"/>
          <w:lang w:eastAsia="lv-LV"/>
        </w:rPr>
        <w:t>VID</w:t>
      </w:r>
      <w:r w:rsidRPr="00293ED6">
        <w:rPr>
          <w:szCs w:val="28"/>
          <w:lang w:eastAsia="lv-LV"/>
        </w:rPr>
        <w:t xml:space="preserve"> līdz pēctaksācijas gada 1.</w:t>
      </w:r>
      <w:r w:rsidR="008B6256">
        <w:rPr>
          <w:szCs w:val="28"/>
          <w:lang w:eastAsia="lv-LV"/>
        </w:rPr>
        <w:t> </w:t>
      </w:r>
      <w:r w:rsidRPr="00293ED6">
        <w:rPr>
          <w:szCs w:val="28"/>
          <w:lang w:eastAsia="lv-LV"/>
        </w:rPr>
        <w:t>septembrim rezumējošā kārtībā veic pārmaksātā solidaritātes nodokļa atmaksu (starpību starp taksācijas periodā samaksāto solidaritātes nodokli, kas aprēķināts, piemērojot augstāku valsts sociālās apdrošināšanas obligāto iemaksu likmi, un rezumējošā kārtībā aprēķināto solidaritātes nodokli, kas aprēķināts, piemērojot solidaritātes nodokļa likmi (25,5%)). Ar 2019.</w:t>
      </w:r>
      <w:r w:rsidR="00412F14">
        <w:rPr>
          <w:szCs w:val="28"/>
          <w:lang w:eastAsia="lv-LV"/>
        </w:rPr>
        <w:t> </w:t>
      </w:r>
      <w:r w:rsidRPr="00293ED6">
        <w:rPr>
          <w:szCs w:val="28"/>
          <w:lang w:eastAsia="lv-LV"/>
        </w:rPr>
        <w:t>gada 3.</w:t>
      </w:r>
      <w:r w:rsidR="00412F14">
        <w:rPr>
          <w:szCs w:val="28"/>
          <w:lang w:eastAsia="lv-LV"/>
        </w:rPr>
        <w:t xml:space="preserve"> </w:t>
      </w:r>
      <w:r w:rsidRPr="00293ED6">
        <w:rPr>
          <w:szCs w:val="28"/>
          <w:lang w:eastAsia="lv-LV"/>
        </w:rPr>
        <w:t>janvāri arī ir noteikta jauna solidaritātes nodokļa sadalīšanas secība</w:t>
      </w:r>
      <w:r w:rsidRPr="00293ED6">
        <w:rPr>
          <w:spacing w:val="-2"/>
          <w:szCs w:val="28"/>
        </w:rPr>
        <w:t>, prioritāti piešķirot ar solidaritāti saistītām sadaļām:</w:t>
      </w:r>
    </w:p>
    <w:p w:rsidR="00D4366D" w:rsidRPr="00293ED6" w:rsidRDefault="00412F14" w:rsidP="00373FD4">
      <w:pPr>
        <w:numPr>
          <w:ilvl w:val="2"/>
          <w:numId w:val="4"/>
        </w:numPr>
        <w:spacing w:after="0"/>
        <w:ind w:left="1134" w:right="142" w:hanging="283"/>
        <w:contextualSpacing/>
        <w:rPr>
          <w:spacing w:val="-2"/>
          <w:szCs w:val="28"/>
        </w:rPr>
      </w:pPr>
      <w:r>
        <w:rPr>
          <w:spacing w:val="-2"/>
          <w:szCs w:val="28"/>
        </w:rPr>
        <w:t xml:space="preserve">viena </w:t>
      </w:r>
      <w:r w:rsidR="00D4366D" w:rsidRPr="00293ED6">
        <w:rPr>
          <w:spacing w:val="-2"/>
          <w:szCs w:val="28"/>
        </w:rPr>
        <w:t>procentpunkta apmērā veselības aprūpes pakalpojumu finansēšanai (2018.</w:t>
      </w:r>
      <w:r>
        <w:rPr>
          <w:spacing w:val="-2"/>
          <w:szCs w:val="28"/>
        </w:rPr>
        <w:t> </w:t>
      </w:r>
      <w:r w:rsidR="00D4366D" w:rsidRPr="00293ED6">
        <w:rPr>
          <w:spacing w:val="-2"/>
          <w:szCs w:val="28"/>
        </w:rPr>
        <w:t xml:space="preserve">gadā </w:t>
      </w:r>
      <w:r>
        <w:rPr>
          <w:spacing w:val="-2"/>
          <w:szCs w:val="28"/>
        </w:rPr>
        <w:t>viens</w:t>
      </w:r>
      <w:r w:rsidR="00D4366D" w:rsidRPr="00293ED6">
        <w:rPr>
          <w:spacing w:val="-2"/>
          <w:szCs w:val="28"/>
        </w:rPr>
        <w:t xml:space="preserve"> procentpunkts);</w:t>
      </w:r>
    </w:p>
    <w:p w:rsidR="00D4366D" w:rsidRPr="00293ED6" w:rsidRDefault="00D4366D" w:rsidP="00373FD4">
      <w:pPr>
        <w:numPr>
          <w:ilvl w:val="2"/>
          <w:numId w:val="4"/>
        </w:numPr>
        <w:spacing w:after="0"/>
        <w:ind w:left="1134" w:right="142" w:hanging="283"/>
        <w:contextualSpacing/>
        <w:rPr>
          <w:spacing w:val="-2"/>
          <w:szCs w:val="28"/>
        </w:rPr>
      </w:pPr>
      <w:r w:rsidRPr="00293ED6">
        <w:rPr>
          <w:spacing w:val="-2"/>
          <w:szCs w:val="28"/>
        </w:rPr>
        <w:lastRenderedPageBreak/>
        <w:t>14 procentpunktu apmērā valsts pensiju speciālajā budžetā (2018.</w:t>
      </w:r>
      <w:r w:rsidR="00421DF3">
        <w:rPr>
          <w:spacing w:val="-2"/>
          <w:szCs w:val="28"/>
        </w:rPr>
        <w:t xml:space="preserve"> </w:t>
      </w:r>
      <w:r w:rsidRPr="00293ED6">
        <w:rPr>
          <w:spacing w:val="-2"/>
          <w:szCs w:val="28"/>
        </w:rPr>
        <w:t>gadā 13,59 procentpunkti);</w:t>
      </w:r>
    </w:p>
    <w:p w:rsidR="00D4366D" w:rsidRPr="00293ED6" w:rsidRDefault="00D4366D" w:rsidP="00373FD4">
      <w:pPr>
        <w:numPr>
          <w:ilvl w:val="2"/>
          <w:numId w:val="4"/>
        </w:numPr>
        <w:spacing w:after="0"/>
        <w:ind w:left="1134" w:right="142" w:hanging="283"/>
        <w:contextualSpacing/>
        <w:rPr>
          <w:spacing w:val="-2"/>
          <w:szCs w:val="28"/>
        </w:rPr>
      </w:pPr>
      <w:r w:rsidRPr="00293ED6">
        <w:rPr>
          <w:spacing w:val="-2"/>
          <w:szCs w:val="28"/>
        </w:rPr>
        <w:t>10,5 procentpunktu apmērā iedzīvotāju ienākuma nodokļa kontā (2018.</w:t>
      </w:r>
      <w:r w:rsidR="00421DF3">
        <w:rPr>
          <w:spacing w:val="-2"/>
          <w:szCs w:val="28"/>
        </w:rPr>
        <w:t xml:space="preserve"> </w:t>
      </w:r>
      <w:r w:rsidRPr="00293ED6">
        <w:rPr>
          <w:spacing w:val="-2"/>
          <w:szCs w:val="28"/>
        </w:rPr>
        <w:t>gadā 10,5 procentpunkti).</w:t>
      </w:r>
      <w:r w:rsidRPr="00293ED6" w:rsidDel="00765998">
        <w:rPr>
          <w:spacing w:val="-2"/>
          <w:szCs w:val="28"/>
        </w:rPr>
        <w:t xml:space="preserve"> </w:t>
      </w:r>
    </w:p>
    <w:p w:rsidR="00D4366D" w:rsidRPr="00293ED6" w:rsidRDefault="00D4366D" w:rsidP="00412F14">
      <w:pPr>
        <w:spacing w:before="120"/>
      </w:pPr>
      <w:r w:rsidRPr="00293ED6">
        <w:t xml:space="preserve">Ņemot vērā iepriekš minēto, turpmāk sociālās apdrošināšanas iemaksas norādītas ieskaitot solidaritātes nodokļa daļu, ko ieskaita </w:t>
      </w:r>
      <w:r w:rsidRPr="00293ED6">
        <w:rPr>
          <w:szCs w:val="24"/>
        </w:rPr>
        <w:t>valsts pensiju speciālā budžeta ieņēmumos</w:t>
      </w:r>
      <w:r w:rsidRPr="00293ED6">
        <w:t>.</w:t>
      </w:r>
    </w:p>
    <w:p w:rsidR="00D4366D" w:rsidRPr="00324699" w:rsidRDefault="00D4366D" w:rsidP="00412F14">
      <w:pPr>
        <w:rPr>
          <w:highlight w:val="yellow"/>
        </w:rPr>
      </w:pPr>
      <w:r w:rsidRPr="00021453">
        <w:t>Sociālās apdrošināšanas iemaksas 2020.</w:t>
      </w:r>
      <w:r w:rsidR="00421DF3">
        <w:t xml:space="preserve"> </w:t>
      </w:r>
      <w:r w:rsidRPr="00021453">
        <w:t>gada sešos mēnešos veidoja 31,3% no kopbudžeta nodokļu ieņēmumiem, un tās valsts speciālajā budžetā bija 1 306,5 milj. </w:t>
      </w:r>
      <w:proofErr w:type="spellStart"/>
      <w:r w:rsidRPr="00021453">
        <w:rPr>
          <w:i/>
        </w:rPr>
        <w:t>euro</w:t>
      </w:r>
      <w:proofErr w:type="spellEnd"/>
      <w:r w:rsidRPr="00021453">
        <w:t>, kas salīdzinājumā ar 2019.</w:t>
      </w:r>
      <w:r w:rsidR="00421DF3">
        <w:t xml:space="preserve"> </w:t>
      </w:r>
      <w:r w:rsidRPr="00021453">
        <w:t>gada sešiem mēnešiem ir par 21,7 milj. </w:t>
      </w:r>
      <w:proofErr w:type="spellStart"/>
      <w:r w:rsidRPr="00021453">
        <w:rPr>
          <w:i/>
        </w:rPr>
        <w:t>euro</w:t>
      </w:r>
      <w:proofErr w:type="spellEnd"/>
      <w:r w:rsidRPr="00021453">
        <w:t xml:space="preserve"> jeb 1,6% mazāk. 2020.</w:t>
      </w:r>
      <w:r w:rsidR="00421DF3">
        <w:t> </w:t>
      </w:r>
      <w:r w:rsidRPr="00021453">
        <w:t>gada sešos mēnešos valsts sociālās apdrošināšanas iemaksu ieņēmumi valsts pamatbudžetā veselības finansēšanai bija 46,0 milj. </w:t>
      </w:r>
      <w:proofErr w:type="spellStart"/>
      <w:r w:rsidRPr="00021453">
        <w:rPr>
          <w:i/>
        </w:rPr>
        <w:t>euro</w:t>
      </w:r>
      <w:proofErr w:type="spellEnd"/>
      <w:r w:rsidRPr="00021453">
        <w:t>, kas ir par 1,9 milj. </w:t>
      </w:r>
      <w:proofErr w:type="spellStart"/>
      <w:r w:rsidRPr="00021453">
        <w:rPr>
          <w:i/>
        </w:rPr>
        <w:t>euro</w:t>
      </w:r>
      <w:proofErr w:type="spellEnd"/>
      <w:r w:rsidRPr="00021453">
        <w:t xml:space="preserve"> jeb 3,9% mazāk nekā pērn attiecīgajā periodā.</w:t>
      </w:r>
    </w:p>
    <w:p w:rsidR="00D4366D" w:rsidRPr="00DD6063" w:rsidRDefault="00D4366D" w:rsidP="00412F14">
      <w:r w:rsidRPr="00021453">
        <w:t>2020.</w:t>
      </w:r>
      <w:r w:rsidR="00421DF3">
        <w:t xml:space="preserve"> </w:t>
      </w:r>
      <w:r w:rsidRPr="00021453">
        <w:t xml:space="preserve">gada sešu mēnešu </w:t>
      </w:r>
      <w:r w:rsidRPr="00293ED6">
        <w:t>sociālās apdrošināšanas</w:t>
      </w:r>
      <w:r w:rsidRPr="00021453">
        <w:t xml:space="preserve"> iemak</w:t>
      </w:r>
      <w:r>
        <w:t>sas nesasniedza plānu par 101,1 </w:t>
      </w:r>
      <w:r w:rsidRPr="00021453">
        <w:t xml:space="preserve">milj. </w:t>
      </w:r>
      <w:proofErr w:type="spellStart"/>
      <w:r w:rsidRPr="00021453">
        <w:rPr>
          <w:i/>
        </w:rPr>
        <w:t>euro</w:t>
      </w:r>
      <w:proofErr w:type="spellEnd"/>
      <w:r>
        <w:t xml:space="preserve"> jeb plāna izpilde bija 92,8 procenti. S</w:t>
      </w:r>
      <w:r w:rsidRPr="00021453">
        <w:t>ociā</w:t>
      </w:r>
      <w:r>
        <w:t xml:space="preserve">lās apdrošināšanas </w:t>
      </w:r>
      <w:r w:rsidRPr="00DD6063">
        <w:t>iemaksu samazinājumu ietekmēja ne tikai makroekonomiskā situācija</w:t>
      </w:r>
      <w:r>
        <w:t>, kuru ietekmēja uz laiku noteiktā ārkārtējā situācija Covid-19 izplatības dēļ</w:t>
      </w:r>
      <w:r w:rsidRPr="00DD6063">
        <w:t xml:space="preserve">, bet arī likumā “Par valsts apdraudējuma un tā seku novēršanas un pārvarēšanas pasākumiem sakarā ar Covid-19 izplatību” </w:t>
      </w:r>
      <w:r>
        <w:t>un “</w:t>
      </w:r>
      <w:r w:rsidRPr="00814195">
        <w:t>Covid-19 infekcijas izplatības seku pārvarēšanas likums</w:t>
      </w:r>
      <w:r>
        <w:t>”</w:t>
      </w:r>
      <w:r w:rsidRPr="00DD6063">
        <w:t xml:space="preserve"> ietvertie atbalsta un saimnieciskās darbības ierobežojošie pasākumi:</w:t>
      </w:r>
    </w:p>
    <w:p w:rsidR="00D4366D" w:rsidRPr="00DD6063" w:rsidRDefault="00D4366D" w:rsidP="00373FD4">
      <w:pPr>
        <w:pStyle w:val="ListParagraph"/>
        <w:numPr>
          <w:ilvl w:val="0"/>
          <w:numId w:val="10"/>
        </w:numPr>
        <w:spacing w:after="0" w:line="259" w:lineRule="auto"/>
        <w:ind w:left="714" w:hanging="357"/>
        <w:contextualSpacing w:val="0"/>
      </w:pPr>
      <w:r w:rsidRPr="00DD6063">
        <w:t>nodokļu samaksas termiņa pagarinājums līdz trim gadiem, ja termiņa kavējums radies Covid-19 izplatības dēļ</w:t>
      </w:r>
      <w:r>
        <w:t xml:space="preserve">. Nodokļu maksātājam ir tiesības pieteikties uz šiem </w:t>
      </w:r>
      <w:r w:rsidRPr="00DD6063">
        <w:t>termiņa pagarinājums līdz</w:t>
      </w:r>
      <w:r>
        <w:t xml:space="preserve"> 2020.</w:t>
      </w:r>
      <w:r w:rsidR="008B444C">
        <w:t xml:space="preserve"> </w:t>
      </w:r>
      <w:r>
        <w:t>gada 30.</w:t>
      </w:r>
      <w:r w:rsidR="008B444C">
        <w:t xml:space="preserve"> </w:t>
      </w:r>
      <w:r>
        <w:t>decembrim</w:t>
      </w:r>
      <w:r w:rsidRPr="00DD6063">
        <w:t>;</w:t>
      </w:r>
    </w:p>
    <w:p w:rsidR="00D4366D" w:rsidRDefault="00D4366D" w:rsidP="00373FD4">
      <w:pPr>
        <w:pStyle w:val="ListParagraph"/>
        <w:numPr>
          <w:ilvl w:val="0"/>
          <w:numId w:val="10"/>
        </w:numPr>
        <w:autoSpaceDE w:val="0"/>
        <w:autoSpaceDN w:val="0"/>
        <w:adjustRightInd w:val="0"/>
        <w:ind w:left="714" w:hanging="357"/>
        <w:contextualSpacing w:val="0"/>
      </w:pPr>
      <w:r w:rsidRPr="00DD6063">
        <w:t>dīkstāves pabalsta piešķiršana līdz 75% no iepriekšējo sešu mēnešu vidējās atlīdzības apmēra, bet ne vairāk kā 700 </w:t>
      </w:r>
      <w:proofErr w:type="spellStart"/>
      <w:r w:rsidRPr="00DD6063">
        <w:rPr>
          <w:bCs/>
          <w:i/>
        </w:rPr>
        <w:t>euro</w:t>
      </w:r>
      <w:proofErr w:type="spellEnd"/>
      <w:r>
        <w:t xml:space="preserve"> par kalendāro</w:t>
      </w:r>
      <w:r w:rsidRPr="00DD6063">
        <w:t xml:space="preserve"> mēnesi, ja krīzes skarto nozaru darba devējs nenodarbina darbinieku vai neveic darbinieka saistības izpildījuma pieņemšanai nepieciešamās darbības (dīkstāve). Dīkstāves pabalsts netiek aplikts ar IIN un SOC iemaksām.</w:t>
      </w:r>
    </w:p>
    <w:p w:rsidR="00D4366D" w:rsidRDefault="00D4366D" w:rsidP="00412F14">
      <w:r w:rsidRPr="009A0ABC">
        <w:t>Ņemot vērā darba samaksas fonda makroekonomiskās prognozes un plāna neizpildi, 2020.</w:t>
      </w:r>
      <w:r w:rsidR="008B444C">
        <w:t xml:space="preserve"> </w:t>
      </w:r>
      <w:r w:rsidRPr="009A0ABC">
        <w:t>gada sociālās apdrošināšanas iemaksu prognoze tika samazināta par 293,2 milj. </w:t>
      </w:r>
      <w:proofErr w:type="spellStart"/>
      <w:r w:rsidRPr="009A0ABC">
        <w:rPr>
          <w:i/>
        </w:rPr>
        <w:t>euro</w:t>
      </w:r>
      <w:proofErr w:type="spellEnd"/>
      <w:r w:rsidRPr="009A0ABC">
        <w:t xml:space="preserve"> jeb par 9,9%, salīdzinot ar plānu. Sagatavojot 2021.</w:t>
      </w:r>
      <w:r w:rsidR="008B444C">
        <w:t xml:space="preserve"> </w:t>
      </w:r>
      <w:r w:rsidRPr="009A0ABC">
        <w:t xml:space="preserve">gada valsts sociālās apdrošināšanas iemaksu </w:t>
      </w:r>
      <w:r w:rsidRPr="00642CD4">
        <w:rPr>
          <w:color w:val="000000" w:themeColor="text1"/>
        </w:rPr>
        <w:t>plānu</w:t>
      </w:r>
      <w:r w:rsidRPr="009A0ABC">
        <w:t>, tika ņemts vērā</w:t>
      </w:r>
      <w:r>
        <w:t>:</w:t>
      </w:r>
    </w:p>
    <w:p w:rsidR="00D4366D" w:rsidRDefault="00D4366D" w:rsidP="00373FD4">
      <w:pPr>
        <w:pStyle w:val="ListParagraph"/>
        <w:numPr>
          <w:ilvl w:val="0"/>
          <w:numId w:val="13"/>
        </w:numPr>
        <w:spacing w:after="0"/>
        <w:ind w:hanging="357"/>
        <w:contextualSpacing w:val="0"/>
      </w:pPr>
      <w:r>
        <w:t xml:space="preserve">prognozētais </w:t>
      </w:r>
      <w:r w:rsidRPr="009A0ABC">
        <w:t xml:space="preserve">darba samaksas fonda pieauguma </w:t>
      </w:r>
      <w:r w:rsidRPr="001B7510">
        <w:t>temps</w:t>
      </w:r>
      <w:r>
        <w:t>;</w:t>
      </w:r>
    </w:p>
    <w:p w:rsidR="00D4366D" w:rsidRDefault="00D4366D" w:rsidP="00373FD4">
      <w:pPr>
        <w:pStyle w:val="ListParagraph"/>
        <w:numPr>
          <w:ilvl w:val="0"/>
          <w:numId w:val="13"/>
        </w:numPr>
        <w:spacing w:after="0"/>
        <w:ind w:hanging="357"/>
        <w:contextualSpacing w:val="0"/>
      </w:pPr>
      <w:r w:rsidRPr="001B7510">
        <w:t>prognozētās 2020.</w:t>
      </w:r>
      <w:r w:rsidR="008B444C">
        <w:t xml:space="preserve"> </w:t>
      </w:r>
      <w:r w:rsidRPr="001B7510">
        <w:t>gada sociālās apdrošināšanas iemaksas</w:t>
      </w:r>
      <w:r>
        <w:t>;</w:t>
      </w:r>
      <w:r w:rsidRPr="001B7510">
        <w:t xml:space="preserve"> </w:t>
      </w:r>
    </w:p>
    <w:p w:rsidR="00D4366D" w:rsidRPr="00D3706C" w:rsidRDefault="00D4366D" w:rsidP="00373FD4">
      <w:pPr>
        <w:pStyle w:val="ListParagraph"/>
        <w:numPr>
          <w:ilvl w:val="0"/>
          <w:numId w:val="13"/>
        </w:numPr>
        <w:spacing w:after="0"/>
        <w:ind w:hanging="357"/>
        <w:contextualSpacing w:val="0"/>
        <w:rPr>
          <w:szCs w:val="24"/>
        </w:rPr>
      </w:pPr>
      <w:r>
        <w:t xml:space="preserve">izmaiņas normatīvajos aktos; </w:t>
      </w:r>
    </w:p>
    <w:p w:rsidR="00D4366D" w:rsidRPr="00D3706C" w:rsidRDefault="008B444C" w:rsidP="00373FD4">
      <w:pPr>
        <w:pStyle w:val="ListParagraph"/>
        <w:numPr>
          <w:ilvl w:val="0"/>
          <w:numId w:val="13"/>
        </w:numPr>
        <w:ind w:hanging="357"/>
        <w:contextualSpacing w:val="0"/>
        <w:rPr>
          <w:szCs w:val="24"/>
        </w:rPr>
      </w:pPr>
      <w:r>
        <w:t>MK</w:t>
      </w:r>
      <w:r w:rsidR="00D4366D" w:rsidRPr="00B801CD">
        <w:t xml:space="preserve"> </w:t>
      </w:r>
      <w:r w:rsidR="00D4366D" w:rsidRPr="00D3706C">
        <w:rPr>
          <w:szCs w:val="24"/>
        </w:rPr>
        <w:t>2020.</w:t>
      </w:r>
      <w:r>
        <w:rPr>
          <w:szCs w:val="24"/>
        </w:rPr>
        <w:t xml:space="preserve"> </w:t>
      </w:r>
      <w:r w:rsidR="00D4366D" w:rsidRPr="00D3706C">
        <w:rPr>
          <w:szCs w:val="24"/>
        </w:rPr>
        <w:t>gada 22.</w:t>
      </w:r>
      <w:r>
        <w:rPr>
          <w:szCs w:val="24"/>
        </w:rPr>
        <w:t xml:space="preserve"> </w:t>
      </w:r>
      <w:r w:rsidR="00D4366D" w:rsidRPr="00D3706C">
        <w:rPr>
          <w:szCs w:val="24"/>
        </w:rPr>
        <w:t xml:space="preserve">septembrī atbalstītie pasākumi, tostarp </w:t>
      </w:r>
      <w:r w:rsidR="00D4366D">
        <w:t>i</w:t>
      </w:r>
      <w:r w:rsidR="00D4366D" w:rsidRPr="00005C67">
        <w:t xml:space="preserve">nformatīvajā ziņojumā </w:t>
      </w:r>
      <w:r>
        <w:t>“</w:t>
      </w:r>
      <w:r w:rsidR="00D4366D" w:rsidRPr="00005C67">
        <w:t>Par nodokļu politikas attīstības virzieniem, valsts sociālās un veselības apdrošināšanas ilgtspējas veicināšanai</w:t>
      </w:r>
      <w:r>
        <w:t>”</w:t>
      </w:r>
      <w:r w:rsidR="00D4366D" w:rsidRPr="00005C67">
        <w:t xml:space="preserve"> norādītās izmaiņas</w:t>
      </w:r>
      <w:r w:rsidR="00D4366D" w:rsidRPr="00D3706C">
        <w:rPr>
          <w:szCs w:val="24"/>
        </w:rPr>
        <w:t xml:space="preserve">. </w:t>
      </w:r>
    </w:p>
    <w:p w:rsidR="00D4366D" w:rsidRPr="001A5AD8" w:rsidRDefault="00D4366D" w:rsidP="00412F14">
      <w:pPr>
        <w:rPr>
          <w:noProof/>
          <w:szCs w:val="24"/>
        </w:rPr>
      </w:pPr>
      <w:r w:rsidRPr="001A5AD8">
        <w:t>Covid-19 izraisītā krīze identificēja nepilnības strādājošo sociālās aizsardzības jomā, līd</w:t>
      </w:r>
      <w:r w:rsidR="008B444C">
        <w:t xml:space="preserve">z ar to informatīvajā ziņojumā </w:t>
      </w:r>
      <w:r w:rsidR="008B444C" w:rsidRPr="008B444C">
        <w:rPr>
          <w:b/>
        </w:rPr>
        <w:t>“</w:t>
      </w:r>
      <w:r w:rsidRPr="008B444C">
        <w:rPr>
          <w:b/>
        </w:rPr>
        <w:t>Par nodokļu politikas attīstības virzieniem, valsts sociālās ilgtspējas un ekonomikas konkurētspējas veicināšanai”</w:t>
      </w:r>
      <w:r w:rsidRPr="001A5AD8">
        <w:t xml:space="preserve"> tika ietverts pasākums, kas paredz </w:t>
      </w:r>
      <w:r w:rsidRPr="001A5AD8">
        <w:rPr>
          <w:szCs w:val="24"/>
        </w:rPr>
        <w:t xml:space="preserve">minimālo obligāto iemaksu ieviešanu. Šī pasākuma mērķis ir nodrošināt ilgtspējīgu valsts sociālās apdrošināšanas politiku, paredzot, ka par visiem nodokļu maksātājiem, kuri aktīvi piedalās ekonomiskajā dzīvē, obligātās iemaksas tiktu veiktas vismaz minimālu obligāto iemaksu līmenī (t.i. no objekta mēnesī, kas vienāds ar minimālo algu valstī), un novērst dažādo nodokļu režīmu izņēmuma modeļa izmantošanu nodokļu optimizācijas nolūkā. Lai veicinātu valsts sociālās apdrošināšanas sistēmas ilgtspēju un uzlabotu plašas iedzīvotāju grupas sociālo nodrošinājumu, paredzēts ieviest regulējumu, kas noteiktu, ka, ja netiek izmaksāta alga līdz </w:t>
      </w:r>
      <w:r w:rsidRPr="001A5AD8">
        <w:rPr>
          <w:szCs w:val="24"/>
        </w:rPr>
        <w:lastRenderedPageBreak/>
        <w:t xml:space="preserve">minimālās algas apmēram, darba devējam (t.sk., </w:t>
      </w:r>
      <w:proofErr w:type="spellStart"/>
      <w:r w:rsidRPr="001A5AD8">
        <w:rPr>
          <w:szCs w:val="24"/>
        </w:rPr>
        <w:t>pašnodarbinātajām</w:t>
      </w:r>
      <w:proofErr w:type="spellEnd"/>
      <w:r w:rsidRPr="001A5AD8">
        <w:rPr>
          <w:szCs w:val="24"/>
        </w:rPr>
        <w:t xml:space="preserve"> personām un </w:t>
      </w:r>
      <w:proofErr w:type="spellStart"/>
      <w:r w:rsidRPr="001A5AD8">
        <w:rPr>
          <w:szCs w:val="24"/>
        </w:rPr>
        <w:t>mikrouzņēmuma</w:t>
      </w:r>
      <w:proofErr w:type="spellEnd"/>
      <w:r w:rsidRPr="001A5AD8">
        <w:rPr>
          <w:szCs w:val="24"/>
        </w:rPr>
        <w:t xml:space="preserve"> nodokļa maksātājam), par darba ņēmējiem jānodrošina minimālais obligāto iemaksu maksājums.</w:t>
      </w:r>
    </w:p>
    <w:p w:rsidR="00D4366D" w:rsidRPr="001A5AD8" w:rsidRDefault="00D4366D" w:rsidP="00412F14">
      <w:pPr>
        <w:rPr>
          <w:szCs w:val="28"/>
          <w:lang w:eastAsia="lv-LV"/>
        </w:rPr>
      </w:pPr>
      <w:r w:rsidRPr="001A5AD8">
        <w:rPr>
          <w:szCs w:val="24"/>
        </w:rPr>
        <w:t xml:space="preserve">Būtiskākās izmaiņas </w:t>
      </w:r>
      <w:r w:rsidRPr="001A5AD8">
        <w:rPr>
          <w:iCs/>
          <w:color w:val="000000" w:themeColor="text1"/>
          <w:szCs w:val="24"/>
          <w:lang w:eastAsia="lv-LV"/>
        </w:rPr>
        <w:t xml:space="preserve">(Labklājības ministrijas izstrādātie grozījumi likumā “Par valsts sociālo apdrošināšanu”, pamatojoties uz </w:t>
      </w:r>
      <w:r w:rsidR="008B444C">
        <w:rPr>
          <w:iCs/>
          <w:color w:val="000000" w:themeColor="text1"/>
          <w:szCs w:val="24"/>
          <w:lang w:eastAsia="lv-LV"/>
        </w:rPr>
        <w:t>MK</w:t>
      </w:r>
      <w:r w:rsidRPr="001A5AD8">
        <w:rPr>
          <w:iCs/>
          <w:color w:val="000000" w:themeColor="text1"/>
          <w:szCs w:val="24"/>
          <w:lang w:eastAsia="lv-LV"/>
        </w:rPr>
        <w:t xml:space="preserve"> 2020.</w:t>
      </w:r>
      <w:r w:rsidR="008B444C">
        <w:rPr>
          <w:iCs/>
          <w:color w:val="000000" w:themeColor="text1"/>
          <w:szCs w:val="24"/>
          <w:lang w:eastAsia="lv-LV"/>
        </w:rPr>
        <w:t xml:space="preserve"> </w:t>
      </w:r>
      <w:r w:rsidRPr="001A5AD8">
        <w:rPr>
          <w:iCs/>
          <w:color w:val="000000" w:themeColor="text1"/>
          <w:szCs w:val="24"/>
          <w:lang w:eastAsia="lv-LV"/>
        </w:rPr>
        <w:t>gada 2.</w:t>
      </w:r>
      <w:r w:rsidR="008B444C">
        <w:rPr>
          <w:iCs/>
          <w:color w:val="000000" w:themeColor="text1"/>
          <w:szCs w:val="24"/>
          <w:lang w:eastAsia="lv-LV"/>
        </w:rPr>
        <w:t xml:space="preserve"> </w:t>
      </w:r>
      <w:r w:rsidRPr="001A5AD8">
        <w:rPr>
          <w:iCs/>
          <w:color w:val="000000" w:themeColor="text1"/>
          <w:szCs w:val="24"/>
          <w:lang w:eastAsia="lv-LV"/>
        </w:rPr>
        <w:t>septembra sēdes protokola Nr.51 45.§ 2.1. apakšpunktu)</w:t>
      </w:r>
      <w:r w:rsidRPr="001A5AD8">
        <w:rPr>
          <w:szCs w:val="24"/>
        </w:rPr>
        <w:t>:</w:t>
      </w:r>
      <w:r w:rsidRPr="001A5AD8">
        <w:rPr>
          <w:szCs w:val="28"/>
          <w:lang w:eastAsia="lv-LV"/>
        </w:rPr>
        <w:t xml:space="preserve"> </w:t>
      </w:r>
    </w:p>
    <w:p w:rsidR="00D4366D" w:rsidRPr="001A5AD8" w:rsidRDefault="00D4366D" w:rsidP="00373FD4">
      <w:pPr>
        <w:pStyle w:val="ListParagraph"/>
        <w:numPr>
          <w:ilvl w:val="0"/>
          <w:numId w:val="12"/>
        </w:numPr>
        <w:spacing w:after="0"/>
        <w:ind w:left="993" w:hanging="284"/>
        <w:contextualSpacing w:val="0"/>
      </w:pPr>
      <w:r w:rsidRPr="001A5AD8">
        <w:rPr>
          <w:noProof/>
          <w:szCs w:val="24"/>
        </w:rPr>
        <w:t xml:space="preserve">valsts sociālās apdrošināšanas obligāto iemaksu likmes samazināšana par </w:t>
      </w:r>
      <w:r w:rsidR="008B444C">
        <w:rPr>
          <w:noProof/>
          <w:szCs w:val="24"/>
        </w:rPr>
        <w:t>vienu</w:t>
      </w:r>
      <w:r w:rsidRPr="001A5AD8">
        <w:rPr>
          <w:noProof/>
          <w:szCs w:val="24"/>
        </w:rPr>
        <w:t xml:space="preserve"> procentpunktu no 35,09% uz 34,09% (samazinot par 0,5% gan </w:t>
      </w:r>
      <w:r w:rsidRPr="001A5AD8">
        <w:rPr>
          <w:szCs w:val="24"/>
        </w:rPr>
        <w:t>darba ņēmēja, gan darba devēja daļu</w:t>
      </w:r>
      <w:r w:rsidRPr="001A5AD8">
        <w:rPr>
          <w:noProof/>
          <w:szCs w:val="24"/>
        </w:rPr>
        <w:t xml:space="preserve">), papildus </w:t>
      </w:r>
      <w:r w:rsidRPr="001A5AD8">
        <w:rPr>
          <w:szCs w:val="24"/>
          <w:lang w:eastAsia="lv-LV"/>
        </w:rPr>
        <w:t>ietverot solidaritātes nodokļa likmes samazināšanu no 25,5% līdz 25,0% un solidaritātes nodokļa ieņēmumu sadalījuma maiņu. Iedzīvotāju ienākuma nodokļa</w:t>
      </w:r>
      <w:r w:rsidR="008B444C">
        <w:rPr>
          <w:szCs w:val="24"/>
          <w:lang w:eastAsia="lv-LV"/>
        </w:rPr>
        <w:t xml:space="preserve"> kontā Valsts kasē tiks ieskaitīti</w:t>
      </w:r>
      <w:r w:rsidRPr="001A5AD8">
        <w:rPr>
          <w:szCs w:val="24"/>
          <w:lang w:eastAsia="lv-LV"/>
        </w:rPr>
        <w:t xml:space="preserve"> solidaritātes nodokļa ieņēmumi 10 procentpunktu apmērā līdzšinējo 10,5 procentpunktu vietā,</w:t>
      </w:r>
      <w:r w:rsidRPr="001A5AD8">
        <w:rPr>
          <w:noProof/>
          <w:szCs w:val="24"/>
        </w:rPr>
        <w:t xml:space="preserve"> </w:t>
      </w:r>
      <w:r w:rsidRPr="001A5AD8">
        <w:t>(fiskālā ietekme valsts speciālajā budžetā -75,5 milj. </w:t>
      </w:r>
      <w:proofErr w:type="spellStart"/>
      <w:r w:rsidRPr="001A5AD8">
        <w:rPr>
          <w:i/>
        </w:rPr>
        <w:t>euro</w:t>
      </w:r>
      <w:proofErr w:type="spellEnd"/>
      <w:r w:rsidRPr="001A5AD8">
        <w:t>);</w:t>
      </w:r>
    </w:p>
    <w:p w:rsidR="00D4366D" w:rsidRPr="001A5AD8" w:rsidRDefault="00D4366D" w:rsidP="00373FD4">
      <w:pPr>
        <w:pStyle w:val="ListParagraph"/>
        <w:numPr>
          <w:ilvl w:val="0"/>
          <w:numId w:val="12"/>
        </w:numPr>
        <w:spacing w:after="0"/>
        <w:ind w:left="993" w:hanging="284"/>
        <w:contextualSpacing w:val="0"/>
      </w:pPr>
      <w:r w:rsidRPr="001A5AD8">
        <w:rPr>
          <w:noProof/>
          <w:szCs w:val="24"/>
        </w:rPr>
        <w:t>alternatīvo nodokļu režīmu reorganizācija</w:t>
      </w:r>
      <w:r w:rsidRPr="001A5AD8">
        <w:t xml:space="preserve"> un minimālā </w:t>
      </w:r>
      <w:r w:rsidRPr="001A5AD8">
        <w:rPr>
          <w:noProof/>
          <w:szCs w:val="24"/>
        </w:rPr>
        <w:t>valsts sociālās apdrošināšanas obligāto iemaksu ieviešana</w:t>
      </w:r>
      <w:r w:rsidRPr="001A5AD8">
        <w:t xml:space="preserve"> (fiskālā ietekme valsts speciālajā budžetā +59,2 milj. </w:t>
      </w:r>
      <w:proofErr w:type="spellStart"/>
      <w:r w:rsidRPr="001A5AD8">
        <w:rPr>
          <w:i/>
        </w:rPr>
        <w:t>euro</w:t>
      </w:r>
      <w:proofErr w:type="spellEnd"/>
      <w:r w:rsidRPr="001A5AD8">
        <w:t>, valsts pamatbudžetā veselības finansēšanai +1,9 milj. </w:t>
      </w:r>
      <w:proofErr w:type="spellStart"/>
      <w:r w:rsidRPr="001A5AD8">
        <w:rPr>
          <w:i/>
        </w:rPr>
        <w:t>euro</w:t>
      </w:r>
      <w:proofErr w:type="spellEnd"/>
      <w:r w:rsidRPr="001A5AD8">
        <w:t>).</w:t>
      </w:r>
    </w:p>
    <w:p w:rsidR="00D4366D" w:rsidRPr="007D7596" w:rsidRDefault="00D4366D" w:rsidP="005B71DF">
      <w:pPr>
        <w:spacing w:before="120"/>
        <w:rPr>
          <w:szCs w:val="28"/>
          <w:lang w:eastAsia="lv-LV"/>
        </w:rPr>
      </w:pPr>
      <w:r w:rsidRPr="00B801CD">
        <w:t xml:space="preserve">Valsts </w:t>
      </w:r>
      <w:r>
        <w:t xml:space="preserve">sociālās apdrošināšanas iemaksas </w:t>
      </w:r>
      <w:r w:rsidRPr="00B801CD">
        <w:t xml:space="preserve">ietekmēs arī </w:t>
      </w:r>
      <w:r>
        <w:t>šādi</w:t>
      </w:r>
      <w:r w:rsidRPr="007F02D5">
        <w:rPr>
          <w:szCs w:val="28"/>
          <w:lang w:eastAsia="lv-LV"/>
        </w:rPr>
        <w:t xml:space="preserve"> </w:t>
      </w:r>
      <w:r w:rsidR="005B71DF">
        <w:rPr>
          <w:szCs w:val="28"/>
          <w:lang w:eastAsia="lv-LV"/>
        </w:rPr>
        <w:t>MK</w:t>
      </w:r>
      <w:r w:rsidRPr="007F02D5">
        <w:rPr>
          <w:szCs w:val="28"/>
          <w:lang w:eastAsia="lv-LV"/>
        </w:rPr>
        <w:t xml:space="preserve"> atbalstītie pasākumi likumprojekta “Par valsts budžetu 202</w:t>
      </w:r>
      <w:r>
        <w:rPr>
          <w:szCs w:val="28"/>
          <w:lang w:eastAsia="lv-LV"/>
        </w:rPr>
        <w:t>1</w:t>
      </w:r>
      <w:r w:rsidRPr="007F02D5">
        <w:rPr>
          <w:szCs w:val="28"/>
          <w:lang w:eastAsia="lv-LV"/>
        </w:rPr>
        <w:t>.</w:t>
      </w:r>
      <w:r w:rsidR="005B71DF">
        <w:rPr>
          <w:szCs w:val="28"/>
          <w:lang w:eastAsia="lv-LV"/>
        </w:rPr>
        <w:t xml:space="preserve"> </w:t>
      </w:r>
      <w:r w:rsidRPr="007F02D5">
        <w:rPr>
          <w:szCs w:val="28"/>
          <w:lang w:eastAsia="lv-LV"/>
        </w:rPr>
        <w:t>gadam” izstrādes gaitā</w:t>
      </w:r>
      <w:r>
        <w:rPr>
          <w:szCs w:val="28"/>
          <w:lang w:eastAsia="lv-LV"/>
        </w:rPr>
        <w:t>, kas stāsies spēkā ar 2021</w:t>
      </w:r>
      <w:r w:rsidRPr="007F02D5">
        <w:rPr>
          <w:szCs w:val="28"/>
          <w:lang w:eastAsia="lv-LV"/>
        </w:rPr>
        <w:t>.</w:t>
      </w:r>
      <w:r w:rsidR="005B71DF">
        <w:rPr>
          <w:szCs w:val="28"/>
          <w:lang w:eastAsia="lv-LV"/>
        </w:rPr>
        <w:t xml:space="preserve"> </w:t>
      </w:r>
      <w:r w:rsidRPr="007F02D5">
        <w:rPr>
          <w:szCs w:val="28"/>
          <w:lang w:eastAsia="lv-LV"/>
        </w:rPr>
        <w:t>gada 1.</w:t>
      </w:r>
      <w:r w:rsidR="005B71DF">
        <w:rPr>
          <w:szCs w:val="28"/>
          <w:lang w:eastAsia="lv-LV"/>
        </w:rPr>
        <w:t xml:space="preserve"> </w:t>
      </w:r>
      <w:r w:rsidRPr="007F02D5">
        <w:rPr>
          <w:szCs w:val="28"/>
          <w:lang w:eastAsia="lv-LV"/>
        </w:rPr>
        <w:t xml:space="preserve">janvāri: </w:t>
      </w:r>
    </w:p>
    <w:p w:rsidR="00D4366D" w:rsidRPr="00AA740C" w:rsidRDefault="00D4366D" w:rsidP="00373FD4">
      <w:pPr>
        <w:pStyle w:val="ListParagraph"/>
        <w:numPr>
          <w:ilvl w:val="1"/>
          <w:numId w:val="11"/>
        </w:numPr>
        <w:spacing w:after="0"/>
        <w:ind w:left="1434" w:hanging="357"/>
        <w:contextualSpacing w:val="0"/>
        <w:rPr>
          <w:szCs w:val="28"/>
          <w:lang w:eastAsia="lv-LV"/>
        </w:rPr>
      </w:pPr>
      <w:r>
        <w:rPr>
          <w:szCs w:val="28"/>
          <w:lang w:eastAsia="lv-LV"/>
        </w:rPr>
        <w:t>g</w:t>
      </w:r>
      <w:r w:rsidRPr="001B7510">
        <w:rPr>
          <w:szCs w:val="28"/>
          <w:lang w:eastAsia="lv-LV"/>
        </w:rPr>
        <w:t xml:space="preserve">rozījumi “Čeku loterijas likumā”, kas paredz </w:t>
      </w:r>
      <w:r w:rsidRPr="001B7510">
        <w:rPr>
          <w:iCs/>
          <w:color w:val="000000" w:themeColor="text1"/>
        </w:rPr>
        <w:t>paplašināt noteikto darījumu apliecinošo dokumentu veidus, kas reģistrējami dalībai čeku loterijā, ieviešot</w:t>
      </w:r>
      <w:r w:rsidRPr="001B7510">
        <w:rPr>
          <w:color w:val="1F497D"/>
        </w:rPr>
        <w:t xml:space="preserve"> </w:t>
      </w:r>
      <w:r w:rsidRPr="00AA740C">
        <w:rPr>
          <w:color w:val="000000" w:themeColor="text1"/>
        </w:rPr>
        <w:t xml:space="preserve">maksāšanai izsniegtu dokumentu </w:t>
      </w:r>
      <w:r w:rsidRPr="00AA740C">
        <w:rPr>
          <w:iCs/>
          <w:color w:val="000000" w:themeColor="text1"/>
        </w:rPr>
        <w:t>par saņemtām precēm vai pakalpojumiem reģistrēšanu</w:t>
      </w:r>
      <w:r w:rsidRPr="00AA740C">
        <w:rPr>
          <w:szCs w:val="24"/>
          <w:lang w:eastAsia="lv-LV"/>
        </w:rPr>
        <w:t xml:space="preserve"> </w:t>
      </w:r>
      <w:r w:rsidRPr="00AA740C">
        <w:t>(fiskālā ietekme valsts speciālajā budžetā +0,02 milj. </w:t>
      </w:r>
      <w:proofErr w:type="spellStart"/>
      <w:r w:rsidRPr="00AA740C">
        <w:rPr>
          <w:i/>
        </w:rPr>
        <w:t>euro</w:t>
      </w:r>
      <w:proofErr w:type="spellEnd"/>
      <w:r w:rsidRPr="00AA740C">
        <w:t>);</w:t>
      </w:r>
    </w:p>
    <w:p w:rsidR="00D4366D" w:rsidRPr="00563854" w:rsidRDefault="00D4366D" w:rsidP="00373FD4">
      <w:pPr>
        <w:pStyle w:val="ListParagraph"/>
        <w:numPr>
          <w:ilvl w:val="1"/>
          <w:numId w:val="11"/>
        </w:numPr>
        <w:spacing w:after="0"/>
        <w:ind w:left="1434" w:hanging="357"/>
        <w:contextualSpacing w:val="0"/>
        <w:rPr>
          <w:szCs w:val="28"/>
          <w:lang w:eastAsia="lv-LV"/>
        </w:rPr>
      </w:pPr>
      <w:r>
        <w:rPr>
          <w:szCs w:val="28"/>
          <w:lang w:eastAsia="lv-LV"/>
        </w:rPr>
        <w:t>a</w:t>
      </w:r>
      <w:r w:rsidRPr="00AA740C">
        <w:rPr>
          <w:szCs w:val="28"/>
          <w:lang w:eastAsia="lv-LV"/>
        </w:rPr>
        <w:t xml:space="preserve">tgriezeniskais efekts no algu palielināšanas veselības un izglītības jomā </w:t>
      </w:r>
      <w:r w:rsidRPr="00AA740C">
        <w:t>(fiskālā ietekme valsts speciālajā budžetā +55,8 milj. </w:t>
      </w:r>
      <w:proofErr w:type="spellStart"/>
      <w:r w:rsidRPr="00AA740C">
        <w:rPr>
          <w:i/>
        </w:rPr>
        <w:t>euro</w:t>
      </w:r>
      <w:proofErr w:type="spellEnd"/>
      <w:r w:rsidRPr="00AA740C">
        <w:t>)</w:t>
      </w:r>
      <w:r>
        <w:t>.</w:t>
      </w:r>
    </w:p>
    <w:p w:rsidR="00D4366D" w:rsidRPr="00005C67" w:rsidRDefault="00D4366D" w:rsidP="005B71DF">
      <w:pPr>
        <w:pStyle w:val="cipari"/>
        <w:spacing w:before="120"/>
        <w:ind w:left="0" w:firstLine="709"/>
        <w:rPr>
          <w:rFonts w:eastAsia="Calibri"/>
          <w:szCs w:val="24"/>
          <w:lang w:eastAsia="lv-LV"/>
        </w:rPr>
      </w:pPr>
      <w:r w:rsidRPr="00005C67">
        <w:rPr>
          <w:rFonts w:eastAsia="Calibri"/>
          <w:szCs w:val="24"/>
          <w:lang w:eastAsia="lv-LV"/>
        </w:rPr>
        <w:t xml:space="preserve">Tāpat </w:t>
      </w:r>
      <w:r>
        <w:t>v</w:t>
      </w:r>
      <w:r w:rsidRPr="00B801CD">
        <w:t xml:space="preserve">alsts </w:t>
      </w:r>
      <w:r>
        <w:t xml:space="preserve">sociālās apdrošināšanas iemaksu ieņēmumus </w:t>
      </w:r>
      <w:r w:rsidRPr="00005C67">
        <w:rPr>
          <w:rFonts w:eastAsia="Calibri"/>
          <w:szCs w:val="24"/>
          <w:lang w:eastAsia="lv-LV"/>
        </w:rPr>
        <w:t>ietekmēs arī iepriekš</w:t>
      </w:r>
      <w:r>
        <w:rPr>
          <w:rFonts w:eastAsia="Calibri"/>
          <w:szCs w:val="24"/>
          <w:lang w:eastAsia="lv-LV"/>
        </w:rPr>
        <w:t xml:space="preserve">  pieņemtās</w:t>
      </w:r>
      <w:r w:rsidRPr="00005C67">
        <w:rPr>
          <w:rFonts w:eastAsia="Calibri"/>
          <w:szCs w:val="24"/>
          <w:lang w:eastAsia="lv-LV"/>
        </w:rPr>
        <w:t xml:space="preserve"> </w:t>
      </w:r>
      <w:r>
        <w:rPr>
          <w:rFonts w:eastAsia="Calibri"/>
          <w:szCs w:val="24"/>
          <w:lang w:eastAsia="lv-LV"/>
        </w:rPr>
        <w:t>izmaiņas normatīvajos aktos</w:t>
      </w:r>
      <w:r w:rsidRPr="00005C67">
        <w:rPr>
          <w:rFonts w:eastAsia="Calibri"/>
          <w:szCs w:val="24"/>
          <w:lang w:eastAsia="lv-LV"/>
        </w:rPr>
        <w:t>:</w:t>
      </w:r>
    </w:p>
    <w:p w:rsidR="00D4366D" w:rsidRDefault="00D4366D" w:rsidP="00373FD4">
      <w:pPr>
        <w:pStyle w:val="ListParagraph"/>
        <w:numPr>
          <w:ilvl w:val="0"/>
          <w:numId w:val="3"/>
        </w:numPr>
        <w:spacing w:after="0"/>
        <w:ind w:left="1434" w:hanging="357"/>
        <w:contextualSpacing w:val="0"/>
        <w:rPr>
          <w:szCs w:val="24"/>
          <w:lang w:eastAsia="lv-LV"/>
        </w:rPr>
      </w:pPr>
      <w:r w:rsidRPr="00483F14">
        <w:rPr>
          <w:rFonts w:eastAsia="Calibri"/>
          <w:color w:val="000000"/>
          <w:szCs w:val="24"/>
          <w:lang w:eastAsia="lv-LV"/>
        </w:rPr>
        <w:t>minimālās mēneša darba algas paaugstināšana ar 2021.</w:t>
      </w:r>
      <w:r w:rsidR="005B71DF">
        <w:rPr>
          <w:rFonts w:eastAsia="Calibri"/>
          <w:color w:val="000000"/>
          <w:szCs w:val="24"/>
          <w:lang w:eastAsia="lv-LV"/>
        </w:rPr>
        <w:t xml:space="preserve"> </w:t>
      </w:r>
      <w:r w:rsidRPr="00483F14">
        <w:rPr>
          <w:rFonts w:eastAsia="Calibri"/>
          <w:color w:val="000000"/>
          <w:szCs w:val="24"/>
          <w:lang w:eastAsia="lv-LV"/>
        </w:rPr>
        <w:t>gadu līdz 500</w:t>
      </w:r>
      <w:r>
        <w:rPr>
          <w:rFonts w:eastAsia="Calibri"/>
          <w:color w:val="000000"/>
          <w:szCs w:val="24"/>
          <w:lang w:eastAsia="lv-LV"/>
        </w:rPr>
        <w:t> </w:t>
      </w:r>
      <w:proofErr w:type="spellStart"/>
      <w:r w:rsidRPr="00563854">
        <w:rPr>
          <w:rFonts w:eastAsia="Calibri"/>
          <w:i/>
          <w:color w:val="000000"/>
          <w:szCs w:val="24"/>
          <w:lang w:eastAsia="lv-LV"/>
        </w:rPr>
        <w:t>euro</w:t>
      </w:r>
      <w:proofErr w:type="spellEnd"/>
      <w:r w:rsidRPr="00483F14">
        <w:rPr>
          <w:rFonts w:eastAsia="Calibri"/>
          <w:color w:val="000000"/>
          <w:szCs w:val="24"/>
          <w:lang w:eastAsia="lv-LV"/>
        </w:rPr>
        <w:t xml:space="preserve">/mēnesī </w:t>
      </w:r>
      <w:r w:rsidRPr="00483F14">
        <w:rPr>
          <w:szCs w:val="24"/>
        </w:rPr>
        <w:t>(</w:t>
      </w:r>
      <w:r w:rsidRPr="002420A9">
        <w:t>fiskālā ietekme</w:t>
      </w:r>
      <w:r>
        <w:t xml:space="preserve"> valsts speciālajā budžetā +21,6</w:t>
      </w:r>
      <w:r w:rsidRPr="002420A9">
        <w:t> milj. </w:t>
      </w:r>
      <w:proofErr w:type="spellStart"/>
      <w:r w:rsidRPr="002420A9">
        <w:rPr>
          <w:i/>
        </w:rPr>
        <w:t>euro</w:t>
      </w:r>
      <w:proofErr w:type="spellEnd"/>
      <w:r w:rsidRPr="002420A9">
        <w:t>, valsts pamatbud</w:t>
      </w:r>
      <w:r>
        <w:t>žetā veselības finansēšanai +0,8</w:t>
      </w:r>
      <w:r w:rsidRPr="002420A9">
        <w:t> milj. </w:t>
      </w:r>
      <w:proofErr w:type="spellStart"/>
      <w:r w:rsidRPr="002420A9">
        <w:rPr>
          <w:i/>
        </w:rPr>
        <w:t>euro</w:t>
      </w:r>
      <w:proofErr w:type="spellEnd"/>
      <w:r w:rsidRPr="00483F14">
        <w:rPr>
          <w:szCs w:val="24"/>
        </w:rPr>
        <w:t>)</w:t>
      </w:r>
      <w:r>
        <w:rPr>
          <w:szCs w:val="24"/>
        </w:rPr>
        <w:t>;</w:t>
      </w:r>
    </w:p>
    <w:p w:rsidR="00D4366D" w:rsidRPr="00944BAF" w:rsidRDefault="00D4366D" w:rsidP="00373FD4">
      <w:pPr>
        <w:pStyle w:val="ListParagraph"/>
        <w:numPr>
          <w:ilvl w:val="0"/>
          <w:numId w:val="3"/>
        </w:numPr>
        <w:spacing w:after="0" w:line="259" w:lineRule="auto"/>
        <w:ind w:left="1434" w:hanging="357"/>
        <w:contextualSpacing w:val="0"/>
        <w:rPr>
          <w:szCs w:val="24"/>
          <w:lang w:eastAsia="lv-LV"/>
        </w:rPr>
      </w:pPr>
      <w:r w:rsidRPr="00DD6063">
        <w:t>nodok</w:t>
      </w:r>
      <w:r>
        <w:t>ļu samaksas termiņa pagarinājumi</w:t>
      </w:r>
      <w:r w:rsidRPr="00DD6063">
        <w:t xml:space="preserve"> līdz trim gadiem, ja termiņa kavējums</w:t>
      </w:r>
      <w:r>
        <w:t xml:space="preserve"> radies Covid-19 izplatības dēļ </w:t>
      </w:r>
      <w:r w:rsidRPr="00483F14">
        <w:rPr>
          <w:szCs w:val="24"/>
        </w:rPr>
        <w:t>(</w:t>
      </w:r>
      <w:r w:rsidRPr="002420A9">
        <w:t>fiskālā ietekme</w:t>
      </w:r>
      <w:r>
        <w:t xml:space="preserve"> valsts speciālajā budžetā +5,2</w:t>
      </w:r>
      <w:r w:rsidRPr="002420A9">
        <w:t> milj. </w:t>
      </w:r>
      <w:proofErr w:type="spellStart"/>
      <w:r w:rsidRPr="002420A9">
        <w:rPr>
          <w:i/>
        </w:rPr>
        <w:t>euro</w:t>
      </w:r>
      <w:proofErr w:type="spellEnd"/>
      <w:r w:rsidRPr="002420A9">
        <w:t>, valsts pamatbud</w:t>
      </w:r>
      <w:r>
        <w:t>žetā veselības finansēšanai +0,2</w:t>
      </w:r>
      <w:r w:rsidRPr="002420A9">
        <w:t> milj. </w:t>
      </w:r>
      <w:proofErr w:type="spellStart"/>
      <w:r w:rsidRPr="002420A9">
        <w:rPr>
          <w:i/>
        </w:rPr>
        <w:t>euro</w:t>
      </w:r>
      <w:proofErr w:type="spellEnd"/>
      <w:r w:rsidRPr="00483F14">
        <w:rPr>
          <w:szCs w:val="24"/>
        </w:rPr>
        <w:t>)</w:t>
      </w:r>
      <w:r>
        <w:rPr>
          <w:szCs w:val="24"/>
        </w:rPr>
        <w:t>.</w:t>
      </w:r>
    </w:p>
    <w:p w:rsidR="00D4366D" w:rsidRPr="003A6EA0" w:rsidRDefault="00D4366D" w:rsidP="005B71DF">
      <w:pPr>
        <w:spacing w:before="120"/>
      </w:pPr>
      <w:r w:rsidRPr="003A6EA0">
        <w:t>Saskaņā ar likumproj</w:t>
      </w:r>
      <w:r w:rsidR="005B71DF">
        <w:t>ektu “</w:t>
      </w:r>
      <w:r w:rsidRPr="003A6EA0">
        <w:t>Par valsts budžetu 2021.</w:t>
      </w:r>
      <w:r w:rsidR="005B71DF">
        <w:t xml:space="preserve"> </w:t>
      </w:r>
      <w:r w:rsidRPr="003A6EA0">
        <w:t>gadam” 2021.</w:t>
      </w:r>
      <w:r w:rsidR="005B71DF">
        <w:t xml:space="preserve"> </w:t>
      </w:r>
      <w:r w:rsidRPr="003A6EA0">
        <w:t>gadā sociālās apdrošināšanas iemak</w:t>
      </w:r>
      <w:r>
        <w:t>sas tiek plānotas</w:t>
      </w:r>
      <w:r w:rsidRPr="003A6EA0">
        <w:t xml:space="preserve"> </w:t>
      </w:r>
      <w:r>
        <w:t>2 840,4</w:t>
      </w:r>
      <w:r w:rsidRPr="003A6EA0">
        <w:t> milj. </w:t>
      </w:r>
      <w:proofErr w:type="spellStart"/>
      <w:r w:rsidRPr="003A6EA0">
        <w:rPr>
          <w:i/>
        </w:rPr>
        <w:t>euro</w:t>
      </w:r>
      <w:proofErr w:type="spellEnd"/>
      <w:r w:rsidRPr="003A6EA0">
        <w:t xml:space="preserve"> apmērā, kas salīdzinājumā ar 2020.</w:t>
      </w:r>
      <w:r w:rsidR="005B71DF">
        <w:t> </w:t>
      </w:r>
      <w:r w:rsidRPr="003A6EA0">
        <w:t>gada prognozi ir par</w:t>
      </w:r>
      <w:r>
        <w:t xml:space="preserve"> 175,9</w:t>
      </w:r>
      <w:r w:rsidRPr="003A6EA0">
        <w:t> milj. </w:t>
      </w:r>
      <w:proofErr w:type="spellStart"/>
      <w:r w:rsidRPr="003A6EA0">
        <w:rPr>
          <w:i/>
        </w:rPr>
        <w:t>euro</w:t>
      </w:r>
      <w:proofErr w:type="spellEnd"/>
      <w:r>
        <w:t xml:space="preserve"> jeb 6,6</w:t>
      </w:r>
      <w:r w:rsidRPr="003A6EA0">
        <w:t xml:space="preserve">% vairāk. </w:t>
      </w:r>
    </w:p>
    <w:p w:rsidR="00D4366D" w:rsidRPr="005B71DF" w:rsidRDefault="00D4366D" w:rsidP="005B71DF">
      <w:pPr>
        <w:spacing w:before="240"/>
        <w:ind w:firstLine="0"/>
        <w:jc w:val="center"/>
        <w:rPr>
          <w:b/>
        </w:rPr>
      </w:pPr>
      <w:r w:rsidRPr="00AB06A4">
        <w:rPr>
          <w:b/>
          <w:i/>
        </w:rPr>
        <w:t xml:space="preserve">3.4. tabula </w:t>
      </w:r>
      <w:r w:rsidRPr="005B71DF">
        <w:rPr>
          <w:b/>
        </w:rPr>
        <w:t>Valsts sociālās apdrošināšanas iemaksas speciālajā budžetā</w:t>
      </w:r>
    </w:p>
    <w:tbl>
      <w:tblPr>
        <w:tblW w:w="90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222"/>
        <w:gridCol w:w="1128"/>
        <w:gridCol w:w="1175"/>
        <w:gridCol w:w="1175"/>
      </w:tblGrid>
      <w:tr w:rsidR="00D4366D" w:rsidRPr="005B71DF" w:rsidTr="005B71DF">
        <w:trPr>
          <w:trHeight w:val="259"/>
        </w:trPr>
        <w:tc>
          <w:tcPr>
            <w:tcW w:w="4394" w:type="dxa"/>
            <w:vMerge w:val="restart"/>
            <w:shd w:val="clear" w:color="auto" w:fill="D9D9D9" w:themeFill="background1" w:themeFillShade="D9"/>
            <w:vAlign w:val="center"/>
            <w:hideMark/>
          </w:tcPr>
          <w:p w:rsidR="00D4366D" w:rsidRPr="005B71DF" w:rsidRDefault="00D4366D" w:rsidP="00421DF3">
            <w:pPr>
              <w:spacing w:after="0"/>
              <w:ind w:firstLine="0"/>
              <w:jc w:val="center"/>
              <w:rPr>
                <w:b/>
                <w:bCs/>
                <w:color w:val="000000"/>
                <w:sz w:val="18"/>
                <w:lang w:eastAsia="lv-LV"/>
              </w:rPr>
            </w:pPr>
            <w:r w:rsidRPr="005B71DF">
              <w:rPr>
                <w:b/>
                <w:bCs/>
                <w:snapToGrid w:val="0"/>
                <w:color w:val="000000"/>
                <w:sz w:val="18"/>
                <w:lang w:eastAsia="lv-LV"/>
              </w:rPr>
              <w:t> </w:t>
            </w:r>
          </w:p>
          <w:p w:rsidR="00D4366D" w:rsidRPr="005B71DF" w:rsidRDefault="00D4366D" w:rsidP="00421DF3">
            <w:pPr>
              <w:spacing w:after="0"/>
              <w:jc w:val="center"/>
              <w:rPr>
                <w:b/>
                <w:bCs/>
                <w:color w:val="000000"/>
                <w:sz w:val="18"/>
                <w:lang w:eastAsia="lv-LV"/>
              </w:rPr>
            </w:pPr>
            <w:r w:rsidRPr="005B71DF">
              <w:rPr>
                <w:b/>
                <w:bCs/>
                <w:snapToGrid w:val="0"/>
                <w:color w:val="000000"/>
                <w:sz w:val="18"/>
                <w:lang w:eastAsia="lv-LV"/>
              </w:rPr>
              <w:t> </w:t>
            </w:r>
          </w:p>
        </w:tc>
        <w:tc>
          <w:tcPr>
            <w:tcW w:w="1222" w:type="dxa"/>
            <w:shd w:val="clear" w:color="auto" w:fill="D9D9D9" w:themeFill="background1" w:themeFillShade="D9"/>
            <w:vAlign w:val="center"/>
            <w:hideMark/>
          </w:tcPr>
          <w:p w:rsidR="00D4366D" w:rsidRPr="005B71DF" w:rsidRDefault="00D4366D" w:rsidP="00421DF3">
            <w:pPr>
              <w:spacing w:after="0"/>
              <w:ind w:firstLine="0"/>
              <w:jc w:val="center"/>
              <w:rPr>
                <w:b/>
                <w:bCs/>
                <w:color w:val="000000"/>
                <w:sz w:val="18"/>
                <w:lang w:eastAsia="lv-LV"/>
              </w:rPr>
            </w:pPr>
            <w:r w:rsidRPr="005B71DF">
              <w:rPr>
                <w:b/>
                <w:bCs/>
                <w:snapToGrid w:val="0"/>
                <w:color w:val="000000"/>
                <w:sz w:val="18"/>
                <w:lang w:eastAsia="lv-LV"/>
              </w:rPr>
              <w:t>2018</w:t>
            </w:r>
          </w:p>
        </w:tc>
        <w:tc>
          <w:tcPr>
            <w:tcW w:w="1127" w:type="dxa"/>
            <w:shd w:val="clear" w:color="auto" w:fill="D9D9D9" w:themeFill="background1" w:themeFillShade="D9"/>
            <w:vAlign w:val="center"/>
            <w:hideMark/>
          </w:tcPr>
          <w:p w:rsidR="00D4366D" w:rsidRPr="005B71DF" w:rsidRDefault="00D4366D" w:rsidP="00421DF3">
            <w:pPr>
              <w:spacing w:after="0"/>
              <w:ind w:firstLine="0"/>
              <w:jc w:val="center"/>
              <w:rPr>
                <w:b/>
                <w:bCs/>
                <w:color w:val="000000"/>
                <w:sz w:val="18"/>
                <w:lang w:eastAsia="lv-LV"/>
              </w:rPr>
            </w:pPr>
            <w:r w:rsidRPr="005B71DF">
              <w:rPr>
                <w:b/>
                <w:bCs/>
                <w:snapToGrid w:val="0"/>
                <w:color w:val="000000"/>
                <w:sz w:val="18"/>
                <w:lang w:eastAsia="lv-LV"/>
              </w:rPr>
              <w:t>2019</w:t>
            </w:r>
          </w:p>
        </w:tc>
        <w:tc>
          <w:tcPr>
            <w:tcW w:w="1175" w:type="dxa"/>
            <w:shd w:val="clear" w:color="auto" w:fill="D9D9D9" w:themeFill="background1" w:themeFillShade="D9"/>
            <w:vAlign w:val="center"/>
            <w:hideMark/>
          </w:tcPr>
          <w:p w:rsidR="00D4366D" w:rsidRPr="005B71DF" w:rsidRDefault="00D4366D" w:rsidP="00421DF3">
            <w:pPr>
              <w:spacing w:after="0"/>
              <w:ind w:firstLine="0"/>
              <w:jc w:val="center"/>
              <w:rPr>
                <w:b/>
                <w:bCs/>
                <w:color w:val="000000"/>
                <w:sz w:val="18"/>
                <w:lang w:eastAsia="lv-LV"/>
              </w:rPr>
            </w:pPr>
            <w:r w:rsidRPr="005B71DF">
              <w:rPr>
                <w:b/>
                <w:bCs/>
                <w:snapToGrid w:val="0"/>
                <w:color w:val="000000"/>
                <w:sz w:val="18"/>
                <w:lang w:eastAsia="lv-LV"/>
              </w:rPr>
              <w:t>2020</w:t>
            </w:r>
          </w:p>
        </w:tc>
        <w:tc>
          <w:tcPr>
            <w:tcW w:w="1175" w:type="dxa"/>
            <w:shd w:val="clear" w:color="auto" w:fill="D9D9D9" w:themeFill="background1" w:themeFillShade="D9"/>
            <w:vAlign w:val="center"/>
            <w:hideMark/>
          </w:tcPr>
          <w:p w:rsidR="00D4366D" w:rsidRPr="005B71DF" w:rsidRDefault="00D4366D" w:rsidP="00421DF3">
            <w:pPr>
              <w:spacing w:after="0"/>
              <w:ind w:firstLine="0"/>
              <w:jc w:val="center"/>
              <w:rPr>
                <w:b/>
                <w:bCs/>
                <w:color w:val="000000"/>
                <w:sz w:val="18"/>
                <w:lang w:eastAsia="lv-LV"/>
              </w:rPr>
            </w:pPr>
            <w:r w:rsidRPr="005B71DF">
              <w:rPr>
                <w:b/>
                <w:bCs/>
                <w:color w:val="000000"/>
                <w:sz w:val="18"/>
                <w:lang w:eastAsia="lv-LV"/>
              </w:rPr>
              <w:t>2021</w:t>
            </w:r>
          </w:p>
        </w:tc>
      </w:tr>
      <w:tr w:rsidR="00D4366D" w:rsidRPr="005B71DF" w:rsidTr="005B71DF">
        <w:trPr>
          <w:trHeight w:val="259"/>
        </w:trPr>
        <w:tc>
          <w:tcPr>
            <w:tcW w:w="4394" w:type="dxa"/>
            <w:vMerge/>
            <w:shd w:val="clear" w:color="auto" w:fill="D9D9D9" w:themeFill="background1" w:themeFillShade="D9"/>
            <w:vAlign w:val="center"/>
            <w:hideMark/>
          </w:tcPr>
          <w:p w:rsidR="00D4366D" w:rsidRPr="005B71DF" w:rsidRDefault="00D4366D" w:rsidP="00421DF3">
            <w:pPr>
              <w:spacing w:after="0"/>
              <w:ind w:firstLine="0"/>
              <w:jc w:val="center"/>
              <w:rPr>
                <w:b/>
                <w:bCs/>
                <w:color w:val="000000"/>
                <w:sz w:val="18"/>
                <w:lang w:eastAsia="lv-LV"/>
              </w:rPr>
            </w:pPr>
          </w:p>
        </w:tc>
        <w:tc>
          <w:tcPr>
            <w:tcW w:w="2350" w:type="dxa"/>
            <w:gridSpan w:val="2"/>
            <w:shd w:val="clear" w:color="auto" w:fill="D9D9D9" w:themeFill="background1" w:themeFillShade="D9"/>
            <w:vAlign w:val="center"/>
          </w:tcPr>
          <w:p w:rsidR="00D4366D" w:rsidRPr="005B71DF" w:rsidRDefault="00D4366D" w:rsidP="00421DF3">
            <w:pPr>
              <w:spacing w:after="0"/>
              <w:ind w:firstLine="0"/>
              <w:jc w:val="center"/>
              <w:rPr>
                <w:color w:val="000000"/>
                <w:sz w:val="18"/>
                <w:lang w:eastAsia="lv-LV"/>
              </w:rPr>
            </w:pPr>
            <w:r w:rsidRPr="005B71DF">
              <w:rPr>
                <w:snapToGrid w:val="0"/>
                <w:color w:val="000000"/>
                <w:sz w:val="18"/>
                <w:lang w:eastAsia="lv-LV"/>
              </w:rPr>
              <w:t>fakts</w:t>
            </w:r>
          </w:p>
        </w:tc>
        <w:tc>
          <w:tcPr>
            <w:tcW w:w="1175" w:type="dxa"/>
            <w:shd w:val="clear" w:color="auto" w:fill="D9D9D9" w:themeFill="background1" w:themeFillShade="D9"/>
            <w:vAlign w:val="center"/>
          </w:tcPr>
          <w:p w:rsidR="00D4366D" w:rsidRPr="005B71DF" w:rsidRDefault="00D4366D" w:rsidP="00421DF3">
            <w:pPr>
              <w:spacing w:after="0"/>
              <w:ind w:firstLine="0"/>
              <w:jc w:val="center"/>
              <w:rPr>
                <w:color w:val="000000"/>
                <w:sz w:val="18"/>
                <w:lang w:eastAsia="lv-LV"/>
              </w:rPr>
            </w:pPr>
            <w:r w:rsidRPr="005B71DF">
              <w:rPr>
                <w:snapToGrid w:val="0"/>
                <w:color w:val="000000"/>
                <w:sz w:val="18"/>
                <w:lang w:eastAsia="lv-LV"/>
              </w:rPr>
              <w:t>prognoze</w:t>
            </w:r>
          </w:p>
        </w:tc>
        <w:tc>
          <w:tcPr>
            <w:tcW w:w="1175" w:type="dxa"/>
            <w:shd w:val="clear" w:color="auto" w:fill="D9D9D9" w:themeFill="background1" w:themeFillShade="D9"/>
            <w:vAlign w:val="center"/>
          </w:tcPr>
          <w:p w:rsidR="00D4366D" w:rsidRPr="005B71DF" w:rsidRDefault="00D4366D" w:rsidP="00421DF3">
            <w:pPr>
              <w:spacing w:after="0"/>
              <w:ind w:firstLine="0"/>
              <w:jc w:val="center"/>
              <w:rPr>
                <w:color w:val="000000"/>
                <w:sz w:val="18"/>
                <w:lang w:eastAsia="lv-LV"/>
              </w:rPr>
            </w:pPr>
            <w:r w:rsidRPr="005B71DF">
              <w:rPr>
                <w:color w:val="000000"/>
                <w:sz w:val="18"/>
                <w:lang w:eastAsia="lv-LV"/>
              </w:rPr>
              <w:t>plāns*</w:t>
            </w:r>
          </w:p>
        </w:tc>
      </w:tr>
      <w:tr w:rsidR="00D4366D" w:rsidRPr="005B71DF" w:rsidTr="005B71DF">
        <w:trPr>
          <w:trHeight w:val="259"/>
        </w:trPr>
        <w:tc>
          <w:tcPr>
            <w:tcW w:w="4394" w:type="dxa"/>
            <w:shd w:val="clear" w:color="auto" w:fill="auto"/>
            <w:vAlign w:val="center"/>
            <w:hideMark/>
          </w:tcPr>
          <w:p w:rsidR="00D4366D" w:rsidRPr="005B71DF" w:rsidRDefault="00D4366D" w:rsidP="00421DF3">
            <w:pPr>
              <w:spacing w:after="0"/>
              <w:ind w:firstLine="0"/>
              <w:rPr>
                <w:b/>
                <w:bCs/>
                <w:color w:val="000000"/>
                <w:sz w:val="18"/>
                <w:lang w:eastAsia="lv-LV"/>
              </w:rPr>
            </w:pPr>
            <w:r w:rsidRPr="005B71DF">
              <w:rPr>
                <w:b/>
                <w:bCs/>
                <w:snapToGrid w:val="0"/>
                <w:color w:val="000000"/>
                <w:sz w:val="18"/>
                <w:lang w:eastAsia="lv-LV"/>
              </w:rPr>
              <w:t>Sociālās apdrošināšanas iemaksas speciālajā budžetā</w:t>
            </w:r>
            <w:r w:rsidRPr="005B71DF">
              <w:rPr>
                <w:snapToGrid w:val="0"/>
                <w:color w:val="000000"/>
                <w:sz w:val="18"/>
                <w:lang w:eastAsia="lv-LV"/>
              </w:rPr>
              <w:t xml:space="preserve">, milj. </w:t>
            </w:r>
            <w:proofErr w:type="spellStart"/>
            <w:r w:rsidRPr="005B71DF">
              <w:rPr>
                <w:i/>
                <w:iCs/>
                <w:snapToGrid w:val="0"/>
                <w:color w:val="000000"/>
                <w:sz w:val="18"/>
                <w:lang w:eastAsia="lv-LV"/>
              </w:rPr>
              <w:t>euro</w:t>
            </w:r>
            <w:proofErr w:type="spellEnd"/>
          </w:p>
        </w:tc>
        <w:tc>
          <w:tcPr>
            <w:tcW w:w="1222" w:type="dxa"/>
            <w:shd w:val="clear" w:color="auto" w:fill="auto"/>
            <w:vAlign w:val="center"/>
          </w:tcPr>
          <w:p w:rsidR="00D4366D" w:rsidRPr="005B71DF" w:rsidRDefault="00D4366D" w:rsidP="00421DF3">
            <w:pPr>
              <w:spacing w:after="0"/>
              <w:ind w:firstLine="0"/>
              <w:jc w:val="center"/>
              <w:rPr>
                <w:b/>
                <w:bCs/>
                <w:color w:val="000000"/>
                <w:sz w:val="18"/>
                <w:lang w:eastAsia="lv-LV"/>
              </w:rPr>
            </w:pPr>
            <w:r w:rsidRPr="005B71DF">
              <w:rPr>
                <w:b/>
                <w:bCs/>
                <w:color w:val="000000"/>
                <w:sz w:val="18"/>
                <w:lang w:eastAsia="lv-LV"/>
              </w:rPr>
              <w:t>2 543,2</w:t>
            </w:r>
          </w:p>
        </w:tc>
        <w:tc>
          <w:tcPr>
            <w:tcW w:w="1127" w:type="dxa"/>
            <w:shd w:val="clear" w:color="auto" w:fill="auto"/>
            <w:vAlign w:val="center"/>
          </w:tcPr>
          <w:p w:rsidR="00D4366D" w:rsidRPr="005B71DF" w:rsidRDefault="00D4366D" w:rsidP="00421DF3">
            <w:pPr>
              <w:spacing w:after="0"/>
              <w:ind w:firstLine="0"/>
              <w:jc w:val="center"/>
              <w:rPr>
                <w:b/>
                <w:bCs/>
                <w:color w:val="000000"/>
                <w:sz w:val="18"/>
                <w:lang w:eastAsia="lv-LV"/>
              </w:rPr>
            </w:pPr>
            <w:r w:rsidRPr="005B71DF">
              <w:rPr>
                <w:b/>
                <w:bCs/>
                <w:color w:val="000000"/>
                <w:sz w:val="18"/>
                <w:lang w:eastAsia="lv-LV"/>
              </w:rPr>
              <w:t>2 795,0</w:t>
            </w:r>
          </w:p>
        </w:tc>
        <w:tc>
          <w:tcPr>
            <w:tcW w:w="1175" w:type="dxa"/>
            <w:shd w:val="clear" w:color="auto" w:fill="auto"/>
            <w:vAlign w:val="center"/>
          </w:tcPr>
          <w:p w:rsidR="00D4366D" w:rsidRPr="005B71DF" w:rsidRDefault="00D4366D" w:rsidP="00421DF3">
            <w:pPr>
              <w:spacing w:after="0"/>
              <w:ind w:firstLine="0"/>
              <w:jc w:val="center"/>
              <w:rPr>
                <w:b/>
                <w:bCs/>
                <w:color w:val="000000"/>
                <w:sz w:val="18"/>
                <w:lang w:eastAsia="lv-LV"/>
              </w:rPr>
            </w:pPr>
            <w:r w:rsidRPr="005B71DF">
              <w:rPr>
                <w:b/>
                <w:bCs/>
                <w:color w:val="000000"/>
                <w:sz w:val="18"/>
                <w:lang w:eastAsia="lv-LV"/>
              </w:rPr>
              <w:t>2 664,5</w:t>
            </w:r>
          </w:p>
        </w:tc>
        <w:tc>
          <w:tcPr>
            <w:tcW w:w="1175" w:type="dxa"/>
            <w:shd w:val="clear" w:color="auto" w:fill="auto"/>
            <w:vAlign w:val="center"/>
          </w:tcPr>
          <w:p w:rsidR="00D4366D" w:rsidRPr="005B71DF" w:rsidRDefault="00D4366D" w:rsidP="00421DF3">
            <w:pPr>
              <w:spacing w:after="0"/>
              <w:ind w:firstLine="0"/>
              <w:jc w:val="center"/>
              <w:rPr>
                <w:b/>
                <w:bCs/>
                <w:color w:val="000000"/>
                <w:sz w:val="18"/>
                <w:lang w:eastAsia="lv-LV"/>
              </w:rPr>
            </w:pPr>
            <w:r w:rsidRPr="005B71DF">
              <w:rPr>
                <w:b/>
                <w:bCs/>
                <w:color w:val="000000"/>
                <w:sz w:val="18"/>
                <w:lang w:eastAsia="lv-LV"/>
              </w:rPr>
              <w:t>2 840,4</w:t>
            </w:r>
          </w:p>
        </w:tc>
      </w:tr>
      <w:tr w:rsidR="00D4366D" w:rsidRPr="005B71DF" w:rsidTr="005B71DF">
        <w:trPr>
          <w:trHeight w:val="259"/>
        </w:trPr>
        <w:tc>
          <w:tcPr>
            <w:tcW w:w="4394" w:type="dxa"/>
            <w:shd w:val="clear" w:color="auto" w:fill="auto"/>
            <w:vAlign w:val="center"/>
            <w:hideMark/>
          </w:tcPr>
          <w:p w:rsidR="00D4366D" w:rsidRPr="005B71DF" w:rsidRDefault="00D4366D" w:rsidP="00421DF3">
            <w:pPr>
              <w:spacing w:after="0"/>
              <w:ind w:firstLine="0"/>
              <w:rPr>
                <w:i/>
                <w:iCs/>
                <w:color w:val="000000"/>
                <w:sz w:val="18"/>
                <w:lang w:eastAsia="lv-LV"/>
              </w:rPr>
            </w:pPr>
            <w:r w:rsidRPr="005B71DF">
              <w:rPr>
                <w:i/>
                <w:iCs/>
                <w:snapToGrid w:val="0"/>
                <w:color w:val="000000"/>
                <w:sz w:val="18"/>
                <w:lang w:eastAsia="lv-LV"/>
              </w:rPr>
              <w:t>pieauguma tempi, faktiskās cenās, %</w:t>
            </w:r>
          </w:p>
        </w:tc>
        <w:tc>
          <w:tcPr>
            <w:tcW w:w="1222" w:type="dxa"/>
            <w:shd w:val="clear" w:color="auto" w:fill="auto"/>
            <w:vAlign w:val="center"/>
          </w:tcPr>
          <w:p w:rsidR="00D4366D" w:rsidRPr="005B71DF" w:rsidRDefault="00D4366D" w:rsidP="00421DF3">
            <w:pPr>
              <w:spacing w:after="0"/>
              <w:ind w:firstLine="0"/>
              <w:jc w:val="center"/>
              <w:rPr>
                <w:i/>
                <w:iCs/>
                <w:color w:val="000000"/>
                <w:sz w:val="18"/>
                <w:lang w:eastAsia="lv-LV"/>
              </w:rPr>
            </w:pPr>
            <w:r w:rsidRPr="005B71DF">
              <w:rPr>
                <w:i/>
                <w:iCs/>
                <w:color w:val="000000"/>
                <w:sz w:val="18"/>
                <w:lang w:eastAsia="lv-LV"/>
              </w:rPr>
              <w:t>286,2</w:t>
            </w:r>
          </w:p>
        </w:tc>
        <w:tc>
          <w:tcPr>
            <w:tcW w:w="1127" w:type="dxa"/>
            <w:shd w:val="clear" w:color="auto" w:fill="auto"/>
            <w:vAlign w:val="center"/>
          </w:tcPr>
          <w:p w:rsidR="00D4366D" w:rsidRPr="005B71DF" w:rsidRDefault="00D4366D" w:rsidP="00421DF3">
            <w:pPr>
              <w:spacing w:after="0"/>
              <w:ind w:firstLine="0"/>
              <w:jc w:val="center"/>
              <w:rPr>
                <w:i/>
                <w:iCs/>
                <w:color w:val="000000"/>
                <w:sz w:val="18"/>
                <w:lang w:eastAsia="lv-LV"/>
              </w:rPr>
            </w:pPr>
            <w:r w:rsidRPr="005B71DF">
              <w:rPr>
                <w:i/>
                <w:iCs/>
                <w:color w:val="000000"/>
                <w:sz w:val="18"/>
                <w:lang w:eastAsia="lv-LV"/>
              </w:rPr>
              <w:t>251,8</w:t>
            </w:r>
          </w:p>
        </w:tc>
        <w:tc>
          <w:tcPr>
            <w:tcW w:w="1175" w:type="dxa"/>
            <w:shd w:val="clear" w:color="auto" w:fill="auto"/>
            <w:vAlign w:val="center"/>
          </w:tcPr>
          <w:p w:rsidR="00D4366D" w:rsidRPr="005B71DF" w:rsidRDefault="00D4366D" w:rsidP="00421DF3">
            <w:pPr>
              <w:spacing w:after="0"/>
              <w:ind w:firstLine="0"/>
              <w:jc w:val="center"/>
              <w:rPr>
                <w:i/>
                <w:iCs/>
                <w:color w:val="000000"/>
                <w:sz w:val="18"/>
                <w:lang w:eastAsia="lv-LV"/>
              </w:rPr>
            </w:pPr>
            <w:r w:rsidRPr="005B71DF">
              <w:rPr>
                <w:i/>
                <w:iCs/>
                <w:color w:val="000000"/>
                <w:sz w:val="18"/>
                <w:lang w:eastAsia="lv-LV"/>
              </w:rPr>
              <w:t>-130,5</w:t>
            </w:r>
          </w:p>
        </w:tc>
        <w:tc>
          <w:tcPr>
            <w:tcW w:w="1175" w:type="dxa"/>
            <w:shd w:val="clear" w:color="auto" w:fill="auto"/>
            <w:vAlign w:val="center"/>
          </w:tcPr>
          <w:p w:rsidR="00D4366D" w:rsidRPr="005B71DF" w:rsidRDefault="00D4366D" w:rsidP="00421DF3">
            <w:pPr>
              <w:spacing w:after="0"/>
              <w:ind w:firstLine="0"/>
              <w:jc w:val="center"/>
              <w:rPr>
                <w:i/>
                <w:iCs/>
                <w:color w:val="000000"/>
                <w:sz w:val="18"/>
                <w:lang w:eastAsia="lv-LV"/>
              </w:rPr>
            </w:pPr>
            <w:r w:rsidRPr="005B71DF">
              <w:rPr>
                <w:i/>
                <w:iCs/>
                <w:color w:val="000000"/>
                <w:sz w:val="18"/>
                <w:lang w:eastAsia="lv-LV"/>
              </w:rPr>
              <w:t>175,9</w:t>
            </w:r>
          </w:p>
        </w:tc>
      </w:tr>
      <w:tr w:rsidR="00D4366D" w:rsidRPr="005B71DF" w:rsidTr="005B71DF">
        <w:trPr>
          <w:trHeight w:val="259"/>
        </w:trPr>
        <w:tc>
          <w:tcPr>
            <w:tcW w:w="4394" w:type="dxa"/>
            <w:shd w:val="clear" w:color="auto" w:fill="auto"/>
            <w:vAlign w:val="center"/>
            <w:hideMark/>
          </w:tcPr>
          <w:p w:rsidR="00D4366D" w:rsidRPr="005B71DF" w:rsidRDefault="00D4366D" w:rsidP="00421DF3">
            <w:pPr>
              <w:spacing w:after="0"/>
              <w:ind w:firstLine="0"/>
              <w:rPr>
                <w:i/>
                <w:iCs/>
                <w:color w:val="000000"/>
                <w:sz w:val="18"/>
                <w:lang w:eastAsia="lv-LV"/>
              </w:rPr>
            </w:pPr>
            <w:r w:rsidRPr="005B71DF">
              <w:rPr>
                <w:i/>
                <w:color w:val="000000" w:themeColor="text1"/>
                <w:sz w:val="18"/>
              </w:rPr>
              <w:t>% no IKP</w:t>
            </w:r>
          </w:p>
        </w:tc>
        <w:tc>
          <w:tcPr>
            <w:tcW w:w="1222" w:type="dxa"/>
            <w:shd w:val="clear" w:color="auto" w:fill="auto"/>
            <w:vAlign w:val="center"/>
          </w:tcPr>
          <w:p w:rsidR="00D4366D" w:rsidRPr="005B71DF" w:rsidRDefault="00D4366D" w:rsidP="00421DF3">
            <w:pPr>
              <w:spacing w:after="0"/>
              <w:ind w:firstLine="0"/>
              <w:jc w:val="center"/>
              <w:rPr>
                <w:i/>
                <w:iCs/>
                <w:color w:val="000000"/>
                <w:sz w:val="18"/>
                <w:lang w:eastAsia="lv-LV"/>
              </w:rPr>
            </w:pPr>
            <w:r w:rsidRPr="005B71DF">
              <w:rPr>
                <w:i/>
                <w:iCs/>
                <w:color w:val="000000"/>
                <w:sz w:val="18"/>
                <w:lang w:eastAsia="lv-LV"/>
              </w:rPr>
              <w:t>12,7%</w:t>
            </w:r>
          </w:p>
        </w:tc>
        <w:tc>
          <w:tcPr>
            <w:tcW w:w="1127" w:type="dxa"/>
            <w:shd w:val="clear" w:color="auto" w:fill="auto"/>
            <w:vAlign w:val="center"/>
          </w:tcPr>
          <w:p w:rsidR="00D4366D" w:rsidRPr="005B71DF" w:rsidRDefault="00D4366D" w:rsidP="00421DF3">
            <w:pPr>
              <w:spacing w:after="0"/>
              <w:ind w:firstLine="0"/>
              <w:jc w:val="center"/>
              <w:rPr>
                <w:i/>
                <w:iCs/>
                <w:color w:val="000000"/>
                <w:sz w:val="18"/>
                <w:lang w:eastAsia="lv-LV"/>
              </w:rPr>
            </w:pPr>
            <w:r w:rsidRPr="005B71DF">
              <w:rPr>
                <w:i/>
                <w:iCs/>
                <w:color w:val="000000"/>
                <w:sz w:val="18"/>
                <w:lang w:eastAsia="lv-LV"/>
              </w:rPr>
              <w:t>9,9%</w:t>
            </w:r>
          </w:p>
        </w:tc>
        <w:tc>
          <w:tcPr>
            <w:tcW w:w="1175" w:type="dxa"/>
            <w:shd w:val="clear" w:color="auto" w:fill="auto"/>
            <w:vAlign w:val="center"/>
          </w:tcPr>
          <w:p w:rsidR="00D4366D" w:rsidRPr="005B71DF" w:rsidRDefault="00D4366D" w:rsidP="00421DF3">
            <w:pPr>
              <w:spacing w:after="0"/>
              <w:ind w:firstLine="0"/>
              <w:jc w:val="center"/>
              <w:rPr>
                <w:i/>
                <w:iCs/>
                <w:color w:val="000000"/>
                <w:sz w:val="18"/>
                <w:lang w:eastAsia="lv-LV"/>
              </w:rPr>
            </w:pPr>
            <w:r w:rsidRPr="005B71DF">
              <w:rPr>
                <w:i/>
                <w:iCs/>
                <w:color w:val="000000"/>
                <w:sz w:val="18"/>
                <w:lang w:eastAsia="lv-LV"/>
              </w:rPr>
              <w:t>-4,7%</w:t>
            </w:r>
          </w:p>
        </w:tc>
        <w:tc>
          <w:tcPr>
            <w:tcW w:w="1175" w:type="dxa"/>
            <w:shd w:val="clear" w:color="auto" w:fill="auto"/>
            <w:vAlign w:val="center"/>
          </w:tcPr>
          <w:p w:rsidR="00D4366D" w:rsidRPr="005B71DF" w:rsidRDefault="00D4366D" w:rsidP="00421DF3">
            <w:pPr>
              <w:spacing w:after="0"/>
              <w:ind w:firstLine="0"/>
              <w:jc w:val="center"/>
              <w:rPr>
                <w:i/>
                <w:iCs/>
                <w:color w:val="000000"/>
                <w:sz w:val="18"/>
                <w:lang w:eastAsia="lv-LV"/>
              </w:rPr>
            </w:pPr>
            <w:r w:rsidRPr="005B71DF">
              <w:rPr>
                <w:i/>
                <w:iCs/>
                <w:color w:val="000000"/>
                <w:sz w:val="18"/>
                <w:lang w:eastAsia="lv-LV"/>
              </w:rPr>
              <w:t>6,6%</w:t>
            </w:r>
          </w:p>
        </w:tc>
      </w:tr>
    </w:tbl>
    <w:p w:rsidR="00D4366D" w:rsidRPr="005B71DF" w:rsidRDefault="005B71DF" w:rsidP="00D4366D">
      <w:pPr>
        <w:spacing w:before="40" w:after="0"/>
        <w:ind w:firstLine="0"/>
        <w:jc w:val="left"/>
        <w:rPr>
          <w:sz w:val="20"/>
          <w:szCs w:val="18"/>
          <w:highlight w:val="yellow"/>
        </w:rPr>
      </w:pPr>
      <w:r>
        <w:rPr>
          <w:sz w:val="20"/>
          <w:szCs w:val="18"/>
        </w:rPr>
        <w:t>*saskaņā ar likumprojektu “</w:t>
      </w:r>
      <w:r w:rsidR="00D4366D" w:rsidRPr="005B71DF">
        <w:rPr>
          <w:sz w:val="20"/>
          <w:szCs w:val="18"/>
        </w:rPr>
        <w:t>Par valsts budžetu 2021.gadam”</w:t>
      </w:r>
    </w:p>
    <w:p w:rsidR="00D4366D" w:rsidRPr="00324699" w:rsidRDefault="00D4366D" w:rsidP="005B71DF">
      <w:pPr>
        <w:spacing w:before="120"/>
        <w:rPr>
          <w:highlight w:val="yellow"/>
        </w:rPr>
      </w:pPr>
      <w:r w:rsidRPr="00AB06A4">
        <w:lastRenderedPageBreak/>
        <w:t>Valsts sociālās apdrošināšanas iemaksas pamatbudžetā veselības finansēšanai 2021.</w:t>
      </w:r>
      <w:r w:rsidR="005B71DF">
        <w:t> </w:t>
      </w:r>
      <w:r w:rsidRPr="00AB06A4">
        <w:t>gadā tiek plānotas 97,7 milj. </w:t>
      </w:r>
      <w:proofErr w:type="spellStart"/>
      <w:r w:rsidRPr="00AB06A4">
        <w:rPr>
          <w:i/>
        </w:rPr>
        <w:t>euro</w:t>
      </w:r>
      <w:proofErr w:type="spellEnd"/>
      <w:r w:rsidRPr="00AB06A4">
        <w:rPr>
          <w:i/>
        </w:rPr>
        <w:t xml:space="preserve"> </w:t>
      </w:r>
      <w:r w:rsidRPr="00AB06A4">
        <w:t>apmērā, kas salīdzinājumā ar 2020.</w:t>
      </w:r>
      <w:r w:rsidR="005B71DF">
        <w:t xml:space="preserve"> </w:t>
      </w:r>
      <w:r w:rsidRPr="00AB06A4">
        <w:t>gada prognozi ir par 5,8 milj. </w:t>
      </w:r>
      <w:proofErr w:type="spellStart"/>
      <w:r w:rsidRPr="00AB06A4">
        <w:rPr>
          <w:i/>
        </w:rPr>
        <w:t>euro</w:t>
      </w:r>
      <w:proofErr w:type="spellEnd"/>
      <w:r w:rsidRPr="00AB06A4">
        <w:t xml:space="preserve"> jeb 6,3% vairāk.</w:t>
      </w:r>
    </w:p>
    <w:p w:rsidR="00D4366D" w:rsidRPr="001E0F44" w:rsidRDefault="00D4366D" w:rsidP="005B71DF">
      <w:pPr>
        <w:spacing w:before="240"/>
        <w:ind w:firstLine="0"/>
        <w:jc w:val="center"/>
        <w:outlineLvl w:val="3"/>
        <w:rPr>
          <w:b/>
          <w:sz w:val="28"/>
        </w:rPr>
      </w:pPr>
      <w:r w:rsidRPr="001E0F44">
        <w:rPr>
          <w:b/>
          <w:sz w:val="28"/>
        </w:rPr>
        <w:t>Uzņēmumu ienākuma nodoklis</w:t>
      </w:r>
    </w:p>
    <w:p w:rsidR="00D4366D" w:rsidRPr="006F1864" w:rsidRDefault="00D4366D" w:rsidP="005B71DF">
      <w:pPr>
        <w:spacing w:before="120"/>
        <w:rPr>
          <w:szCs w:val="24"/>
        </w:rPr>
      </w:pPr>
      <w:r w:rsidRPr="001E0F44">
        <w:rPr>
          <w:szCs w:val="24"/>
        </w:rPr>
        <w:t>Uzņēmumu ienākuma nodokļa</w:t>
      </w:r>
      <w:r w:rsidRPr="006F1864">
        <w:rPr>
          <w:szCs w:val="24"/>
        </w:rPr>
        <w:t xml:space="preserve"> </w:t>
      </w:r>
      <w:r w:rsidR="005B71DF">
        <w:rPr>
          <w:szCs w:val="24"/>
        </w:rPr>
        <w:t xml:space="preserve">(turpmāk – UIN) </w:t>
      </w:r>
      <w:r w:rsidRPr="006F1864">
        <w:rPr>
          <w:szCs w:val="24"/>
        </w:rPr>
        <w:t>ieņēmumi 2020.</w:t>
      </w:r>
      <w:r w:rsidR="005B71DF">
        <w:rPr>
          <w:szCs w:val="24"/>
        </w:rPr>
        <w:t xml:space="preserve"> </w:t>
      </w:r>
      <w:r w:rsidRPr="006F1864">
        <w:rPr>
          <w:szCs w:val="24"/>
        </w:rPr>
        <w:t>gada 1.</w:t>
      </w:r>
      <w:r w:rsidR="005B71DF">
        <w:rPr>
          <w:szCs w:val="24"/>
        </w:rPr>
        <w:t xml:space="preserve"> </w:t>
      </w:r>
      <w:r w:rsidRPr="006F1864">
        <w:rPr>
          <w:szCs w:val="24"/>
        </w:rPr>
        <w:t>pusgadā bija 110,3 milj. </w:t>
      </w:r>
      <w:proofErr w:type="spellStart"/>
      <w:r w:rsidRPr="006F1864">
        <w:rPr>
          <w:i/>
          <w:szCs w:val="24"/>
        </w:rPr>
        <w:t>euro</w:t>
      </w:r>
      <w:proofErr w:type="spellEnd"/>
      <w:r w:rsidRPr="006F1864">
        <w:rPr>
          <w:szCs w:val="24"/>
        </w:rPr>
        <w:t>, kas salīdzinājumā ar 2019</w:t>
      </w:r>
      <w:r>
        <w:rPr>
          <w:szCs w:val="24"/>
        </w:rPr>
        <w:t>.</w:t>
      </w:r>
      <w:r w:rsidR="005B71DF">
        <w:rPr>
          <w:szCs w:val="24"/>
        </w:rPr>
        <w:t xml:space="preserve"> </w:t>
      </w:r>
      <w:r>
        <w:rPr>
          <w:szCs w:val="24"/>
        </w:rPr>
        <w:t>gada attiecīgo periodu</w:t>
      </w:r>
      <w:r w:rsidRPr="006F1864">
        <w:rPr>
          <w:szCs w:val="24"/>
        </w:rPr>
        <w:t xml:space="preserve"> ir palielinājušies par 101,0 milj. </w:t>
      </w:r>
      <w:proofErr w:type="spellStart"/>
      <w:r w:rsidRPr="006F1864">
        <w:rPr>
          <w:i/>
          <w:szCs w:val="24"/>
        </w:rPr>
        <w:t>euro</w:t>
      </w:r>
      <w:proofErr w:type="spellEnd"/>
      <w:r w:rsidRPr="006F1864">
        <w:rPr>
          <w:szCs w:val="24"/>
        </w:rPr>
        <w:t xml:space="preserve"> jeb vairāk kā desmitkārtīgi. Ieņēmumu palielinājums </w:t>
      </w:r>
      <w:r w:rsidRPr="006F1864">
        <w:rPr>
          <w:bCs/>
          <w:szCs w:val="24"/>
        </w:rPr>
        <w:t>skaidrojams ar būtisku nodokļa atmaksu samazinājumu, kuras bija izveidojušās 2018.</w:t>
      </w:r>
      <w:r w:rsidR="005B71DF">
        <w:rPr>
          <w:bCs/>
          <w:szCs w:val="24"/>
        </w:rPr>
        <w:t xml:space="preserve"> </w:t>
      </w:r>
      <w:r w:rsidRPr="006F1864">
        <w:rPr>
          <w:bCs/>
          <w:szCs w:val="24"/>
        </w:rPr>
        <w:t>gada pirmajā pusgadā</w:t>
      </w:r>
      <w:r>
        <w:rPr>
          <w:bCs/>
          <w:szCs w:val="24"/>
        </w:rPr>
        <w:t>,</w:t>
      </w:r>
      <w:r w:rsidRPr="006F1864">
        <w:rPr>
          <w:bCs/>
          <w:szCs w:val="24"/>
        </w:rPr>
        <w:t xml:space="preserve"> uzņēmumiem turpinot veikt nodokļa avansa maksājumus</w:t>
      </w:r>
      <w:r w:rsidRPr="006F1864">
        <w:rPr>
          <w:szCs w:val="24"/>
        </w:rPr>
        <w:t xml:space="preserve">. Vienlaikus pieaug arī nodokļa ieņēmumi no dividenžu izmaksas. Savukārt ieņēmumi no </w:t>
      </w:r>
      <w:r w:rsidRPr="006F1864">
        <w:rPr>
          <w:bCs/>
          <w:szCs w:val="24"/>
        </w:rPr>
        <w:t xml:space="preserve">pusgada plāna atpaliek par </w:t>
      </w:r>
      <w:r w:rsidRPr="006F1864">
        <w:rPr>
          <w:szCs w:val="24"/>
        </w:rPr>
        <w:t>42,7 milj. </w:t>
      </w:r>
      <w:proofErr w:type="spellStart"/>
      <w:r w:rsidRPr="006F1864">
        <w:rPr>
          <w:i/>
          <w:szCs w:val="24"/>
        </w:rPr>
        <w:t>euro</w:t>
      </w:r>
      <w:proofErr w:type="spellEnd"/>
      <w:r w:rsidRPr="006F1864">
        <w:rPr>
          <w:bCs/>
          <w:szCs w:val="24"/>
        </w:rPr>
        <w:t xml:space="preserve"> jeb 27,9</w:t>
      </w:r>
      <w:r>
        <w:rPr>
          <w:noProof/>
          <w:szCs w:val="24"/>
        </w:rPr>
        <w:t>%</w:t>
      </w:r>
      <w:r w:rsidRPr="006F1864">
        <w:rPr>
          <w:bCs/>
          <w:szCs w:val="24"/>
        </w:rPr>
        <w:t>, kā iemeslu minot joprojām augsto iepriekšējo gadu peļņas apmēru (par kuras sadali nodoklis netiek piemērots</w:t>
      </w:r>
      <w:r>
        <w:rPr>
          <w:bCs/>
          <w:szCs w:val="24"/>
        </w:rPr>
        <w:t>)</w:t>
      </w:r>
      <w:r w:rsidRPr="006F1864">
        <w:rPr>
          <w:szCs w:val="24"/>
        </w:rPr>
        <w:t xml:space="preserve">. </w:t>
      </w:r>
      <w:r w:rsidRPr="009A0ABC">
        <w:t xml:space="preserve">Ņemot vērā </w:t>
      </w:r>
      <w:r>
        <w:t>pirmā pusgada izpildi un makroekonomisko rādītāju izmaiņas</w:t>
      </w:r>
      <w:r w:rsidRPr="009A0ABC">
        <w:t>, 2020.</w:t>
      </w:r>
      <w:r w:rsidR="005B71DF">
        <w:t xml:space="preserve"> </w:t>
      </w:r>
      <w:r w:rsidRPr="009A0ABC">
        <w:t xml:space="preserve">gada </w:t>
      </w:r>
      <w:r w:rsidR="005B71DF">
        <w:t>UIN</w:t>
      </w:r>
      <w:r w:rsidRPr="009A0ABC">
        <w:t xml:space="preserve"> prognoze tika samazināta par </w:t>
      </w:r>
      <w:r>
        <w:t>61,0</w:t>
      </w:r>
      <w:r w:rsidRPr="009A0ABC">
        <w:t> milj. </w:t>
      </w:r>
      <w:proofErr w:type="spellStart"/>
      <w:r w:rsidRPr="009A0ABC">
        <w:rPr>
          <w:i/>
        </w:rPr>
        <w:t>euro</w:t>
      </w:r>
      <w:proofErr w:type="spellEnd"/>
      <w:r w:rsidRPr="009A0ABC">
        <w:t xml:space="preserve"> jeb par </w:t>
      </w:r>
      <w:r>
        <w:t>23,4</w:t>
      </w:r>
      <w:r w:rsidRPr="009A0ABC">
        <w:t>%, salīdzinot ar plānu.</w:t>
      </w:r>
    </w:p>
    <w:p w:rsidR="00D4366D" w:rsidRPr="006F1864" w:rsidRDefault="00D4366D" w:rsidP="005B71DF">
      <w:pPr>
        <w:spacing w:before="120"/>
        <w:rPr>
          <w:szCs w:val="24"/>
        </w:rPr>
      </w:pPr>
      <w:r w:rsidRPr="006F1864">
        <w:rPr>
          <w:szCs w:val="24"/>
        </w:rPr>
        <w:t>Kopš 2018.</w:t>
      </w:r>
      <w:r w:rsidR="005B71DF">
        <w:rPr>
          <w:szCs w:val="24"/>
        </w:rPr>
        <w:t xml:space="preserve"> </w:t>
      </w:r>
      <w:r w:rsidRPr="006F1864">
        <w:rPr>
          <w:szCs w:val="24"/>
        </w:rPr>
        <w:t xml:space="preserve">gada </w:t>
      </w:r>
      <w:r w:rsidR="005B71DF">
        <w:rPr>
          <w:szCs w:val="24"/>
        </w:rPr>
        <w:t>UIN</w:t>
      </w:r>
      <w:r w:rsidRPr="006F1864">
        <w:rPr>
          <w:szCs w:val="24"/>
        </w:rPr>
        <w:t xml:space="preserve"> p</w:t>
      </w:r>
      <w:r>
        <w:rPr>
          <w:szCs w:val="24"/>
        </w:rPr>
        <w:t xml:space="preserve">iedzīvoja būtiskas pārmaiņas </w:t>
      </w:r>
      <w:r w:rsidR="005B71DF">
        <w:rPr>
          <w:szCs w:val="24"/>
        </w:rPr>
        <w:t>–</w:t>
      </w:r>
      <w:r w:rsidRPr="006F1864">
        <w:rPr>
          <w:szCs w:val="24"/>
        </w:rPr>
        <w:t xml:space="preserve"> nodoklis tiek maksāts peļņas sadales un tai pielīdzināmos gadījumos.</w:t>
      </w:r>
    </w:p>
    <w:p w:rsidR="00D4366D" w:rsidRPr="006F1864" w:rsidRDefault="00D4366D" w:rsidP="005B71DF">
      <w:pPr>
        <w:pStyle w:val="Default"/>
        <w:spacing w:before="120" w:after="120"/>
        <w:ind w:firstLine="709"/>
        <w:jc w:val="both"/>
      </w:pPr>
      <w:r w:rsidRPr="006F1864">
        <w:t>Sākot ar 2018.</w:t>
      </w:r>
      <w:r w:rsidR="005B71DF">
        <w:t xml:space="preserve"> </w:t>
      </w:r>
      <w:r w:rsidRPr="006F1864">
        <w:t xml:space="preserve">gada jūliju, ir būtiski mainījusies deklarācijas iesniegšanas kārtība – tā ir jāiesniedz par katru mēnesi, ja tajā ir izveidojušies ar nodokli apliekami ienākumi. </w:t>
      </w:r>
      <w:r>
        <w:rPr>
          <w:bCs/>
        </w:rPr>
        <w:t>2020.</w:t>
      </w:r>
      <w:r w:rsidR="005B71DF">
        <w:rPr>
          <w:bCs/>
        </w:rPr>
        <w:t xml:space="preserve"> </w:t>
      </w:r>
      <w:r>
        <w:rPr>
          <w:bCs/>
        </w:rPr>
        <w:t>gada</w:t>
      </w:r>
      <w:r w:rsidRPr="006F1864">
        <w:rPr>
          <w:bCs/>
        </w:rPr>
        <w:t xml:space="preserve"> pirmajā pusgadā </w:t>
      </w:r>
      <w:r w:rsidRPr="006F1864">
        <w:t>visvairāk deklarētas dividendes vai dividendēm pielīdzinātas izmaksas 77</w:t>
      </w:r>
      <w:r>
        <w:t>8</w:t>
      </w:r>
      <w:r w:rsidRPr="006F1864">
        <w:t>,7</w:t>
      </w:r>
      <w:r>
        <w:t> </w:t>
      </w:r>
      <w:r w:rsidRPr="006F1864">
        <w:t>milj. </w:t>
      </w:r>
      <w:proofErr w:type="spellStart"/>
      <w:r w:rsidRPr="006F1864">
        <w:rPr>
          <w:bCs/>
          <w:i/>
        </w:rPr>
        <w:t>euro</w:t>
      </w:r>
      <w:proofErr w:type="spellEnd"/>
      <w:r w:rsidRPr="006F1864">
        <w:t>, bet nosacīti sadalītā peļņa 40,</w:t>
      </w:r>
      <w:r>
        <w:t>7 </w:t>
      </w:r>
      <w:r w:rsidRPr="006F1864">
        <w:t>milj. </w:t>
      </w:r>
      <w:proofErr w:type="spellStart"/>
      <w:r w:rsidRPr="006F1864">
        <w:rPr>
          <w:bCs/>
          <w:i/>
        </w:rPr>
        <w:t>euro</w:t>
      </w:r>
      <w:proofErr w:type="spellEnd"/>
      <w:r w:rsidRPr="006F1864">
        <w:rPr>
          <w:bCs/>
          <w:i/>
        </w:rPr>
        <w:t xml:space="preserve"> </w:t>
      </w:r>
      <w:r w:rsidRPr="006F1864">
        <w:rPr>
          <w:bCs/>
        </w:rPr>
        <w:t>apmērā</w:t>
      </w:r>
      <w:r w:rsidRPr="006F1864">
        <w:t>. Jāpiebilst, ka, salīdzinot ar 2019.</w:t>
      </w:r>
      <w:r w:rsidR="005B71DF">
        <w:t xml:space="preserve"> </w:t>
      </w:r>
      <w:r w:rsidRPr="006F1864">
        <w:t xml:space="preserve">gada </w:t>
      </w:r>
      <w:r w:rsidRPr="006F1864">
        <w:rPr>
          <w:bCs/>
        </w:rPr>
        <w:t>pirmo pusgadu</w:t>
      </w:r>
      <w:r w:rsidRPr="006F1864">
        <w:t>, dividenžu izmaksas pieaugušas 58,</w:t>
      </w:r>
      <w:r>
        <w:t>8</w:t>
      </w:r>
      <w:r>
        <w:rPr>
          <w:noProof/>
        </w:rPr>
        <w:t>%</w:t>
      </w:r>
      <w:r w:rsidRPr="006F1864">
        <w:t xml:space="preserve">, bet nosacīti sadalītā peļņa ir samazinājusies par </w:t>
      </w:r>
      <w:r>
        <w:t>4,0</w:t>
      </w:r>
      <w:r>
        <w:rPr>
          <w:noProof/>
        </w:rPr>
        <w:t> </w:t>
      </w:r>
      <w:r w:rsidRPr="006F1864">
        <w:rPr>
          <w:noProof/>
        </w:rPr>
        <w:t>procentiem</w:t>
      </w:r>
      <w:r w:rsidRPr="006F1864">
        <w:t>.</w:t>
      </w:r>
    </w:p>
    <w:p w:rsidR="00D4366D" w:rsidRPr="006F1864" w:rsidRDefault="00D4366D" w:rsidP="00D4366D">
      <w:pPr>
        <w:spacing w:before="120"/>
        <w:rPr>
          <w:noProof/>
          <w:szCs w:val="24"/>
          <w:lang w:eastAsia="lv-LV"/>
        </w:rPr>
      </w:pPr>
      <w:r w:rsidRPr="006F1864">
        <w:rPr>
          <w:bCs/>
        </w:rPr>
        <w:t>UIN iemaksas, salīdzinot ar pērnā gada 6 mēnešiem pieaugušas par 38,2</w:t>
      </w:r>
      <w:r>
        <w:rPr>
          <w:bCs/>
        </w:rPr>
        <w:t> </w:t>
      </w:r>
      <w:r w:rsidRPr="006F1864">
        <w:rPr>
          <w:bCs/>
        </w:rPr>
        <w:t>milj.</w:t>
      </w:r>
      <w:r>
        <w:rPr>
          <w:bCs/>
        </w:rPr>
        <w:t> </w:t>
      </w:r>
      <w:proofErr w:type="spellStart"/>
      <w:r w:rsidRPr="006F1864">
        <w:rPr>
          <w:bCs/>
          <w:i/>
        </w:rPr>
        <w:t>euro</w:t>
      </w:r>
      <w:proofErr w:type="spellEnd"/>
      <w:r w:rsidRPr="006F1864">
        <w:rPr>
          <w:bCs/>
          <w:i/>
        </w:rPr>
        <w:t xml:space="preserve"> </w:t>
      </w:r>
      <w:r w:rsidRPr="006F1864">
        <w:rPr>
          <w:bCs/>
        </w:rPr>
        <w:t>jeb 38,5</w:t>
      </w:r>
      <w:r>
        <w:rPr>
          <w:noProof/>
          <w:szCs w:val="24"/>
        </w:rPr>
        <w:t>%</w:t>
      </w:r>
      <w:r w:rsidRPr="006F1864">
        <w:rPr>
          <w:bCs/>
        </w:rPr>
        <w:t>, bet atmaksas samazinājušās par 62,8</w:t>
      </w:r>
      <w:r>
        <w:rPr>
          <w:bCs/>
        </w:rPr>
        <w:t> </w:t>
      </w:r>
      <w:r w:rsidRPr="006F1864">
        <w:rPr>
          <w:bCs/>
        </w:rPr>
        <w:t>milj.</w:t>
      </w:r>
      <w:r>
        <w:rPr>
          <w:bCs/>
        </w:rPr>
        <w:t> </w:t>
      </w:r>
      <w:proofErr w:type="spellStart"/>
      <w:r w:rsidRPr="006F1864">
        <w:rPr>
          <w:bCs/>
          <w:i/>
        </w:rPr>
        <w:t>euro</w:t>
      </w:r>
      <w:proofErr w:type="spellEnd"/>
      <w:r w:rsidRPr="006F1864">
        <w:rPr>
          <w:bCs/>
        </w:rPr>
        <w:t xml:space="preserve"> jeb 70,0 </w:t>
      </w:r>
      <w:r w:rsidRPr="006F1864">
        <w:rPr>
          <w:noProof/>
          <w:szCs w:val="24"/>
        </w:rPr>
        <w:t>procentiem</w:t>
      </w:r>
      <w:r w:rsidRPr="006F1864">
        <w:rPr>
          <w:bCs/>
          <w:szCs w:val="24"/>
        </w:rPr>
        <w:t>.</w:t>
      </w:r>
      <w:r w:rsidRPr="006F1864">
        <w:rPr>
          <w:szCs w:val="24"/>
        </w:rPr>
        <w:t xml:space="preserve"> </w:t>
      </w:r>
    </w:p>
    <w:p w:rsidR="00D4366D" w:rsidRPr="006F1864" w:rsidRDefault="005B71DF" w:rsidP="00D4366D">
      <w:pPr>
        <w:spacing w:before="120" w:after="0"/>
        <w:rPr>
          <w:szCs w:val="24"/>
        </w:rPr>
      </w:pPr>
      <w:r>
        <w:rPr>
          <w:szCs w:val="24"/>
        </w:rPr>
        <w:t>UIN</w:t>
      </w:r>
      <w:r w:rsidR="00D4366D" w:rsidRPr="006F1864">
        <w:rPr>
          <w:szCs w:val="24"/>
        </w:rPr>
        <w:t xml:space="preserve"> pārmaksa 2020.</w:t>
      </w:r>
      <w:r>
        <w:rPr>
          <w:szCs w:val="24"/>
        </w:rPr>
        <w:t xml:space="preserve"> </w:t>
      </w:r>
      <w:r w:rsidR="00D4366D" w:rsidRPr="006F1864">
        <w:rPr>
          <w:szCs w:val="24"/>
        </w:rPr>
        <w:t>gada jūnija beigās bija 49,5</w:t>
      </w:r>
      <w:r w:rsidR="00D4366D">
        <w:rPr>
          <w:szCs w:val="24"/>
        </w:rPr>
        <w:t> </w:t>
      </w:r>
      <w:r w:rsidR="00D4366D" w:rsidRPr="006F1864">
        <w:rPr>
          <w:szCs w:val="24"/>
        </w:rPr>
        <w:t>milj.</w:t>
      </w:r>
      <w:r w:rsidR="00D4366D">
        <w:rPr>
          <w:szCs w:val="24"/>
        </w:rPr>
        <w:t> </w:t>
      </w:r>
      <w:proofErr w:type="spellStart"/>
      <w:r w:rsidR="00D4366D" w:rsidRPr="006F1864">
        <w:rPr>
          <w:bCs/>
          <w:i/>
          <w:szCs w:val="24"/>
        </w:rPr>
        <w:t>euro</w:t>
      </w:r>
      <w:proofErr w:type="spellEnd"/>
      <w:r w:rsidR="00D4366D" w:rsidRPr="006F1864">
        <w:rPr>
          <w:szCs w:val="24"/>
        </w:rPr>
        <w:t>. Salīdzinot ar 2019.</w:t>
      </w:r>
      <w:r>
        <w:rPr>
          <w:szCs w:val="24"/>
        </w:rPr>
        <w:t xml:space="preserve"> </w:t>
      </w:r>
      <w:r w:rsidR="00D4366D" w:rsidRPr="006F1864">
        <w:rPr>
          <w:szCs w:val="24"/>
        </w:rPr>
        <w:t>gada jūnija beigām, tā ir samazinājusies par 69,4</w:t>
      </w:r>
      <w:r w:rsidR="00D4366D">
        <w:rPr>
          <w:szCs w:val="24"/>
        </w:rPr>
        <w:t> </w:t>
      </w:r>
      <w:r w:rsidR="00D4366D" w:rsidRPr="006F1864">
        <w:rPr>
          <w:szCs w:val="24"/>
        </w:rPr>
        <w:t>milj.</w:t>
      </w:r>
      <w:r w:rsidR="00D4366D">
        <w:rPr>
          <w:szCs w:val="24"/>
        </w:rPr>
        <w:t> </w:t>
      </w:r>
      <w:proofErr w:type="spellStart"/>
      <w:r w:rsidR="00D4366D" w:rsidRPr="006F1864">
        <w:rPr>
          <w:bCs/>
          <w:i/>
          <w:szCs w:val="24"/>
        </w:rPr>
        <w:t>euro</w:t>
      </w:r>
      <w:proofErr w:type="spellEnd"/>
      <w:r w:rsidR="00D4366D" w:rsidRPr="006F1864">
        <w:rPr>
          <w:szCs w:val="24"/>
        </w:rPr>
        <w:t xml:space="preserve"> jeb 58,4 </w:t>
      </w:r>
      <w:r w:rsidR="00D4366D">
        <w:rPr>
          <w:noProof/>
          <w:szCs w:val="24"/>
        </w:rPr>
        <w:t>%</w:t>
      </w:r>
      <w:r w:rsidR="00D4366D" w:rsidRPr="006F1864">
        <w:rPr>
          <w:szCs w:val="24"/>
        </w:rPr>
        <w:t>, bet, salīdzinot ar 2019.</w:t>
      </w:r>
      <w:r>
        <w:rPr>
          <w:szCs w:val="24"/>
        </w:rPr>
        <w:t xml:space="preserve"> </w:t>
      </w:r>
      <w:r w:rsidR="00D4366D" w:rsidRPr="006F1864">
        <w:rPr>
          <w:szCs w:val="24"/>
        </w:rPr>
        <w:t>gada beigām, tā ir samazinājusies par 30,0</w:t>
      </w:r>
      <w:r w:rsidR="00D4366D">
        <w:rPr>
          <w:szCs w:val="24"/>
        </w:rPr>
        <w:t> </w:t>
      </w:r>
      <w:r w:rsidR="00D4366D" w:rsidRPr="006F1864">
        <w:rPr>
          <w:szCs w:val="24"/>
        </w:rPr>
        <w:t>milj.</w:t>
      </w:r>
      <w:r w:rsidR="00D4366D">
        <w:rPr>
          <w:szCs w:val="24"/>
        </w:rPr>
        <w:t> </w:t>
      </w:r>
      <w:proofErr w:type="spellStart"/>
      <w:r w:rsidR="00D4366D" w:rsidRPr="006F1864">
        <w:rPr>
          <w:bCs/>
          <w:i/>
          <w:szCs w:val="24"/>
        </w:rPr>
        <w:t>euro</w:t>
      </w:r>
      <w:proofErr w:type="spellEnd"/>
      <w:r w:rsidR="00D4366D" w:rsidRPr="006F1864">
        <w:rPr>
          <w:szCs w:val="24"/>
        </w:rPr>
        <w:t xml:space="preserve"> jeb 37,7</w:t>
      </w:r>
      <w:r w:rsidR="00D4366D">
        <w:rPr>
          <w:noProof/>
          <w:szCs w:val="24"/>
        </w:rPr>
        <w:t>%</w:t>
      </w:r>
      <w:r w:rsidR="00D4366D" w:rsidRPr="006F1864">
        <w:rPr>
          <w:i/>
          <w:szCs w:val="24"/>
        </w:rPr>
        <w:t xml:space="preserve">. </w:t>
      </w:r>
      <w:r w:rsidR="00D4366D" w:rsidRPr="006F1864">
        <w:rPr>
          <w:szCs w:val="24"/>
        </w:rPr>
        <w:t xml:space="preserve">Savukārt nozaru </w:t>
      </w:r>
      <w:r w:rsidR="00D4366D">
        <w:rPr>
          <w:szCs w:val="24"/>
        </w:rPr>
        <w:t>griezumā lielākā pārmaksa (12,7 </w:t>
      </w:r>
      <w:r w:rsidR="00D4366D" w:rsidRPr="006F1864">
        <w:rPr>
          <w:szCs w:val="24"/>
        </w:rPr>
        <w:t>milj.</w:t>
      </w:r>
      <w:r w:rsidR="00D4366D">
        <w:rPr>
          <w:szCs w:val="24"/>
        </w:rPr>
        <w:t> </w:t>
      </w:r>
      <w:proofErr w:type="spellStart"/>
      <w:r w:rsidR="00D4366D" w:rsidRPr="006F1864">
        <w:rPr>
          <w:bCs/>
          <w:i/>
          <w:szCs w:val="24"/>
        </w:rPr>
        <w:t>euro</w:t>
      </w:r>
      <w:proofErr w:type="spellEnd"/>
      <w:r w:rsidR="00D4366D" w:rsidRPr="006F1864">
        <w:rPr>
          <w:szCs w:val="24"/>
        </w:rPr>
        <w:t xml:space="preserve"> jeb 25,7</w:t>
      </w:r>
      <w:r w:rsidR="00D4366D">
        <w:rPr>
          <w:szCs w:val="24"/>
        </w:rPr>
        <w:t>%</w:t>
      </w:r>
      <w:r w:rsidR="00D4366D" w:rsidRPr="006F1864">
        <w:rPr>
          <w:szCs w:val="24"/>
        </w:rPr>
        <w:t xml:space="preserve"> no kopējās pārmaksu summas) ir finanšu un apdrošināšanas darbību nozares nodokļu maksātājiem, kam seko vairumtirdzniecības un mazumtirdzniecības; automobiļu un motociklu remonta nozares nodokļu maksātāji (23,2</w:t>
      </w:r>
      <w:r w:rsidR="00D4366D">
        <w:rPr>
          <w:noProof/>
          <w:szCs w:val="24"/>
        </w:rPr>
        <w:t>%</w:t>
      </w:r>
      <w:r w:rsidR="00D4366D" w:rsidRPr="006F1864">
        <w:rPr>
          <w:szCs w:val="24"/>
        </w:rPr>
        <w:t>) un apstrādes nozares nodokļu maksātāji (12,0</w:t>
      </w:r>
      <w:r w:rsidR="00D4366D">
        <w:rPr>
          <w:noProof/>
          <w:szCs w:val="24"/>
        </w:rPr>
        <w:t>%</w:t>
      </w:r>
      <w:r w:rsidR="00D4366D" w:rsidRPr="006F1864">
        <w:rPr>
          <w:szCs w:val="24"/>
        </w:rPr>
        <w:t>). Būtiskais pārmaksu kāpums bija vērojams 2018.</w:t>
      </w:r>
      <w:r>
        <w:rPr>
          <w:szCs w:val="24"/>
        </w:rPr>
        <w:t> </w:t>
      </w:r>
      <w:r w:rsidR="00D4366D" w:rsidRPr="006F1864">
        <w:rPr>
          <w:szCs w:val="24"/>
        </w:rPr>
        <w:t>gada</w:t>
      </w:r>
      <w:r w:rsidR="00D4366D">
        <w:rPr>
          <w:szCs w:val="24"/>
        </w:rPr>
        <w:t> </w:t>
      </w:r>
      <w:r w:rsidR="00D4366D" w:rsidRPr="006F1864">
        <w:rPr>
          <w:szCs w:val="24"/>
        </w:rPr>
        <w:t>2.</w:t>
      </w:r>
      <w:r>
        <w:rPr>
          <w:szCs w:val="24"/>
        </w:rPr>
        <w:t xml:space="preserve"> </w:t>
      </w:r>
      <w:r w:rsidR="00D4366D" w:rsidRPr="006F1864">
        <w:rPr>
          <w:szCs w:val="24"/>
        </w:rPr>
        <w:t xml:space="preserve">pusgadā un ir saistāms ar </w:t>
      </w:r>
      <w:r>
        <w:rPr>
          <w:szCs w:val="24"/>
        </w:rPr>
        <w:t>UIN</w:t>
      </w:r>
      <w:r w:rsidR="00D4366D" w:rsidRPr="006F1864">
        <w:rPr>
          <w:szCs w:val="24"/>
        </w:rPr>
        <w:t xml:space="preserve"> reformu – 2018.</w:t>
      </w:r>
      <w:r>
        <w:rPr>
          <w:szCs w:val="24"/>
        </w:rPr>
        <w:t xml:space="preserve"> </w:t>
      </w:r>
      <w:r w:rsidR="00D4366D" w:rsidRPr="006F1864">
        <w:rPr>
          <w:szCs w:val="24"/>
        </w:rPr>
        <w:t>gada</w:t>
      </w:r>
      <w:r w:rsidR="00D4366D">
        <w:rPr>
          <w:szCs w:val="24"/>
        </w:rPr>
        <w:t> </w:t>
      </w:r>
      <w:r w:rsidR="00D4366D" w:rsidRPr="006F1864">
        <w:rPr>
          <w:szCs w:val="24"/>
        </w:rPr>
        <w:t>1.</w:t>
      </w:r>
      <w:r>
        <w:rPr>
          <w:szCs w:val="24"/>
        </w:rPr>
        <w:t xml:space="preserve"> </w:t>
      </w:r>
      <w:r w:rsidR="00D4366D" w:rsidRPr="006F1864">
        <w:rPr>
          <w:szCs w:val="24"/>
        </w:rPr>
        <w:t>pusgadā vēl tika veikti nodokļa avansa maksājumi, savukārt līdz 2018.</w:t>
      </w:r>
      <w:r>
        <w:rPr>
          <w:szCs w:val="24"/>
        </w:rPr>
        <w:t xml:space="preserve"> </w:t>
      </w:r>
      <w:r w:rsidR="00D4366D" w:rsidRPr="006F1864">
        <w:rPr>
          <w:szCs w:val="24"/>
        </w:rPr>
        <w:t>gada 20.</w:t>
      </w:r>
      <w:r>
        <w:rPr>
          <w:szCs w:val="24"/>
        </w:rPr>
        <w:t xml:space="preserve"> </w:t>
      </w:r>
      <w:r w:rsidR="00D4366D" w:rsidRPr="006F1864">
        <w:rPr>
          <w:szCs w:val="24"/>
        </w:rPr>
        <w:t>jūlijam bija jāiesniedz deklarācijas par 2018.</w:t>
      </w:r>
      <w:r>
        <w:rPr>
          <w:szCs w:val="24"/>
        </w:rPr>
        <w:t xml:space="preserve"> </w:t>
      </w:r>
      <w:r w:rsidR="00D4366D" w:rsidRPr="006F1864">
        <w:rPr>
          <w:szCs w:val="24"/>
        </w:rPr>
        <w:t>gada 1.</w:t>
      </w:r>
      <w:r>
        <w:rPr>
          <w:szCs w:val="24"/>
        </w:rPr>
        <w:t xml:space="preserve"> </w:t>
      </w:r>
      <w:r w:rsidR="00D4366D" w:rsidRPr="006F1864">
        <w:rPr>
          <w:szCs w:val="24"/>
        </w:rPr>
        <w:t>pusgadu. Pēc tām tika aprēķināta nodokļa summa, kas izrādījās būtiski mazāka par veiktajiem avansa maksājumiem, veidojot ievērojamu nodokļ</w:t>
      </w:r>
      <w:r w:rsidR="00D4366D">
        <w:rPr>
          <w:szCs w:val="24"/>
        </w:rPr>
        <w:t>a pārmaksu.</w:t>
      </w:r>
    </w:p>
    <w:p w:rsidR="00D4366D" w:rsidRDefault="00D4366D" w:rsidP="005B71DF">
      <w:pPr>
        <w:spacing w:before="120"/>
      </w:pPr>
      <w:r w:rsidRPr="00FE3381">
        <w:t xml:space="preserve">Saskaņā ar </w:t>
      </w:r>
      <w:r w:rsidR="00FD36B6">
        <w:rPr>
          <w:color w:val="000000" w:themeColor="text1"/>
        </w:rPr>
        <w:t>likumprojektu “</w:t>
      </w:r>
      <w:r w:rsidRPr="00FE3381">
        <w:rPr>
          <w:color w:val="000000" w:themeColor="text1"/>
        </w:rPr>
        <w:t>Par valsts budžetu 2021.</w:t>
      </w:r>
      <w:r w:rsidR="00FD36B6">
        <w:rPr>
          <w:color w:val="000000" w:themeColor="text1"/>
        </w:rPr>
        <w:t xml:space="preserve"> </w:t>
      </w:r>
      <w:r w:rsidRPr="00FE3381">
        <w:rPr>
          <w:color w:val="000000" w:themeColor="text1"/>
        </w:rPr>
        <w:t xml:space="preserve">gadam” </w:t>
      </w:r>
      <w:r w:rsidR="00FD36B6">
        <w:t>UIN</w:t>
      </w:r>
      <w:r w:rsidRPr="00FE3381">
        <w:t xml:space="preserve"> ieņēmumi 2021.</w:t>
      </w:r>
      <w:r w:rsidR="00FD36B6">
        <w:t xml:space="preserve"> </w:t>
      </w:r>
      <w:r w:rsidRPr="00FE3381">
        <w:t>gadā tiek plānoti 263,2</w:t>
      </w:r>
      <w:r>
        <w:t> </w:t>
      </w:r>
      <w:r w:rsidRPr="00FE3381">
        <w:t>milj. </w:t>
      </w:r>
      <w:proofErr w:type="spellStart"/>
      <w:r w:rsidRPr="00FE3381">
        <w:rPr>
          <w:i/>
        </w:rPr>
        <w:t>euro</w:t>
      </w:r>
      <w:proofErr w:type="spellEnd"/>
      <w:r w:rsidRPr="00FE3381">
        <w:t>, kas salīdzinājumā ar 2020.</w:t>
      </w:r>
      <w:r w:rsidR="00FD36B6">
        <w:t xml:space="preserve"> </w:t>
      </w:r>
      <w:r w:rsidRPr="00FE3381">
        <w:t>gada prognozētajiem ieņēmumiem ir par 63,2 milj. </w:t>
      </w:r>
      <w:proofErr w:type="spellStart"/>
      <w:r w:rsidRPr="00FE3381">
        <w:rPr>
          <w:i/>
        </w:rPr>
        <w:t>euro</w:t>
      </w:r>
      <w:proofErr w:type="spellEnd"/>
      <w:r w:rsidRPr="00FE3381">
        <w:t xml:space="preserve"> jeb par 31,6% vairāk.</w:t>
      </w:r>
    </w:p>
    <w:p w:rsidR="00D4366D" w:rsidRPr="00FE3381" w:rsidRDefault="00D4366D" w:rsidP="005B71DF">
      <w:pPr>
        <w:spacing w:before="120"/>
        <w:rPr>
          <w:szCs w:val="24"/>
        </w:rPr>
      </w:pPr>
      <w:r w:rsidRPr="00FE3381">
        <w:t xml:space="preserve"> </w:t>
      </w:r>
      <w:r w:rsidR="00FD36B6">
        <w:t>UIN</w:t>
      </w:r>
      <w:r w:rsidRPr="00FE3381">
        <w:t xml:space="preserve"> 2021.</w:t>
      </w:r>
      <w:r w:rsidR="00FD36B6">
        <w:t xml:space="preserve"> </w:t>
      </w:r>
      <w:r w:rsidRPr="00FE3381">
        <w:t xml:space="preserve">gada ieņēmumu plānu </w:t>
      </w:r>
      <w:r w:rsidRPr="00FE3381">
        <w:rPr>
          <w:szCs w:val="24"/>
        </w:rPr>
        <w:t>galvenokārt ietekmēs nodokļa apmēra par peļņas sadali pieauguma tendences, 2020.</w:t>
      </w:r>
      <w:r w:rsidR="00FD36B6">
        <w:rPr>
          <w:szCs w:val="24"/>
        </w:rPr>
        <w:t xml:space="preserve"> </w:t>
      </w:r>
      <w:r w:rsidRPr="00FE3381">
        <w:rPr>
          <w:szCs w:val="24"/>
        </w:rPr>
        <w:t xml:space="preserve">gada pirmā pusgada izpilde, kā </w:t>
      </w:r>
      <w:r w:rsidRPr="001A5AD8">
        <w:rPr>
          <w:szCs w:val="24"/>
        </w:rPr>
        <w:t>arī</w:t>
      </w:r>
      <w:r w:rsidRPr="001A5AD8">
        <w:rPr>
          <w:szCs w:val="24"/>
          <w:lang w:eastAsia="lv-LV"/>
        </w:rPr>
        <w:t xml:space="preserve"> </w:t>
      </w:r>
      <w:r>
        <w:rPr>
          <w:szCs w:val="24"/>
          <w:lang w:eastAsia="lv-LV"/>
        </w:rPr>
        <w:t>nodokli netieši ietekmējušie lēmumi</w:t>
      </w:r>
      <w:r w:rsidRPr="001A5AD8">
        <w:rPr>
          <w:szCs w:val="24"/>
          <w:lang w:eastAsia="lv-LV"/>
        </w:rPr>
        <w:t xml:space="preserve"> saistībā ar valsts kapitālsabiedrību dividendēs izmaksājamās daļas palielināšanu</w:t>
      </w:r>
      <w:r w:rsidRPr="001A5AD8">
        <w:rPr>
          <w:szCs w:val="28"/>
        </w:rPr>
        <w:t>:</w:t>
      </w:r>
    </w:p>
    <w:p w:rsidR="00D4366D" w:rsidRPr="00072CEC" w:rsidRDefault="00D4366D" w:rsidP="00373FD4">
      <w:pPr>
        <w:pStyle w:val="ListParagraph"/>
        <w:numPr>
          <w:ilvl w:val="0"/>
          <w:numId w:val="7"/>
        </w:numPr>
        <w:ind w:left="1418" w:hanging="425"/>
        <w:rPr>
          <w:szCs w:val="24"/>
        </w:rPr>
      </w:pPr>
      <w:r w:rsidRPr="00072CEC">
        <w:rPr>
          <w:szCs w:val="24"/>
        </w:rPr>
        <w:t xml:space="preserve">palielināt valsts akciju sabiedrības </w:t>
      </w:r>
      <w:r w:rsidR="00FD36B6">
        <w:rPr>
          <w:szCs w:val="24"/>
        </w:rPr>
        <w:t>“</w:t>
      </w:r>
      <w:r w:rsidRPr="00072CEC">
        <w:rPr>
          <w:szCs w:val="24"/>
        </w:rPr>
        <w:t>Latvijas valsts meži</w:t>
      </w:r>
      <w:r w:rsidR="00FD36B6">
        <w:rPr>
          <w:szCs w:val="24"/>
        </w:rPr>
        <w:t>”</w:t>
      </w:r>
      <w:r w:rsidRPr="00072CEC">
        <w:rPr>
          <w:szCs w:val="24"/>
        </w:rPr>
        <w:t xml:space="preserve"> dividendēs izmaksājamo peļņas daļu (fiskālā ietekme 2021.</w:t>
      </w:r>
      <w:r w:rsidR="00FD36B6">
        <w:rPr>
          <w:szCs w:val="24"/>
        </w:rPr>
        <w:t xml:space="preserve"> </w:t>
      </w:r>
      <w:r w:rsidRPr="00072CEC">
        <w:rPr>
          <w:szCs w:val="24"/>
        </w:rPr>
        <w:t>gadā +3,6 milj. </w:t>
      </w:r>
      <w:proofErr w:type="spellStart"/>
      <w:r w:rsidRPr="00072CEC">
        <w:rPr>
          <w:i/>
          <w:spacing w:val="-6"/>
          <w:szCs w:val="24"/>
        </w:rPr>
        <w:t>euro</w:t>
      </w:r>
      <w:proofErr w:type="spellEnd"/>
      <w:r w:rsidRPr="00072CEC">
        <w:rPr>
          <w:spacing w:val="-6"/>
          <w:szCs w:val="24"/>
        </w:rPr>
        <w:t>)</w:t>
      </w:r>
      <w:r w:rsidRPr="00072CEC">
        <w:rPr>
          <w:szCs w:val="24"/>
        </w:rPr>
        <w:t>;</w:t>
      </w:r>
    </w:p>
    <w:p w:rsidR="00D4366D" w:rsidRPr="00072CEC" w:rsidRDefault="00D4366D" w:rsidP="00373FD4">
      <w:pPr>
        <w:pStyle w:val="ListParagraph"/>
        <w:numPr>
          <w:ilvl w:val="0"/>
          <w:numId w:val="7"/>
        </w:numPr>
        <w:ind w:left="1418"/>
        <w:rPr>
          <w:szCs w:val="24"/>
        </w:rPr>
      </w:pPr>
      <w:r w:rsidRPr="00072CEC">
        <w:rPr>
          <w:szCs w:val="24"/>
        </w:rPr>
        <w:t>palielināt akcij</w:t>
      </w:r>
      <w:r w:rsidR="00FD36B6">
        <w:rPr>
          <w:szCs w:val="24"/>
        </w:rPr>
        <w:t>u sabiedrības “</w:t>
      </w:r>
      <w:r w:rsidRPr="00072CEC">
        <w:rPr>
          <w:szCs w:val="24"/>
        </w:rPr>
        <w:t>Latvenergo</w:t>
      </w:r>
      <w:r w:rsidR="00FD36B6">
        <w:rPr>
          <w:szCs w:val="24"/>
        </w:rPr>
        <w:t>”</w:t>
      </w:r>
      <w:r w:rsidRPr="00072CEC">
        <w:rPr>
          <w:szCs w:val="24"/>
        </w:rPr>
        <w:t xml:space="preserve"> dividendēs izmaksājamo peļņas daļu (fiskālā ietekme 2021.</w:t>
      </w:r>
      <w:r w:rsidR="00FD36B6">
        <w:rPr>
          <w:szCs w:val="24"/>
        </w:rPr>
        <w:t xml:space="preserve"> </w:t>
      </w:r>
      <w:r w:rsidRPr="00072CEC">
        <w:rPr>
          <w:szCs w:val="24"/>
        </w:rPr>
        <w:t>gadā +19,6 milj. </w:t>
      </w:r>
      <w:proofErr w:type="spellStart"/>
      <w:r w:rsidRPr="00072CEC">
        <w:rPr>
          <w:i/>
          <w:spacing w:val="-6"/>
          <w:szCs w:val="24"/>
        </w:rPr>
        <w:t>euro</w:t>
      </w:r>
      <w:proofErr w:type="spellEnd"/>
      <w:r w:rsidRPr="00072CEC">
        <w:rPr>
          <w:spacing w:val="-6"/>
          <w:szCs w:val="24"/>
        </w:rPr>
        <w:t>).</w:t>
      </w:r>
    </w:p>
    <w:p w:rsidR="00D4366D" w:rsidRPr="00FD36B6" w:rsidRDefault="00D4366D" w:rsidP="00D4366D">
      <w:pPr>
        <w:spacing w:before="360"/>
        <w:ind w:firstLine="0"/>
        <w:jc w:val="center"/>
        <w:rPr>
          <w:b/>
        </w:rPr>
      </w:pPr>
      <w:r w:rsidRPr="00FE3381">
        <w:rPr>
          <w:b/>
          <w:i/>
        </w:rPr>
        <w:lastRenderedPageBreak/>
        <w:t xml:space="preserve">3.5. tabula </w:t>
      </w:r>
      <w:r w:rsidRPr="00FD36B6">
        <w:rPr>
          <w:b/>
        </w:rPr>
        <w:t>Uzņēmumu ienākuma nodokļa ieņēmumi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769"/>
        <w:gridCol w:w="1017"/>
        <w:gridCol w:w="1017"/>
        <w:gridCol w:w="989"/>
        <w:gridCol w:w="1269"/>
      </w:tblGrid>
      <w:tr w:rsidR="00D4366D" w:rsidRPr="00FD36B6" w:rsidTr="00FD36B6">
        <w:trPr>
          <w:jc w:val="center"/>
        </w:trPr>
        <w:tc>
          <w:tcPr>
            <w:tcW w:w="2632" w:type="pct"/>
            <w:vMerge w:val="restart"/>
            <w:shd w:val="clear" w:color="auto" w:fill="D9D9D9" w:themeFill="background1" w:themeFillShade="D9"/>
          </w:tcPr>
          <w:p w:rsidR="00D4366D" w:rsidRPr="00FD36B6" w:rsidRDefault="00D4366D" w:rsidP="00421DF3">
            <w:pPr>
              <w:spacing w:after="0"/>
              <w:ind w:firstLine="0"/>
              <w:jc w:val="center"/>
              <w:rPr>
                <w:b/>
                <w:snapToGrid w:val="0"/>
                <w:sz w:val="18"/>
              </w:rPr>
            </w:pPr>
          </w:p>
        </w:tc>
        <w:tc>
          <w:tcPr>
            <w:tcW w:w="561" w:type="pct"/>
            <w:shd w:val="clear" w:color="auto" w:fill="D9D9D9" w:themeFill="background1" w:themeFillShade="D9"/>
          </w:tcPr>
          <w:p w:rsidR="00D4366D" w:rsidRPr="00FD36B6" w:rsidRDefault="00D4366D" w:rsidP="00421DF3">
            <w:pPr>
              <w:spacing w:after="0"/>
              <w:ind w:firstLine="0"/>
              <w:jc w:val="center"/>
              <w:rPr>
                <w:b/>
                <w:snapToGrid w:val="0"/>
                <w:sz w:val="18"/>
              </w:rPr>
            </w:pPr>
            <w:r w:rsidRPr="00FD36B6">
              <w:rPr>
                <w:b/>
                <w:snapToGrid w:val="0"/>
                <w:sz w:val="18"/>
              </w:rPr>
              <w:t>2018</w:t>
            </w:r>
          </w:p>
        </w:tc>
        <w:tc>
          <w:tcPr>
            <w:tcW w:w="561" w:type="pct"/>
            <w:shd w:val="clear" w:color="auto" w:fill="D9D9D9" w:themeFill="background1" w:themeFillShade="D9"/>
          </w:tcPr>
          <w:p w:rsidR="00D4366D" w:rsidRPr="00FD36B6" w:rsidRDefault="00D4366D" w:rsidP="00421DF3">
            <w:pPr>
              <w:spacing w:after="0"/>
              <w:ind w:firstLine="0"/>
              <w:jc w:val="center"/>
              <w:rPr>
                <w:b/>
                <w:snapToGrid w:val="0"/>
                <w:sz w:val="18"/>
              </w:rPr>
            </w:pPr>
            <w:r w:rsidRPr="00FD36B6">
              <w:rPr>
                <w:b/>
                <w:snapToGrid w:val="0"/>
                <w:sz w:val="18"/>
              </w:rPr>
              <w:t>2019</w:t>
            </w:r>
          </w:p>
        </w:tc>
        <w:tc>
          <w:tcPr>
            <w:tcW w:w="546" w:type="pct"/>
            <w:shd w:val="clear" w:color="auto" w:fill="D9D9D9" w:themeFill="background1" w:themeFillShade="D9"/>
          </w:tcPr>
          <w:p w:rsidR="00D4366D" w:rsidRPr="00FD36B6" w:rsidRDefault="00D4366D" w:rsidP="00421DF3">
            <w:pPr>
              <w:spacing w:after="0"/>
              <w:ind w:firstLine="0"/>
              <w:jc w:val="center"/>
              <w:rPr>
                <w:b/>
                <w:snapToGrid w:val="0"/>
                <w:sz w:val="18"/>
              </w:rPr>
            </w:pPr>
            <w:r w:rsidRPr="00FD36B6">
              <w:rPr>
                <w:b/>
                <w:snapToGrid w:val="0"/>
                <w:sz w:val="18"/>
              </w:rPr>
              <w:t>2020</w:t>
            </w:r>
          </w:p>
        </w:tc>
        <w:tc>
          <w:tcPr>
            <w:tcW w:w="700" w:type="pct"/>
            <w:shd w:val="clear" w:color="auto" w:fill="D9D9D9" w:themeFill="background1" w:themeFillShade="D9"/>
          </w:tcPr>
          <w:p w:rsidR="00D4366D" w:rsidRPr="00FD36B6" w:rsidRDefault="00D4366D" w:rsidP="00421DF3">
            <w:pPr>
              <w:spacing w:after="0"/>
              <w:ind w:firstLine="0"/>
              <w:jc w:val="center"/>
              <w:rPr>
                <w:b/>
                <w:snapToGrid w:val="0"/>
                <w:sz w:val="18"/>
              </w:rPr>
            </w:pPr>
            <w:r w:rsidRPr="00FD36B6">
              <w:rPr>
                <w:b/>
                <w:snapToGrid w:val="0"/>
                <w:sz w:val="18"/>
              </w:rPr>
              <w:t>2021</w:t>
            </w:r>
          </w:p>
        </w:tc>
      </w:tr>
      <w:tr w:rsidR="00D4366D" w:rsidRPr="00FD36B6" w:rsidTr="00FD36B6">
        <w:trPr>
          <w:jc w:val="center"/>
        </w:trPr>
        <w:tc>
          <w:tcPr>
            <w:tcW w:w="2632" w:type="pct"/>
            <w:vMerge/>
            <w:shd w:val="clear" w:color="auto" w:fill="D9D9D9" w:themeFill="background1" w:themeFillShade="D9"/>
          </w:tcPr>
          <w:p w:rsidR="00D4366D" w:rsidRPr="00FD36B6" w:rsidRDefault="00D4366D" w:rsidP="00421DF3">
            <w:pPr>
              <w:spacing w:after="0"/>
              <w:ind w:firstLine="0"/>
              <w:jc w:val="center"/>
              <w:rPr>
                <w:b/>
                <w:snapToGrid w:val="0"/>
                <w:sz w:val="18"/>
              </w:rPr>
            </w:pPr>
          </w:p>
        </w:tc>
        <w:tc>
          <w:tcPr>
            <w:tcW w:w="1122" w:type="pct"/>
            <w:gridSpan w:val="2"/>
            <w:shd w:val="clear" w:color="auto" w:fill="D9D9D9" w:themeFill="background1" w:themeFillShade="D9"/>
          </w:tcPr>
          <w:p w:rsidR="00D4366D" w:rsidRPr="00FD36B6" w:rsidRDefault="00D4366D" w:rsidP="00421DF3">
            <w:pPr>
              <w:spacing w:after="0"/>
              <w:ind w:firstLine="0"/>
              <w:jc w:val="center"/>
              <w:rPr>
                <w:snapToGrid w:val="0"/>
                <w:sz w:val="18"/>
              </w:rPr>
            </w:pPr>
            <w:r w:rsidRPr="00FD36B6">
              <w:rPr>
                <w:snapToGrid w:val="0"/>
                <w:sz w:val="18"/>
              </w:rPr>
              <w:t>fakts</w:t>
            </w:r>
          </w:p>
        </w:tc>
        <w:tc>
          <w:tcPr>
            <w:tcW w:w="546" w:type="pct"/>
            <w:shd w:val="clear" w:color="auto" w:fill="D9D9D9" w:themeFill="background1" w:themeFillShade="D9"/>
          </w:tcPr>
          <w:p w:rsidR="00D4366D" w:rsidRPr="00FD36B6" w:rsidRDefault="00D4366D" w:rsidP="00421DF3">
            <w:pPr>
              <w:spacing w:after="0"/>
              <w:ind w:firstLine="0"/>
              <w:jc w:val="center"/>
              <w:rPr>
                <w:snapToGrid w:val="0"/>
                <w:sz w:val="18"/>
              </w:rPr>
            </w:pPr>
            <w:r w:rsidRPr="00FD36B6">
              <w:rPr>
                <w:snapToGrid w:val="0"/>
                <w:sz w:val="18"/>
              </w:rPr>
              <w:t>prognoze</w:t>
            </w:r>
          </w:p>
        </w:tc>
        <w:tc>
          <w:tcPr>
            <w:tcW w:w="700" w:type="pct"/>
            <w:shd w:val="clear" w:color="auto" w:fill="D9D9D9" w:themeFill="background1" w:themeFillShade="D9"/>
          </w:tcPr>
          <w:p w:rsidR="00D4366D" w:rsidRPr="00FD36B6" w:rsidRDefault="00D4366D" w:rsidP="00421DF3">
            <w:pPr>
              <w:spacing w:after="0"/>
              <w:ind w:firstLine="0"/>
              <w:jc w:val="center"/>
              <w:rPr>
                <w:snapToGrid w:val="0"/>
                <w:sz w:val="18"/>
              </w:rPr>
            </w:pPr>
            <w:r w:rsidRPr="00FD36B6">
              <w:rPr>
                <w:snapToGrid w:val="0"/>
                <w:sz w:val="18"/>
              </w:rPr>
              <w:t>plāns*</w:t>
            </w:r>
          </w:p>
        </w:tc>
      </w:tr>
      <w:tr w:rsidR="00D4366D" w:rsidRPr="00FD36B6" w:rsidTr="00FD36B6">
        <w:trPr>
          <w:jc w:val="center"/>
        </w:trPr>
        <w:tc>
          <w:tcPr>
            <w:tcW w:w="2632" w:type="pct"/>
          </w:tcPr>
          <w:p w:rsidR="00D4366D" w:rsidRPr="00FD36B6" w:rsidRDefault="00D4366D" w:rsidP="00421DF3">
            <w:pPr>
              <w:spacing w:after="0"/>
              <w:ind w:firstLine="0"/>
              <w:rPr>
                <w:snapToGrid w:val="0"/>
                <w:sz w:val="18"/>
              </w:rPr>
            </w:pPr>
            <w:r w:rsidRPr="00FD36B6">
              <w:rPr>
                <w:b/>
                <w:snapToGrid w:val="0"/>
                <w:sz w:val="18"/>
              </w:rPr>
              <w:t>Uzņēmumu ienākuma nodoklis</w:t>
            </w:r>
            <w:r w:rsidRPr="00FD36B6">
              <w:rPr>
                <w:snapToGrid w:val="0"/>
                <w:sz w:val="18"/>
              </w:rPr>
              <w:t xml:space="preserve">, milj. </w:t>
            </w:r>
            <w:proofErr w:type="spellStart"/>
            <w:r w:rsidRPr="00FD36B6">
              <w:rPr>
                <w:i/>
                <w:snapToGrid w:val="0"/>
                <w:sz w:val="18"/>
              </w:rPr>
              <w:t>euro</w:t>
            </w:r>
            <w:proofErr w:type="spellEnd"/>
          </w:p>
        </w:tc>
        <w:tc>
          <w:tcPr>
            <w:tcW w:w="561" w:type="pct"/>
            <w:vAlign w:val="center"/>
          </w:tcPr>
          <w:p w:rsidR="00D4366D" w:rsidRPr="00FD36B6" w:rsidRDefault="00D4366D" w:rsidP="00421DF3">
            <w:pPr>
              <w:ind w:firstLine="0"/>
              <w:jc w:val="center"/>
              <w:rPr>
                <w:b/>
                <w:sz w:val="18"/>
              </w:rPr>
            </w:pPr>
            <w:r w:rsidRPr="00FD36B6">
              <w:rPr>
                <w:b/>
                <w:sz w:val="18"/>
              </w:rPr>
              <w:t>304,0</w:t>
            </w:r>
          </w:p>
        </w:tc>
        <w:tc>
          <w:tcPr>
            <w:tcW w:w="561" w:type="pct"/>
            <w:vAlign w:val="center"/>
          </w:tcPr>
          <w:p w:rsidR="00D4366D" w:rsidRPr="00FD36B6" w:rsidRDefault="00D4366D" w:rsidP="00421DF3">
            <w:pPr>
              <w:ind w:firstLine="0"/>
              <w:jc w:val="center"/>
              <w:rPr>
                <w:b/>
                <w:sz w:val="18"/>
              </w:rPr>
            </w:pPr>
            <w:r w:rsidRPr="00FD36B6">
              <w:rPr>
                <w:b/>
                <w:sz w:val="18"/>
              </w:rPr>
              <w:t>44,8</w:t>
            </w:r>
          </w:p>
        </w:tc>
        <w:tc>
          <w:tcPr>
            <w:tcW w:w="546" w:type="pct"/>
            <w:vAlign w:val="center"/>
          </w:tcPr>
          <w:p w:rsidR="00D4366D" w:rsidRPr="00FD36B6" w:rsidRDefault="00D4366D" w:rsidP="00421DF3">
            <w:pPr>
              <w:ind w:firstLine="0"/>
              <w:jc w:val="center"/>
              <w:rPr>
                <w:b/>
                <w:sz w:val="18"/>
              </w:rPr>
            </w:pPr>
            <w:r w:rsidRPr="00FD36B6">
              <w:rPr>
                <w:b/>
                <w:sz w:val="18"/>
              </w:rPr>
              <w:t>200,0</w:t>
            </w:r>
          </w:p>
        </w:tc>
        <w:tc>
          <w:tcPr>
            <w:tcW w:w="700" w:type="pct"/>
            <w:vAlign w:val="center"/>
          </w:tcPr>
          <w:p w:rsidR="00D4366D" w:rsidRPr="00FD36B6" w:rsidRDefault="00D4366D" w:rsidP="00421DF3">
            <w:pPr>
              <w:ind w:firstLine="0"/>
              <w:jc w:val="center"/>
              <w:rPr>
                <w:b/>
                <w:sz w:val="18"/>
              </w:rPr>
            </w:pPr>
            <w:r w:rsidRPr="00FD36B6">
              <w:rPr>
                <w:b/>
                <w:sz w:val="18"/>
              </w:rPr>
              <w:t>263,2</w:t>
            </w:r>
          </w:p>
        </w:tc>
      </w:tr>
      <w:tr w:rsidR="00D4366D" w:rsidRPr="00FD36B6" w:rsidTr="00FD36B6">
        <w:trPr>
          <w:jc w:val="center"/>
        </w:trPr>
        <w:tc>
          <w:tcPr>
            <w:tcW w:w="2632" w:type="pct"/>
          </w:tcPr>
          <w:p w:rsidR="00D4366D" w:rsidRPr="00FD36B6" w:rsidRDefault="00D4366D" w:rsidP="00421DF3">
            <w:pPr>
              <w:spacing w:after="0"/>
              <w:ind w:firstLine="0"/>
              <w:rPr>
                <w:i/>
                <w:snapToGrid w:val="0"/>
                <w:sz w:val="18"/>
              </w:rPr>
            </w:pPr>
            <w:r w:rsidRPr="00FD36B6">
              <w:rPr>
                <w:i/>
                <w:snapToGrid w:val="0"/>
                <w:sz w:val="18"/>
              </w:rPr>
              <w:t>pieauguma tempi faktiskās cenās, %</w:t>
            </w:r>
          </w:p>
        </w:tc>
        <w:tc>
          <w:tcPr>
            <w:tcW w:w="561" w:type="pct"/>
            <w:vAlign w:val="center"/>
          </w:tcPr>
          <w:p w:rsidR="00D4366D" w:rsidRPr="00FD36B6" w:rsidRDefault="00D4366D" w:rsidP="00421DF3">
            <w:pPr>
              <w:ind w:firstLine="0"/>
              <w:jc w:val="center"/>
              <w:rPr>
                <w:sz w:val="18"/>
              </w:rPr>
            </w:pPr>
            <w:r w:rsidRPr="00FD36B6">
              <w:rPr>
                <w:sz w:val="18"/>
              </w:rPr>
              <w:t>-28,6%</w:t>
            </w:r>
          </w:p>
        </w:tc>
        <w:tc>
          <w:tcPr>
            <w:tcW w:w="561" w:type="pct"/>
            <w:vAlign w:val="center"/>
          </w:tcPr>
          <w:p w:rsidR="00D4366D" w:rsidRPr="00FD36B6" w:rsidRDefault="00D4366D" w:rsidP="00421DF3">
            <w:pPr>
              <w:ind w:firstLine="0"/>
              <w:jc w:val="center"/>
              <w:rPr>
                <w:sz w:val="18"/>
              </w:rPr>
            </w:pPr>
            <w:r w:rsidRPr="00FD36B6">
              <w:rPr>
                <w:sz w:val="18"/>
              </w:rPr>
              <w:t>-85,3%</w:t>
            </w:r>
          </w:p>
        </w:tc>
        <w:tc>
          <w:tcPr>
            <w:tcW w:w="546" w:type="pct"/>
            <w:vAlign w:val="center"/>
          </w:tcPr>
          <w:p w:rsidR="00D4366D" w:rsidRPr="00FD36B6" w:rsidRDefault="00D4366D" w:rsidP="00421DF3">
            <w:pPr>
              <w:ind w:firstLine="0"/>
              <w:jc w:val="center"/>
              <w:rPr>
                <w:sz w:val="18"/>
              </w:rPr>
            </w:pPr>
            <w:r w:rsidRPr="00FD36B6">
              <w:rPr>
                <w:sz w:val="18"/>
              </w:rPr>
              <w:t>346,7%</w:t>
            </w:r>
          </w:p>
        </w:tc>
        <w:tc>
          <w:tcPr>
            <w:tcW w:w="700" w:type="pct"/>
            <w:vAlign w:val="center"/>
          </w:tcPr>
          <w:p w:rsidR="00D4366D" w:rsidRPr="00FD36B6" w:rsidRDefault="00D4366D" w:rsidP="00421DF3">
            <w:pPr>
              <w:ind w:firstLine="0"/>
              <w:jc w:val="center"/>
              <w:rPr>
                <w:sz w:val="18"/>
              </w:rPr>
            </w:pPr>
            <w:r w:rsidRPr="00FD36B6">
              <w:rPr>
                <w:sz w:val="18"/>
              </w:rPr>
              <w:t>31,6%</w:t>
            </w:r>
          </w:p>
        </w:tc>
      </w:tr>
      <w:tr w:rsidR="00D4366D" w:rsidRPr="00FD36B6" w:rsidTr="00FD36B6">
        <w:trPr>
          <w:jc w:val="center"/>
        </w:trPr>
        <w:tc>
          <w:tcPr>
            <w:tcW w:w="2632" w:type="pct"/>
          </w:tcPr>
          <w:p w:rsidR="00D4366D" w:rsidRPr="00FD36B6" w:rsidRDefault="00D4366D" w:rsidP="00421DF3">
            <w:pPr>
              <w:spacing w:after="0"/>
              <w:ind w:firstLine="0"/>
              <w:rPr>
                <w:i/>
                <w:snapToGrid w:val="0"/>
                <w:sz w:val="18"/>
              </w:rPr>
            </w:pPr>
            <w:r w:rsidRPr="00FD36B6">
              <w:rPr>
                <w:i/>
                <w:color w:val="000000" w:themeColor="text1"/>
                <w:sz w:val="18"/>
              </w:rPr>
              <w:t>% no IKP</w:t>
            </w:r>
          </w:p>
        </w:tc>
        <w:tc>
          <w:tcPr>
            <w:tcW w:w="561" w:type="pct"/>
            <w:vAlign w:val="center"/>
          </w:tcPr>
          <w:p w:rsidR="00D4366D" w:rsidRPr="00FD36B6" w:rsidRDefault="00D4366D" w:rsidP="00421DF3">
            <w:pPr>
              <w:ind w:firstLine="0"/>
              <w:jc w:val="center"/>
              <w:rPr>
                <w:sz w:val="18"/>
              </w:rPr>
            </w:pPr>
            <w:r w:rsidRPr="00FD36B6">
              <w:rPr>
                <w:sz w:val="18"/>
              </w:rPr>
              <w:t>1,0</w:t>
            </w:r>
          </w:p>
        </w:tc>
        <w:tc>
          <w:tcPr>
            <w:tcW w:w="561" w:type="pct"/>
            <w:vAlign w:val="center"/>
          </w:tcPr>
          <w:p w:rsidR="00D4366D" w:rsidRPr="00FD36B6" w:rsidRDefault="00D4366D" w:rsidP="00421DF3">
            <w:pPr>
              <w:ind w:firstLine="0"/>
              <w:jc w:val="center"/>
              <w:rPr>
                <w:sz w:val="18"/>
              </w:rPr>
            </w:pPr>
            <w:r w:rsidRPr="00FD36B6">
              <w:rPr>
                <w:sz w:val="18"/>
              </w:rPr>
              <w:t>0,1</w:t>
            </w:r>
          </w:p>
        </w:tc>
        <w:tc>
          <w:tcPr>
            <w:tcW w:w="546" w:type="pct"/>
            <w:vAlign w:val="center"/>
          </w:tcPr>
          <w:p w:rsidR="00D4366D" w:rsidRPr="00FD36B6" w:rsidRDefault="00D4366D" w:rsidP="00421DF3">
            <w:pPr>
              <w:ind w:firstLine="0"/>
              <w:jc w:val="center"/>
              <w:rPr>
                <w:sz w:val="18"/>
              </w:rPr>
            </w:pPr>
            <w:r w:rsidRPr="00FD36B6">
              <w:rPr>
                <w:sz w:val="18"/>
              </w:rPr>
              <w:t>0,7</w:t>
            </w:r>
          </w:p>
        </w:tc>
        <w:tc>
          <w:tcPr>
            <w:tcW w:w="700" w:type="pct"/>
            <w:vAlign w:val="center"/>
          </w:tcPr>
          <w:p w:rsidR="00D4366D" w:rsidRPr="00FD36B6" w:rsidRDefault="00D4366D" w:rsidP="00421DF3">
            <w:pPr>
              <w:ind w:firstLine="0"/>
              <w:jc w:val="center"/>
              <w:rPr>
                <w:sz w:val="18"/>
              </w:rPr>
            </w:pPr>
            <w:r w:rsidRPr="00FD36B6">
              <w:rPr>
                <w:sz w:val="18"/>
              </w:rPr>
              <w:t>0,9</w:t>
            </w:r>
          </w:p>
        </w:tc>
      </w:tr>
    </w:tbl>
    <w:p w:rsidR="00D4366D" w:rsidRPr="00FD36B6" w:rsidRDefault="00FD36B6" w:rsidP="00D4366D">
      <w:pPr>
        <w:pStyle w:val="cipari"/>
        <w:rPr>
          <w:sz w:val="20"/>
          <w:szCs w:val="18"/>
        </w:rPr>
      </w:pPr>
      <w:r>
        <w:rPr>
          <w:sz w:val="20"/>
          <w:szCs w:val="18"/>
        </w:rPr>
        <w:t>*saskaņā ar likumprojektu “</w:t>
      </w:r>
      <w:r w:rsidR="00D4366D" w:rsidRPr="00FD36B6">
        <w:rPr>
          <w:sz w:val="20"/>
          <w:szCs w:val="18"/>
        </w:rPr>
        <w:t>Par valsts budžetu 2021.</w:t>
      </w:r>
      <w:r>
        <w:rPr>
          <w:sz w:val="20"/>
          <w:szCs w:val="18"/>
        </w:rPr>
        <w:t xml:space="preserve"> </w:t>
      </w:r>
      <w:r w:rsidR="00D4366D" w:rsidRPr="00FD36B6">
        <w:rPr>
          <w:sz w:val="20"/>
          <w:szCs w:val="18"/>
        </w:rPr>
        <w:t>gadam”</w:t>
      </w:r>
    </w:p>
    <w:bookmarkEnd w:id="5"/>
    <w:bookmarkEnd w:id="6"/>
    <w:bookmarkEnd w:id="7"/>
    <w:p w:rsidR="003613E3" w:rsidRDefault="008B3FE2" w:rsidP="00FD36B6">
      <w:pPr>
        <w:pStyle w:val="H3"/>
        <w:spacing w:before="240"/>
      </w:pPr>
      <w:r>
        <w:t>3</w:t>
      </w:r>
      <w:r w:rsidR="003613E3" w:rsidRPr="00221972">
        <w:t>.</w:t>
      </w:r>
      <w:r w:rsidR="00BE4104">
        <w:t>2</w:t>
      </w:r>
      <w:r w:rsidR="003613E3" w:rsidRPr="00221972">
        <w:t>.2. Netiešie nodokļi</w:t>
      </w:r>
    </w:p>
    <w:p w:rsidR="00FD36B6" w:rsidRPr="00A10C59" w:rsidRDefault="00FD36B6" w:rsidP="00FD36B6">
      <w:r w:rsidRPr="00A10C59">
        <w:t>Lielāko daļu no netiešo nodokļu ieņēmumiem veido pievienotās vērtības nodokļa un akcīzes nodokļa ieņēmumi.</w:t>
      </w:r>
    </w:p>
    <w:p w:rsidR="00FD36B6" w:rsidRPr="00A10C59" w:rsidRDefault="00FD36B6" w:rsidP="00FD36B6">
      <w:pPr>
        <w:pStyle w:val="T"/>
        <w:spacing w:before="240"/>
        <w:rPr>
          <w:szCs w:val="24"/>
        </w:rPr>
      </w:pPr>
      <w:r w:rsidRPr="00A10C59">
        <w:t xml:space="preserve">3.6. tabula </w:t>
      </w:r>
      <w:r w:rsidRPr="00FD36B6">
        <w:rPr>
          <w:i w:val="0"/>
        </w:rPr>
        <w:t>Netiešo nodokļu ieņēmumi milj.</w:t>
      </w:r>
      <w:r w:rsidRPr="00A10C59">
        <w:t xml:space="preserve"> </w:t>
      </w:r>
      <w:proofErr w:type="spellStart"/>
      <w:r w:rsidRPr="00A10C59">
        <w:t>euro</w:t>
      </w:r>
      <w:proofErr w:type="spellEnd"/>
      <w:r w:rsidRPr="00A10C59">
        <w:t xml:space="preserve"> </w:t>
      </w:r>
      <w:r w:rsidRPr="00FD36B6">
        <w:rPr>
          <w:i w:val="0"/>
        </w:rPr>
        <w:t xml:space="preserve">un % no </w:t>
      </w:r>
      <w:r>
        <w:rPr>
          <w:i w:val="0"/>
        </w:rPr>
        <w:t>IKP</w:t>
      </w:r>
    </w:p>
    <w:tbl>
      <w:tblPr>
        <w:tblW w:w="9067" w:type="dxa"/>
        <w:tblLook w:val="04A0" w:firstRow="1" w:lastRow="0" w:firstColumn="1" w:lastColumn="0" w:noHBand="0" w:noVBand="1"/>
      </w:tblPr>
      <w:tblGrid>
        <w:gridCol w:w="1770"/>
        <w:gridCol w:w="992"/>
        <w:gridCol w:w="766"/>
        <w:gridCol w:w="989"/>
        <w:gridCol w:w="766"/>
        <w:gridCol w:w="989"/>
        <w:gridCol w:w="953"/>
        <w:gridCol w:w="992"/>
        <w:gridCol w:w="850"/>
      </w:tblGrid>
      <w:tr w:rsidR="00FD36B6" w:rsidRPr="00FD36B6" w:rsidTr="00DE1399">
        <w:trPr>
          <w:trHeight w:val="255"/>
        </w:trPr>
        <w:tc>
          <w:tcPr>
            <w:tcW w:w="177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FD36B6" w:rsidRPr="00FD36B6" w:rsidRDefault="00FD36B6" w:rsidP="00FD36B6">
            <w:pPr>
              <w:spacing w:after="0"/>
              <w:ind w:firstLine="0"/>
              <w:jc w:val="center"/>
              <w:rPr>
                <w:b/>
                <w:bCs/>
                <w:sz w:val="18"/>
                <w:szCs w:val="18"/>
                <w:lang w:eastAsia="lv-LV"/>
              </w:rPr>
            </w:pPr>
            <w:r w:rsidRPr="00FD36B6">
              <w:rPr>
                <w:b/>
                <w:bCs/>
                <w:sz w:val="18"/>
                <w:szCs w:val="18"/>
                <w:lang w:eastAsia="lv-LV"/>
              </w:rPr>
              <w:t> </w:t>
            </w:r>
          </w:p>
        </w:tc>
        <w:tc>
          <w:tcPr>
            <w:tcW w:w="1758"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FD36B6" w:rsidRPr="00FD36B6" w:rsidRDefault="00FD36B6" w:rsidP="00FD36B6">
            <w:pPr>
              <w:spacing w:after="0"/>
              <w:ind w:firstLine="0"/>
              <w:jc w:val="center"/>
              <w:rPr>
                <w:b/>
                <w:bCs/>
                <w:sz w:val="18"/>
                <w:szCs w:val="18"/>
                <w:lang w:eastAsia="lv-LV"/>
              </w:rPr>
            </w:pPr>
            <w:r w:rsidRPr="00FD36B6">
              <w:rPr>
                <w:b/>
                <w:bCs/>
                <w:sz w:val="18"/>
                <w:szCs w:val="18"/>
                <w:lang w:eastAsia="lv-LV"/>
              </w:rPr>
              <w:t>2018</w:t>
            </w:r>
          </w:p>
        </w:tc>
        <w:tc>
          <w:tcPr>
            <w:tcW w:w="1755"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FD36B6" w:rsidRPr="00FD36B6" w:rsidRDefault="00FD36B6" w:rsidP="00FD36B6">
            <w:pPr>
              <w:spacing w:after="0"/>
              <w:ind w:firstLine="0"/>
              <w:jc w:val="center"/>
              <w:rPr>
                <w:b/>
                <w:bCs/>
                <w:sz w:val="18"/>
                <w:szCs w:val="18"/>
                <w:lang w:eastAsia="lv-LV"/>
              </w:rPr>
            </w:pPr>
            <w:r w:rsidRPr="00FD36B6">
              <w:rPr>
                <w:b/>
                <w:bCs/>
                <w:sz w:val="18"/>
                <w:szCs w:val="18"/>
                <w:lang w:eastAsia="lv-LV"/>
              </w:rPr>
              <w:t>2019</w:t>
            </w:r>
          </w:p>
        </w:tc>
        <w:tc>
          <w:tcPr>
            <w:tcW w:w="1942"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FD36B6" w:rsidRPr="00FD36B6" w:rsidRDefault="00FD36B6" w:rsidP="00FD36B6">
            <w:pPr>
              <w:spacing w:after="0"/>
              <w:ind w:firstLine="0"/>
              <w:jc w:val="center"/>
              <w:rPr>
                <w:b/>
                <w:bCs/>
                <w:sz w:val="18"/>
                <w:szCs w:val="18"/>
                <w:lang w:eastAsia="lv-LV"/>
              </w:rPr>
            </w:pPr>
            <w:r w:rsidRPr="00FD36B6">
              <w:rPr>
                <w:b/>
                <w:bCs/>
                <w:sz w:val="18"/>
                <w:szCs w:val="18"/>
                <w:lang w:eastAsia="lv-LV"/>
              </w:rPr>
              <w:t>2020</w:t>
            </w:r>
          </w:p>
        </w:tc>
        <w:tc>
          <w:tcPr>
            <w:tcW w:w="1842"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FD36B6" w:rsidRPr="00FD36B6" w:rsidRDefault="00FD36B6" w:rsidP="00FD36B6">
            <w:pPr>
              <w:spacing w:after="0"/>
              <w:ind w:firstLine="0"/>
              <w:jc w:val="center"/>
              <w:rPr>
                <w:b/>
                <w:bCs/>
                <w:sz w:val="18"/>
                <w:szCs w:val="18"/>
                <w:lang w:eastAsia="lv-LV"/>
              </w:rPr>
            </w:pPr>
            <w:r w:rsidRPr="00FD36B6">
              <w:rPr>
                <w:b/>
                <w:bCs/>
                <w:sz w:val="18"/>
                <w:szCs w:val="18"/>
                <w:lang w:eastAsia="lv-LV"/>
              </w:rPr>
              <w:t>2021</w:t>
            </w:r>
          </w:p>
        </w:tc>
      </w:tr>
      <w:tr w:rsidR="00FD36B6" w:rsidRPr="00FD36B6" w:rsidTr="00DE1399">
        <w:trPr>
          <w:trHeight w:val="219"/>
        </w:trPr>
        <w:tc>
          <w:tcPr>
            <w:tcW w:w="177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FD36B6" w:rsidRPr="00FD36B6" w:rsidRDefault="00FD36B6" w:rsidP="00FD36B6">
            <w:pPr>
              <w:spacing w:after="0"/>
              <w:ind w:firstLine="0"/>
              <w:jc w:val="left"/>
              <w:rPr>
                <w:b/>
                <w:bCs/>
                <w:sz w:val="18"/>
                <w:szCs w:val="18"/>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FD36B6" w:rsidRPr="00FD36B6" w:rsidRDefault="00FD36B6" w:rsidP="00FD36B6">
            <w:pPr>
              <w:spacing w:after="0"/>
              <w:ind w:firstLine="0"/>
              <w:jc w:val="center"/>
              <w:rPr>
                <w:b/>
                <w:bCs/>
                <w:sz w:val="18"/>
                <w:szCs w:val="18"/>
                <w:lang w:eastAsia="lv-LV"/>
              </w:rPr>
            </w:pPr>
            <w:proofErr w:type="spellStart"/>
            <w:r w:rsidRPr="00FD36B6">
              <w:rPr>
                <w:b/>
                <w:bCs/>
                <w:sz w:val="18"/>
                <w:szCs w:val="18"/>
                <w:lang w:eastAsia="lv-LV"/>
              </w:rPr>
              <w:t>milj.</w:t>
            </w:r>
            <w:r w:rsidRPr="00FD36B6">
              <w:rPr>
                <w:b/>
                <w:bCs/>
                <w:i/>
                <w:iCs/>
                <w:sz w:val="18"/>
                <w:szCs w:val="18"/>
                <w:lang w:eastAsia="lv-LV"/>
              </w:rPr>
              <w:t>euro</w:t>
            </w:r>
            <w:proofErr w:type="spellEnd"/>
          </w:p>
        </w:tc>
        <w:tc>
          <w:tcPr>
            <w:tcW w:w="766" w:type="dxa"/>
            <w:tcBorders>
              <w:top w:val="nil"/>
              <w:left w:val="nil"/>
              <w:bottom w:val="single" w:sz="4" w:space="0" w:color="auto"/>
              <w:right w:val="single" w:sz="4" w:space="0" w:color="auto"/>
            </w:tcBorders>
            <w:shd w:val="clear" w:color="auto" w:fill="D9D9D9" w:themeFill="background1" w:themeFillShade="D9"/>
            <w:vAlign w:val="center"/>
            <w:hideMark/>
          </w:tcPr>
          <w:p w:rsidR="00FD36B6" w:rsidRPr="00FD36B6" w:rsidRDefault="00FD36B6" w:rsidP="00FD36B6">
            <w:pPr>
              <w:spacing w:after="0"/>
              <w:ind w:firstLine="0"/>
              <w:jc w:val="center"/>
              <w:rPr>
                <w:b/>
                <w:bCs/>
                <w:sz w:val="18"/>
                <w:szCs w:val="18"/>
                <w:lang w:eastAsia="lv-LV"/>
              </w:rPr>
            </w:pPr>
            <w:r w:rsidRPr="00FD36B6">
              <w:rPr>
                <w:b/>
                <w:bCs/>
                <w:sz w:val="18"/>
                <w:szCs w:val="18"/>
                <w:lang w:eastAsia="lv-LV"/>
              </w:rPr>
              <w:t>% no IKP</w:t>
            </w:r>
          </w:p>
        </w:tc>
        <w:tc>
          <w:tcPr>
            <w:tcW w:w="989" w:type="dxa"/>
            <w:tcBorders>
              <w:top w:val="nil"/>
              <w:left w:val="nil"/>
              <w:bottom w:val="single" w:sz="4" w:space="0" w:color="auto"/>
              <w:right w:val="single" w:sz="4" w:space="0" w:color="auto"/>
            </w:tcBorders>
            <w:shd w:val="clear" w:color="auto" w:fill="D9D9D9" w:themeFill="background1" w:themeFillShade="D9"/>
            <w:vAlign w:val="center"/>
            <w:hideMark/>
          </w:tcPr>
          <w:p w:rsidR="00FD36B6" w:rsidRPr="00FD36B6" w:rsidRDefault="00FD36B6" w:rsidP="00FD36B6">
            <w:pPr>
              <w:spacing w:after="0"/>
              <w:ind w:firstLine="0"/>
              <w:jc w:val="center"/>
              <w:rPr>
                <w:b/>
                <w:bCs/>
                <w:sz w:val="18"/>
                <w:szCs w:val="18"/>
                <w:lang w:eastAsia="lv-LV"/>
              </w:rPr>
            </w:pPr>
            <w:proofErr w:type="spellStart"/>
            <w:r w:rsidRPr="00FD36B6">
              <w:rPr>
                <w:b/>
                <w:bCs/>
                <w:sz w:val="18"/>
                <w:szCs w:val="18"/>
                <w:lang w:eastAsia="lv-LV"/>
              </w:rPr>
              <w:t>milj.</w:t>
            </w:r>
            <w:r w:rsidRPr="00FD36B6">
              <w:rPr>
                <w:b/>
                <w:bCs/>
                <w:i/>
                <w:iCs/>
                <w:sz w:val="18"/>
                <w:szCs w:val="18"/>
                <w:lang w:eastAsia="lv-LV"/>
              </w:rPr>
              <w:t>euro</w:t>
            </w:r>
            <w:proofErr w:type="spellEnd"/>
          </w:p>
        </w:tc>
        <w:tc>
          <w:tcPr>
            <w:tcW w:w="766" w:type="dxa"/>
            <w:tcBorders>
              <w:top w:val="nil"/>
              <w:left w:val="nil"/>
              <w:bottom w:val="single" w:sz="4" w:space="0" w:color="auto"/>
              <w:right w:val="single" w:sz="4" w:space="0" w:color="auto"/>
            </w:tcBorders>
            <w:shd w:val="clear" w:color="auto" w:fill="D9D9D9" w:themeFill="background1" w:themeFillShade="D9"/>
            <w:vAlign w:val="center"/>
            <w:hideMark/>
          </w:tcPr>
          <w:p w:rsidR="00FD36B6" w:rsidRPr="00FD36B6" w:rsidRDefault="00FD36B6" w:rsidP="00FD36B6">
            <w:pPr>
              <w:spacing w:after="0"/>
              <w:ind w:firstLine="0"/>
              <w:jc w:val="center"/>
              <w:rPr>
                <w:b/>
                <w:bCs/>
                <w:sz w:val="18"/>
                <w:szCs w:val="18"/>
                <w:lang w:eastAsia="lv-LV"/>
              </w:rPr>
            </w:pPr>
            <w:r w:rsidRPr="00FD36B6">
              <w:rPr>
                <w:b/>
                <w:bCs/>
                <w:sz w:val="18"/>
                <w:szCs w:val="18"/>
                <w:lang w:eastAsia="lv-LV"/>
              </w:rPr>
              <w:t>% no IKP</w:t>
            </w:r>
          </w:p>
        </w:tc>
        <w:tc>
          <w:tcPr>
            <w:tcW w:w="989" w:type="dxa"/>
            <w:tcBorders>
              <w:top w:val="nil"/>
              <w:left w:val="nil"/>
              <w:bottom w:val="single" w:sz="4" w:space="0" w:color="auto"/>
              <w:right w:val="single" w:sz="4" w:space="0" w:color="auto"/>
            </w:tcBorders>
            <w:shd w:val="clear" w:color="auto" w:fill="D9D9D9" w:themeFill="background1" w:themeFillShade="D9"/>
            <w:vAlign w:val="center"/>
            <w:hideMark/>
          </w:tcPr>
          <w:p w:rsidR="00FD36B6" w:rsidRPr="00FD36B6" w:rsidRDefault="00FD36B6" w:rsidP="00FD36B6">
            <w:pPr>
              <w:spacing w:after="0"/>
              <w:ind w:firstLine="0"/>
              <w:jc w:val="center"/>
              <w:rPr>
                <w:b/>
                <w:bCs/>
                <w:sz w:val="18"/>
                <w:szCs w:val="18"/>
                <w:lang w:eastAsia="lv-LV"/>
              </w:rPr>
            </w:pPr>
            <w:proofErr w:type="spellStart"/>
            <w:r w:rsidRPr="00FD36B6">
              <w:rPr>
                <w:b/>
                <w:bCs/>
                <w:sz w:val="18"/>
                <w:szCs w:val="18"/>
                <w:lang w:eastAsia="lv-LV"/>
              </w:rPr>
              <w:t>milj.</w:t>
            </w:r>
            <w:r w:rsidRPr="00FD36B6">
              <w:rPr>
                <w:b/>
                <w:bCs/>
                <w:i/>
                <w:iCs/>
                <w:sz w:val="18"/>
                <w:szCs w:val="18"/>
                <w:lang w:eastAsia="lv-LV"/>
              </w:rPr>
              <w:t>euro</w:t>
            </w:r>
            <w:proofErr w:type="spellEnd"/>
          </w:p>
        </w:tc>
        <w:tc>
          <w:tcPr>
            <w:tcW w:w="953" w:type="dxa"/>
            <w:tcBorders>
              <w:top w:val="nil"/>
              <w:left w:val="nil"/>
              <w:bottom w:val="single" w:sz="4" w:space="0" w:color="auto"/>
              <w:right w:val="single" w:sz="4" w:space="0" w:color="auto"/>
            </w:tcBorders>
            <w:shd w:val="clear" w:color="auto" w:fill="D9D9D9" w:themeFill="background1" w:themeFillShade="D9"/>
            <w:vAlign w:val="center"/>
            <w:hideMark/>
          </w:tcPr>
          <w:p w:rsidR="00FD36B6" w:rsidRPr="00FD36B6" w:rsidRDefault="00FD36B6" w:rsidP="00FD36B6">
            <w:pPr>
              <w:spacing w:after="0"/>
              <w:ind w:firstLine="0"/>
              <w:jc w:val="center"/>
              <w:rPr>
                <w:b/>
                <w:bCs/>
                <w:sz w:val="18"/>
                <w:szCs w:val="18"/>
                <w:lang w:eastAsia="lv-LV"/>
              </w:rPr>
            </w:pPr>
            <w:r w:rsidRPr="00FD36B6">
              <w:rPr>
                <w:b/>
                <w:bCs/>
                <w:sz w:val="18"/>
                <w:szCs w:val="18"/>
                <w:lang w:eastAsia="lv-LV"/>
              </w:rPr>
              <w:t>% no IKP</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FD36B6" w:rsidRPr="00FD36B6" w:rsidRDefault="00FD36B6" w:rsidP="00FD36B6">
            <w:pPr>
              <w:spacing w:after="0"/>
              <w:ind w:firstLine="0"/>
              <w:jc w:val="center"/>
              <w:rPr>
                <w:b/>
                <w:bCs/>
                <w:sz w:val="18"/>
                <w:szCs w:val="18"/>
                <w:lang w:eastAsia="lv-LV"/>
              </w:rPr>
            </w:pPr>
            <w:proofErr w:type="spellStart"/>
            <w:r w:rsidRPr="00FD36B6">
              <w:rPr>
                <w:b/>
                <w:bCs/>
                <w:sz w:val="18"/>
                <w:szCs w:val="18"/>
                <w:lang w:eastAsia="lv-LV"/>
              </w:rPr>
              <w:t>milj.</w:t>
            </w:r>
            <w:r w:rsidRPr="00FD36B6">
              <w:rPr>
                <w:b/>
                <w:bCs/>
                <w:i/>
                <w:iCs/>
                <w:sz w:val="18"/>
                <w:szCs w:val="18"/>
                <w:lang w:eastAsia="lv-LV"/>
              </w:rPr>
              <w:t>euro</w:t>
            </w:r>
            <w:proofErr w:type="spellEnd"/>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FD36B6" w:rsidRPr="00FD36B6" w:rsidRDefault="00FD36B6" w:rsidP="00FD36B6">
            <w:pPr>
              <w:spacing w:after="0"/>
              <w:ind w:firstLine="0"/>
              <w:jc w:val="center"/>
              <w:rPr>
                <w:b/>
                <w:bCs/>
                <w:sz w:val="18"/>
                <w:szCs w:val="18"/>
                <w:lang w:eastAsia="lv-LV"/>
              </w:rPr>
            </w:pPr>
            <w:r w:rsidRPr="00FD36B6">
              <w:rPr>
                <w:b/>
                <w:bCs/>
                <w:sz w:val="18"/>
                <w:szCs w:val="18"/>
                <w:lang w:eastAsia="lv-LV"/>
              </w:rPr>
              <w:t>% no IKP</w:t>
            </w:r>
          </w:p>
        </w:tc>
      </w:tr>
      <w:tr w:rsidR="00FD36B6" w:rsidRPr="00FD36B6" w:rsidTr="00DE1399">
        <w:trPr>
          <w:trHeight w:val="255"/>
        </w:trPr>
        <w:tc>
          <w:tcPr>
            <w:tcW w:w="1770" w:type="dxa"/>
            <w:vMerge/>
            <w:tcBorders>
              <w:top w:val="single" w:sz="4" w:space="0" w:color="auto"/>
              <w:left w:val="single" w:sz="4" w:space="0" w:color="auto"/>
              <w:bottom w:val="single" w:sz="4" w:space="0" w:color="000000"/>
              <w:right w:val="single" w:sz="4" w:space="0" w:color="auto"/>
            </w:tcBorders>
            <w:vAlign w:val="center"/>
            <w:hideMark/>
          </w:tcPr>
          <w:p w:rsidR="00FD36B6" w:rsidRPr="00FD36B6" w:rsidRDefault="00FD36B6" w:rsidP="00FD36B6">
            <w:pPr>
              <w:spacing w:after="0"/>
              <w:ind w:firstLine="0"/>
              <w:jc w:val="left"/>
              <w:rPr>
                <w:b/>
                <w:bCs/>
                <w:sz w:val="18"/>
                <w:szCs w:val="18"/>
                <w:lang w:eastAsia="lv-LV"/>
              </w:rPr>
            </w:pPr>
          </w:p>
        </w:tc>
        <w:tc>
          <w:tcPr>
            <w:tcW w:w="3513" w:type="dxa"/>
            <w:gridSpan w:val="4"/>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FD36B6" w:rsidRPr="00FD36B6" w:rsidRDefault="00FD36B6" w:rsidP="00FD36B6">
            <w:pPr>
              <w:spacing w:after="0"/>
              <w:ind w:firstLine="0"/>
              <w:jc w:val="center"/>
              <w:rPr>
                <w:sz w:val="18"/>
                <w:szCs w:val="18"/>
                <w:lang w:eastAsia="lv-LV"/>
              </w:rPr>
            </w:pPr>
            <w:r w:rsidRPr="00FD36B6">
              <w:rPr>
                <w:sz w:val="18"/>
                <w:szCs w:val="18"/>
                <w:lang w:eastAsia="lv-LV"/>
              </w:rPr>
              <w:t>fakts</w:t>
            </w:r>
          </w:p>
        </w:tc>
        <w:tc>
          <w:tcPr>
            <w:tcW w:w="1942"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FD36B6" w:rsidRPr="00FD36B6" w:rsidRDefault="00FD36B6" w:rsidP="00FD36B6">
            <w:pPr>
              <w:spacing w:after="0"/>
              <w:ind w:firstLine="0"/>
              <w:jc w:val="center"/>
              <w:rPr>
                <w:sz w:val="18"/>
                <w:szCs w:val="18"/>
                <w:lang w:eastAsia="lv-LV"/>
              </w:rPr>
            </w:pPr>
            <w:r w:rsidRPr="00FD36B6">
              <w:rPr>
                <w:sz w:val="18"/>
                <w:szCs w:val="18"/>
                <w:lang w:eastAsia="lv-LV"/>
              </w:rPr>
              <w:t>prognoze</w:t>
            </w:r>
          </w:p>
        </w:tc>
        <w:tc>
          <w:tcPr>
            <w:tcW w:w="1842"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FD36B6" w:rsidRPr="00FD36B6" w:rsidRDefault="00FD36B6" w:rsidP="00FD36B6">
            <w:pPr>
              <w:spacing w:after="0"/>
              <w:ind w:firstLine="0"/>
              <w:jc w:val="center"/>
              <w:rPr>
                <w:sz w:val="18"/>
                <w:szCs w:val="18"/>
                <w:lang w:eastAsia="lv-LV"/>
              </w:rPr>
            </w:pPr>
            <w:r w:rsidRPr="00FD36B6">
              <w:rPr>
                <w:sz w:val="18"/>
                <w:szCs w:val="18"/>
                <w:lang w:eastAsia="lv-LV"/>
              </w:rPr>
              <w:t>plāns*</w:t>
            </w:r>
          </w:p>
        </w:tc>
      </w:tr>
      <w:tr w:rsidR="00A5674E" w:rsidRPr="00FD36B6" w:rsidTr="00FD36B6">
        <w:trPr>
          <w:trHeight w:val="255"/>
        </w:trPr>
        <w:tc>
          <w:tcPr>
            <w:tcW w:w="1770" w:type="dxa"/>
            <w:tcBorders>
              <w:top w:val="nil"/>
              <w:left w:val="single" w:sz="4" w:space="0" w:color="auto"/>
              <w:bottom w:val="single" w:sz="4" w:space="0" w:color="auto"/>
              <w:right w:val="single" w:sz="4" w:space="0" w:color="auto"/>
            </w:tcBorders>
            <w:shd w:val="clear" w:color="auto" w:fill="auto"/>
            <w:vAlign w:val="center"/>
            <w:hideMark/>
          </w:tcPr>
          <w:p w:rsidR="00A5674E" w:rsidRPr="00FD36B6" w:rsidRDefault="00A5674E" w:rsidP="00A5674E">
            <w:pPr>
              <w:spacing w:after="0"/>
              <w:ind w:firstLine="0"/>
              <w:jc w:val="left"/>
              <w:rPr>
                <w:b/>
                <w:bCs/>
                <w:sz w:val="18"/>
                <w:szCs w:val="18"/>
                <w:lang w:eastAsia="lv-LV"/>
              </w:rPr>
            </w:pPr>
            <w:r w:rsidRPr="00FD36B6">
              <w:rPr>
                <w:b/>
                <w:bCs/>
                <w:sz w:val="18"/>
                <w:szCs w:val="18"/>
                <w:lang w:eastAsia="lv-LV"/>
              </w:rPr>
              <w:t>Netiešie nodokļi:</w:t>
            </w:r>
          </w:p>
        </w:tc>
        <w:tc>
          <w:tcPr>
            <w:tcW w:w="992"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b/>
                <w:sz w:val="18"/>
                <w:szCs w:val="18"/>
              </w:rPr>
            </w:pPr>
            <w:r w:rsidRPr="00FD36B6">
              <w:rPr>
                <w:b/>
                <w:sz w:val="18"/>
                <w:szCs w:val="18"/>
              </w:rPr>
              <w:t>3 659,8</w:t>
            </w:r>
          </w:p>
        </w:tc>
        <w:tc>
          <w:tcPr>
            <w:tcW w:w="766"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b/>
                <w:sz w:val="18"/>
                <w:szCs w:val="18"/>
              </w:rPr>
            </w:pPr>
            <w:r w:rsidRPr="00FD36B6">
              <w:rPr>
                <w:b/>
                <w:sz w:val="18"/>
                <w:szCs w:val="18"/>
              </w:rPr>
              <w:t>12,6%</w:t>
            </w:r>
          </w:p>
        </w:tc>
        <w:tc>
          <w:tcPr>
            <w:tcW w:w="989"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b/>
                <w:sz w:val="18"/>
                <w:szCs w:val="18"/>
              </w:rPr>
            </w:pPr>
            <w:r w:rsidRPr="00FD36B6">
              <w:rPr>
                <w:b/>
                <w:sz w:val="18"/>
                <w:szCs w:val="18"/>
              </w:rPr>
              <w:t>3 883,5</w:t>
            </w:r>
          </w:p>
        </w:tc>
        <w:tc>
          <w:tcPr>
            <w:tcW w:w="766"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b/>
                <w:sz w:val="18"/>
                <w:szCs w:val="18"/>
              </w:rPr>
            </w:pPr>
            <w:r w:rsidRPr="00FD36B6">
              <w:rPr>
                <w:b/>
                <w:sz w:val="18"/>
                <w:szCs w:val="18"/>
              </w:rPr>
              <w:t>12,7%</w:t>
            </w:r>
          </w:p>
        </w:tc>
        <w:tc>
          <w:tcPr>
            <w:tcW w:w="989"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b/>
                <w:sz w:val="18"/>
                <w:szCs w:val="18"/>
              </w:rPr>
            </w:pPr>
            <w:r w:rsidRPr="00FD36B6">
              <w:rPr>
                <w:b/>
                <w:sz w:val="18"/>
                <w:szCs w:val="18"/>
              </w:rPr>
              <w:t>3 715,4</w:t>
            </w:r>
          </w:p>
        </w:tc>
        <w:tc>
          <w:tcPr>
            <w:tcW w:w="953"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b/>
                <w:sz w:val="18"/>
                <w:szCs w:val="18"/>
              </w:rPr>
            </w:pPr>
            <w:r w:rsidRPr="00FD36B6">
              <w:rPr>
                <w:b/>
                <w:sz w:val="18"/>
                <w:szCs w:val="18"/>
              </w:rPr>
              <w:t>13,2%</w:t>
            </w:r>
          </w:p>
        </w:tc>
        <w:tc>
          <w:tcPr>
            <w:tcW w:w="992" w:type="dxa"/>
            <w:tcBorders>
              <w:top w:val="nil"/>
              <w:left w:val="nil"/>
              <w:bottom w:val="single" w:sz="4" w:space="0" w:color="auto"/>
              <w:right w:val="single" w:sz="4" w:space="0" w:color="auto"/>
            </w:tcBorders>
            <w:shd w:val="clear" w:color="auto" w:fill="auto"/>
            <w:vAlign w:val="center"/>
            <w:hideMark/>
          </w:tcPr>
          <w:p w:rsidR="00A5674E" w:rsidRPr="00A5674E" w:rsidRDefault="00A5674E" w:rsidP="00A5674E">
            <w:pPr>
              <w:ind w:firstLine="0"/>
              <w:jc w:val="center"/>
              <w:rPr>
                <w:b/>
                <w:sz w:val="18"/>
              </w:rPr>
            </w:pPr>
            <w:r w:rsidRPr="00A5674E">
              <w:rPr>
                <w:b/>
                <w:sz w:val="18"/>
              </w:rPr>
              <w:t>4 037,4</w:t>
            </w:r>
          </w:p>
        </w:tc>
        <w:tc>
          <w:tcPr>
            <w:tcW w:w="850" w:type="dxa"/>
            <w:tcBorders>
              <w:top w:val="nil"/>
              <w:left w:val="nil"/>
              <w:bottom w:val="single" w:sz="4" w:space="0" w:color="auto"/>
              <w:right w:val="single" w:sz="4" w:space="0" w:color="auto"/>
            </w:tcBorders>
            <w:shd w:val="clear" w:color="auto" w:fill="auto"/>
            <w:vAlign w:val="center"/>
            <w:hideMark/>
          </w:tcPr>
          <w:p w:rsidR="00A5674E" w:rsidRPr="00A5674E" w:rsidRDefault="00A5674E" w:rsidP="00A5674E">
            <w:pPr>
              <w:ind w:firstLine="0"/>
              <w:jc w:val="center"/>
              <w:rPr>
                <w:b/>
                <w:sz w:val="18"/>
              </w:rPr>
            </w:pPr>
            <w:r w:rsidRPr="00A5674E">
              <w:rPr>
                <w:b/>
                <w:sz w:val="18"/>
              </w:rPr>
              <w:t>13,4%</w:t>
            </w:r>
          </w:p>
        </w:tc>
      </w:tr>
      <w:tr w:rsidR="00A5674E" w:rsidRPr="00FD36B6" w:rsidTr="00FD36B6">
        <w:trPr>
          <w:trHeight w:val="510"/>
        </w:trPr>
        <w:tc>
          <w:tcPr>
            <w:tcW w:w="1770" w:type="dxa"/>
            <w:tcBorders>
              <w:top w:val="nil"/>
              <w:left w:val="single" w:sz="4" w:space="0" w:color="auto"/>
              <w:bottom w:val="single" w:sz="4" w:space="0" w:color="auto"/>
              <w:right w:val="single" w:sz="4" w:space="0" w:color="auto"/>
            </w:tcBorders>
            <w:shd w:val="clear" w:color="auto" w:fill="auto"/>
            <w:vAlign w:val="center"/>
            <w:hideMark/>
          </w:tcPr>
          <w:p w:rsidR="00A5674E" w:rsidRPr="00FD36B6" w:rsidRDefault="00A5674E" w:rsidP="00A5674E">
            <w:pPr>
              <w:spacing w:after="0"/>
              <w:ind w:firstLine="0"/>
              <w:jc w:val="left"/>
              <w:rPr>
                <w:sz w:val="18"/>
                <w:szCs w:val="18"/>
                <w:lang w:eastAsia="lv-LV"/>
              </w:rPr>
            </w:pPr>
            <w:r w:rsidRPr="00FD36B6">
              <w:rPr>
                <w:sz w:val="18"/>
                <w:szCs w:val="18"/>
                <w:lang w:eastAsia="lv-LV"/>
              </w:rPr>
              <w:t>Pievienotās vērtības nodoklis</w:t>
            </w:r>
          </w:p>
        </w:tc>
        <w:tc>
          <w:tcPr>
            <w:tcW w:w="992"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2 457,0</w:t>
            </w:r>
          </w:p>
        </w:tc>
        <w:tc>
          <w:tcPr>
            <w:tcW w:w="766"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8,5%</w:t>
            </w:r>
          </w:p>
        </w:tc>
        <w:tc>
          <w:tcPr>
            <w:tcW w:w="989"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2 648,3</w:t>
            </w:r>
          </w:p>
        </w:tc>
        <w:tc>
          <w:tcPr>
            <w:tcW w:w="766"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8,7%</w:t>
            </w:r>
          </w:p>
        </w:tc>
        <w:tc>
          <w:tcPr>
            <w:tcW w:w="989"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2 498,8</w:t>
            </w:r>
          </w:p>
        </w:tc>
        <w:tc>
          <w:tcPr>
            <w:tcW w:w="953"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8,9%</w:t>
            </w:r>
          </w:p>
        </w:tc>
        <w:tc>
          <w:tcPr>
            <w:tcW w:w="992" w:type="dxa"/>
            <w:tcBorders>
              <w:top w:val="nil"/>
              <w:left w:val="nil"/>
              <w:bottom w:val="single" w:sz="4" w:space="0" w:color="auto"/>
              <w:right w:val="single" w:sz="4" w:space="0" w:color="auto"/>
            </w:tcBorders>
            <w:shd w:val="clear" w:color="auto" w:fill="auto"/>
            <w:vAlign w:val="center"/>
            <w:hideMark/>
          </w:tcPr>
          <w:p w:rsidR="00A5674E" w:rsidRPr="00A5674E" w:rsidRDefault="00A5674E" w:rsidP="00A5674E">
            <w:pPr>
              <w:ind w:firstLine="0"/>
              <w:jc w:val="center"/>
              <w:rPr>
                <w:sz w:val="18"/>
              </w:rPr>
            </w:pPr>
            <w:r w:rsidRPr="00A5674E">
              <w:rPr>
                <w:sz w:val="18"/>
              </w:rPr>
              <w:t>2 735,3</w:t>
            </w:r>
          </w:p>
        </w:tc>
        <w:tc>
          <w:tcPr>
            <w:tcW w:w="850" w:type="dxa"/>
            <w:tcBorders>
              <w:top w:val="nil"/>
              <w:left w:val="nil"/>
              <w:bottom w:val="single" w:sz="4" w:space="0" w:color="auto"/>
              <w:right w:val="single" w:sz="4" w:space="0" w:color="auto"/>
            </w:tcBorders>
            <w:shd w:val="clear" w:color="auto" w:fill="auto"/>
            <w:vAlign w:val="center"/>
            <w:hideMark/>
          </w:tcPr>
          <w:p w:rsidR="00A5674E" w:rsidRPr="00A5674E" w:rsidRDefault="00A5674E" w:rsidP="00A5674E">
            <w:pPr>
              <w:ind w:firstLine="0"/>
              <w:jc w:val="center"/>
              <w:rPr>
                <w:sz w:val="18"/>
              </w:rPr>
            </w:pPr>
            <w:r w:rsidRPr="00A5674E">
              <w:rPr>
                <w:sz w:val="18"/>
              </w:rPr>
              <w:t>9,1%</w:t>
            </w:r>
          </w:p>
        </w:tc>
      </w:tr>
      <w:tr w:rsidR="00A5674E" w:rsidRPr="00FD36B6" w:rsidTr="00FD36B6">
        <w:trPr>
          <w:trHeight w:val="255"/>
        </w:trPr>
        <w:tc>
          <w:tcPr>
            <w:tcW w:w="1770" w:type="dxa"/>
            <w:tcBorders>
              <w:top w:val="nil"/>
              <w:left w:val="single" w:sz="4" w:space="0" w:color="auto"/>
              <w:bottom w:val="single" w:sz="4" w:space="0" w:color="auto"/>
              <w:right w:val="single" w:sz="4" w:space="0" w:color="auto"/>
            </w:tcBorders>
            <w:shd w:val="clear" w:color="auto" w:fill="auto"/>
            <w:vAlign w:val="center"/>
            <w:hideMark/>
          </w:tcPr>
          <w:p w:rsidR="00A5674E" w:rsidRPr="00FD36B6" w:rsidRDefault="00A5674E" w:rsidP="00A5674E">
            <w:pPr>
              <w:spacing w:after="0"/>
              <w:ind w:firstLine="0"/>
              <w:jc w:val="left"/>
              <w:rPr>
                <w:sz w:val="18"/>
                <w:szCs w:val="18"/>
                <w:lang w:eastAsia="lv-LV"/>
              </w:rPr>
            </w:pPr>
            <w:r w:rsidRPr="00FD36B6">
              <w:rPr>
                <w:sz w:val="18"/>
                <w:szCs w:val="18"/>
                <w:lang w:eastAsia="lv-LV"/>
              </w:rPr>
              <w:t>Akcīzes nodoklis</w:t>
            </w:r>
          </w:p>
        </w:tc>
        <w:tc>
          <w:tcPr>
            <w:tcW w:w="992"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1 029,2</w:t>
            </w:r>
          </w:p>
        </w:tc>
        <w:tc>
          <w:tcPr>
            <w:tcW w:w="766"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3,5%</w:t>
            </w:r>
          </w:p>
        </w:tc>
        <w:tc>
          <w:tcPr>
            <w:tcW w:w="989"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1 064,1</w:t>
            </w:r>
          </w:p>
        </w:tc>
        <w:tc>
          <w:tcPr>
            <w:tcW w:w="766"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3,5%</w:t>
            </w:r>
          </w:p>
        </w:tc>
        <w:tc>
          <w:tcPr>
            <w:tcW w:w="989"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1 043,0</w:t>
            </w:r>
          </w:p>
        </w:tc>
        <w:tc>
          <w:tcPr>
            <w:tcW w:w="953"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3,7%</w:t>
            </w:r>
          </w:p>
        </w:tc>
        <w:tc>
          <w:tcPr>
            <w:tcW w:w="992" w:type="dxa"/>
            <w:tcBorders>
              <w:top w:val="nil"/>
              <w:left w:val="nil"/>
              <w:bottom w:val="single" w:sz="4" w:space="0" w:color="auto"/>
              <w:right w:val="single" w:sz="4" w:space="0" w:color="auto"/>
            </w:tcBorders>
            <w:shd w:val="clear" w:color="auto" w:fill="auto"/>
            <w:vAlign w:val="center"/>
            <w:hideMark/>
          </w:tcPr>
          <w:p w:rsidR="00A5674E" w:rsidRPr="00A5674E" w:rsidRDefault="00A5674E" w:rsidP="00A5674E">
            <w:pPr>
              <w:ind w:firstLine="0"/>
              <w:jc w:val="center"/>
              <w:rPr>
                <w:sz w:val="18"/>
              </w:rPr>
            </w:pPr>
            <w:r w:rsidRPr="00A5674E">
              <w:rPr>
                <w:sz w:val="18"/>
              </w:rPr>
              <w:t>1 114,5</w:t>
            </w:r>
          </w:p>
        </w:tc>
        <w:tc>
          <w:tcPr>
            <w:tcW w:w="850" w:type="dxa"/>
            <w:tcBorders>
              <w:top w:val="nil"/>
              <w:left w:val="nil"/>
              <w:bottom w:val="single" w:sz="4" w:space="0" w:color="auto"/>
              <w:right w:val="single" w:sz="4" w:space="0" w:color="auto"/>
            </w:tcBorders>
            <w:shd w:val="clear" w:color="auto" w:fill="auto"/>
            <w:vAlign w:val="center"/>
            <w:hideMark/>
          </w:tcPr>
          <w:p w:rsidR="00A5674E" w:rsidRPr="00A5674E" w:rsidRDefault="00A5674E" w:rsidP="00A5674E">
            <w:pPr>
              <w:ind w:firstLine="0"/>
              <w:jc w:val="center"/>
              <w:rPr>
                <w:sz w:val="18"/>
              </w:rPr>
            </w:pPr>
            <w:r w:rsidRPr="00A5674E">
              <w:rPr>
                <w:sz w:val="18"/>
              </w:rPr>
              <w:t>3,7%</w:t>
            </w:r>
          </w:p>
        </w:tc>
      </w:tr>
      <w:tr w:rsidR="00A5674E" w:rsidRPr="00FD36B6" w:rsidTr="00FD36B6">
        <w:trPr>
          <w:trHeight w:val="510"/>
        </w:trPr>
        <w:tc>
          <w:tcPr>
            <w:tcW w:w="1770" w:type="dxa"/>
            <w:tcBorders>
              <w:top w:val="nil"/>
              <w:left w:val="single" w:sz="4" w:space="0" w:color="auto"/>
              <w:bottom w:val="single" w:sz="4" w:space="0" w:color="auto"/>
              <w:right w:val="single" w:sz="4" w:space="0" w:color="auto"/>
            </w:tcBorders>
            <w:shd w:val="clear" w:color="auto" w:fill="auto"/>
            <w:vAlign w:val="center"/>
            <w:hideMark/>
          </w:tcPr>
          <w:p w:rsidR="00A5674E" w:rsidRPr="00FD36B6" w:rsidRDefault="00A5674E" w:rsidP="00A5674E">
            <w:pPr>
              <w:spacing w:after="0"/>
              <w:ind w:firstLine="0"/>
              <w:jc w:val="left"/>
              <w:rPr>
                <w:sz w:val="18"/>
                <w:szCs w:val="18"/>
                <w:lang w:eastAsia="lv-LV"/>
              </w:rPr>
            </w:pPr>
            <w:r w:rsidRPr="00FD36B6">
              <w:rPr>
                <w:sz w:val="18"/>
                <w:szCs w:val="18"/>
                <w:lang w:eastAsia="lv-LV"/>
              </w:rPr>
              <w:t>Transportlīdzekļu ekspluatācijas nodoklis</w:t>
            </w:r>
          </w:p>
        </w:tc>
        <w:tc>
          <w:tcPr>
            <w:tcW w:w="992"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94,3</w:t>
            </w:r>
          </w:p>
        </w:tc>
        <w:tc>
          <w:tcPr>
            <w:tcW w:w="766"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0,3%</w:t>
            </w:r>
          </w:p>
        </w:tc>
        <w:tc>
          <w:tcPr>
            <w:tcW w:w="989"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95,3</w:t>
            </w:r>
          </w:p>
        </w:tc>
        <w:tc>
          <w:tcPr>
            <w:tcW w:w="766"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0,3%</w:t>
            </w:r>
          </w:p>
        </w:tc>
        <w:tc>
          <w:tcPr>
            <w:tcW w:w="989"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96,6</w:t>
            </w:r>
          </w:p>
        </w:tc>
        <w:tc>
          <w:tcPr>
            <w:tcW w:w="953"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0,3%</w:t>
            </w:r>
          </w:p>
        </w:tc>
        <w:tc>
          <w:tcPr>
            <w:tcW w:w="992" w:type="dxa"/>
            <w:tcBorders>
              <w:top w:val="nil"/>
              <w:left w:val="nil"/>
              <w:bottom w:val="single" w:sz="4" w:space="0" w:color="auto"/>
              <w:right w:val="single" w:sz="4" w:space="0" w:color="auto"/>
            </w:tcBorders>
            <w:shd w:val="clear" w:color="auto" w:fill="auto"/>
            <w:vAlign w:val="center"/>
            <w:hideMark/>
          </w:tcPr>
          <w:p w:rsidR="00A5674E" w:rsidRPr="00A5674E" w:rsidRDefault="00A5674E" w:rsidP="00A5674E">
            <w:pPr>
              <w:ind w:firstLine="0"/>
              <w:jc w:val="center"/>
              <w:rPr>
                <w:sz w:val="18"/>
              </w:rPr>
            </w:pPr>
            <w:r w:rsidRPr="00A5674E">
              <w:rPr>
                <w:sz w:val="18"/>
              </w:rPr>
              <w:t>103,7</w:t>
            </w:r>
          </w:p>
        </w:tc>
        <w:tc>
          <w:tcPr>
            <w:tcW w:w="850" w:type="dxa"/>
            <w:tcBorders>
              <w:top w:val="nil"/>
              <w:left w:val="nil"/>
              <w:bottom w:val="single" w:sz="4" w:space="0" w:color="auto"/>
              <w:right w:val="single" w:sz="4" w:space="0" w:color="auto"/>
            </w:tcBorders>
            <w:shd w:val="clear" w:color="auto" w:fill="auto"/>
            <w:vAlign w:val="center"/>
            <w:hideMark/>
          </w:tcPr>
          <w:p w:rsidR="00A5674E" w:rsidRPr="00A5674E" w:rsidRDefault="00A5674E" w:rsidP="00A5674E">
            <w:pPr>
              <w:ind w:firstLine="0"/>
              <w:jc w:val="center"/>
              <w:rPr>
                <w:sz w:val="18"/>
              </w:rPr>
            </w:pPr>
            <w:r w:rsidRPr="00A5674E">
              <w:rPr>
                <w:sz w:val="18"/>
              </w:rPr>
              <w:t>0,4%</w:t>
            </w:r>
          </w:p>
        </w:tc>
      </w:tr>
      <w:tr w:rsidR="00A5674E" w:rsidRPr="00FD36B6" w:rsidTr="00FD36B6">
        <w:trPr>
          <w:trHeight w:val="765"/>
        </w:trPr>
        <w:tc>
          <w:tcPr>
            <w:tcW w:w="1770" w:type="dxa"/>
            <w:tcBorders>
              <w:top w:val="nil"/>
              <w:left w:val="single" w:sz="4" w:space="0" w:color="auto"/>
              <w:bottom w:val="single" w:sz="4" w:space="0" w:color="auto"/>
              <w:right w:val="single" w:sz="4" w:space="0" w:color="auto"/>
            </w:tcBorders>
            <w:shd w:val="clear" w:color="auto" w:fill="auto"/>
            <w:vAlign w:val="center"/>
            <w:hideMark/>
          </w:tcPr>
          <w:p w:rsidR="00A5674E" w:rsidRPr="00FD36B6" w:rsidRDefault="00A5674E" w:rsidP="00A5674E">
            <w:pPr>
              <w:spacing w:after="0"/>
              <w:ind w:firstLine="0"/>
              <w:jc w:val="left"/>
              <w:rPr>
                <w:sz w:val="18"/>
                <w:szCs w:val="18"/>
                <w:lang w:eastAsia="lv-LV"/>
              </w:rPr>
            </w:pPr>
            <w:r w:rsidRPr="00FD36B6">
              <w:rPr>
                <w:sz w:val="18"/>
                <w:szCs w:val="18"/>
                <w:lang w:eastAsia="lv-LV"/>
              </w:rPr>
              <w:t>Uzņēmumu vieglo transportlīdzekļu nodoklis</w:t>
            </w:r>
          </w:p>
        </w:tc>
        <w:tc>
          <w:tcPr>
            <w:tcW w:w="992"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21,5</w:t>
            </w:r>
          </w:p>
        </w:tc>
        <w:tc>
          <w:tcPr>
            <w:tcW w:w="766"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0,1%</w:t>
            </w:r>
          </w:p>
        </w:tc>
        <w:tc>
          <w:tcPr>
            <w:tcW w:w="989"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21,1</w:t>
            </w:r>
          </w:p>
        </w:tc>
        <w:tc>
          <w:tcPr>
            <w:tcW w:w="766"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0,1%</w:t>
            </w:r>
          </w:p>
        </w:tc>
        <w:tc>
          <w:tcPr>
            <w:tcW w:w="989"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21,5</w:t>
            </w:r>
          </w:p>
        </w:tc>
        <w:tc>
          <w:tcPr>
            <w:tcW w:w="953"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0,1%</w:t>
            </w:r>
          </w:p>
        </w:tc>
        <w:tc>
          <w:tcPr>
            <w:tcW w:w="992" w:type="dxa"/>
            <w:tcBorders>
              <w:top w:val="nil"/>
              <w:left w:val="nil"/>
              <w:bottom w:val="single" w:sz="4" w:space="0" w:color="auto"/>
              <w:right w:val="single" w:sz="4" w:space="0" w:color="auto"/>
            </w:tcBorders>
            <w:shd w:val="clear" w:color="auto" w:fill="auto"/>
            <w:vAlign w:val="center"/>
            <w:hideMark/>
          </w:tcPr>
          <w:p w:rsidR="00A5674E" w:rsidRPr="00A5674E" w:rsidRDefault="00A5674E" w:rsidP="00A5674E">
            <w:pPr>
              <w:ind w:firstLine="0"/>
              <w:jc w:val="center"/>
              <w:rPr>
                <w:sz w:val="18"/>
              </w:rPr>
            </w:pPr>
            <w:r w:rsidRPr="00A5674E">
              <w:rPr>
                <w:sz w:val="18"/>
              </w:rPr>
              <w:t>23,2</w:t>
            </w:r>
          </w:p>
        </w:tc>
        <w:tc>
          <w:tcPr>
            <w:tcW w:w="850" w:type="dxa"/>
            <w:tcBorders>
              <w:top w:val="nil"/>
              <w:left w:val="nil"/>
              <w:bottom w:val="single" w:sz="4" w:space="0" w:color="auto"/>
              <w:right w:val="single" w:sz="4" w:space="0" w:color="auto"/>
            </w:tcBorders>
            <w:shd w:val="clear" w:color="auto" w:fill="auto"/>
            <w:vAlign w:val="center"/>
            <w:hideMark/>
          </w:tcPr>
          <w:p w:rsidR="00A5674E" w:rsidRPr="00A5674E" w:rsidRDefault="00A5674E" w:rsidP="00A5674E">
            <w:pPr>
              <w:ind w:firstLine="0"/>
              <w:jc w:val="center"/>
              <w:rPr>
                <w:sz w:val="18"/>
              </w:rPr>
            </w:pPr>
            <w:r w:rsidRPr="00A5674E">
              <w:rPr>
                <w:sz w:val="18"/>
              </w:rPr>
              <w:t>0,1%</w:t>
            </w:r>
          </w:p>
        </w:tc>
      </w:tr>
      <w:tr w:rsidR="00A5674E" w:rsidRPr="00FD36B6" w:rsidTr="00FD36B6">
        <w:trPr>
          <w:trHeight w:val="510"/>
        </w:trPr>
        <w:tc>
          <w:tcPr>
            <w:tcW w:w="1770" w:type="dxa"/>
            <w:tcBorders>
              <w:top w:val="nil"/>
              <w:left w:val="single" w:sz="4" w:space="0" w:color="auto"/>
              <w:bottom w:val="single" w:sz="4" w:space="0" w:color="auto"/>
              <w:right w:val="single" w:sz="4" w:space="0" w:color="auto"/>
            </w:tcBorders>
            <w:shd w:val="clear" w:color="auto" w:fill="auto"/>
            <w:vAlign w:val="center"/>
            <w:hideMark/>
          </w:tcPr>
          <w:p w:rsidR="00A5674E" w:rsidRPr="00FD36B6" w:rsidRDefault="00A5674E" w:rsidP="00A5674E">
            <w:pPr>
              <w:spacing w:after="0"/>
              <w:ind w:firstLine="0"/>
              <w:jc w:val="left"/>
              <w:rPr>
                <w:sz w:val="18"/>
                <w:szCs w:val="18"/>
                <w:lang w:eastAsia="lv-LV"/>
              </w:rPr>
            </w:pPr>
            <w:r w:rsidRPr="00FD36B6">
              <w:rPr>
                <w:sz w:val="18"/>
                <w:szCs w:val="18"/>
                <w:lang w:eastAsia="lv-LV"/>
              </w:rPr>
              <w:t>Elektroenerģijas nodoklis</w:t>
            </w:r>
          </w:p>
        </w:tc>
        <w:tc>
          <w:tcPr>
            <w:tcW w:w="992"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5,0</w:t>
            </w:r>
          </w:p>
        </w:tc>
        <w:tc>
          <w:tcPr>
            <w:tcW w:w="766"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0,0%</w:t>
            </w:r>
          </w:p>
        </w:tc>
        <w:tc>
          <w:tcPr>
            <w:tcW w:w="989"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5,0</w:t>
            </w:r>
          </w:p>
        </w:tc>
        <w:tc>
          <w:tcPr>
            <w:tcW w:w="766"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0,0%</w:t>
            </w:r>
          </w:p>
        </w:tc>
        <w:tc>
          <w:tcPr>
            <w:tcW w:w="989"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4,8</w:t>
            </w:r>
          </w:p>
        </w:tc>
        <w:tc>
          <w:tcPr>
            <w:tcW w:w="953"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A5674E" w:rsidRPr="00A5674E" w:rsidRDefault="00A5674E" w:rsidP="00A5674E">
            <w:pPr>
              <w:ind w:firstLine="0"/>
              <w:jc w:val="center"/>
              <w:rPr>
                <w:sz w:val="18"/>
              </w:rPr>
            </w:pPr>
            <w:r w:rsidRPr="00A5674E">
              <w:rPr>
                <w:sz w:val="18"/>
              </w:rPr>
              <w:t>4,8</w:t>
            </w:r>
          </w:p>
        </w:tc>
        <w:tc>
          <w:tcPr>
            <w:tcW w:w="850" w:type="dxa"/>
            <w:tcBorders>
              <w:top w:val="nil"/>
              <w:left w:val="nil"/>
              <w:bottom w:val="single" w:sz="4" w:space="0" w:color="auto"/>
              <w:right w:val="single" w:sz="4" w:space="0" w:color="auto"/>
            </w:tcBorders>
            <w:shd w:val="clear" w:color="auto" w:fill="auto"/>
            <w:vAlign w:val="center"/>
            <w:hideMark/>
          </w:tcPr>
          <w:p w:rsidR="00A5674E" w:rsidRPr="00A5674E" w:rsidRDefault="00A5674E" w:rsidP="00A5674E">
            <w:pPr>
              <w:ind w:firstLine="0"/>
              <w:jc w:val="center"/>
              <w:rPr>
                <w:sz w:val="18"/>
              </w:rPr>
            </w:pPr>
            <w:r w:rsidRPr="00A5674E">
              <w:rPr>
                <w:sz w:val="18"/>
              </w:rPr>
              <w:t>0,0%</w:t>
            </w:r>
          </w:p>
        </w:tc>
      </w:tr>
      <w:tr w:rsidR="00A5674E" w:rsidRPr="00FD36B6" w:rsidTr="00FD36B6">
        <w:trPr>
          <w:trHeight w:val="255"/>
        </w:trPr>
        <w:tc>
          <w:tcPr>
            <w:tcW w:w="1770" w:type="dxa"/>
            <w:tcBorders>
              <w:top w:val="nil"/>
              <w:left w:val="single" w:sz="4" w:space="0" w:color="auto"/>
              <w:bottom w:val="single" w:sz="4" w:space="0" w:color="auto"/>
              <w:right w:val="single" w:sz="4" w:space="0" w:color="auto"/>
            </w:tcBorders>
            <w:shd w:val="clear" w:color="auto" w:fill="auto"/>
            <w:vAlign w:val="center"/>
            <w:hideMark/>
          </w:tcPr>
          <w:p w:rsidR="00A5674E" w:rsidRPr="00FD36B6" w:rsidRDefault="00A5674E" w:rsidP="00A5674E">
            <w:pPr>
              <w:spacing w:after="0"/>
              <w:ind w:firstLine="0"/>
              <w:jc w:val="left"/>
              <w:rPr>
                <w:sz w:val="18"/>
                <w:szCs w:val="18"/>
                <w:lang w:eastAsia="lv-LV"/>
              </w:rPr>
            </w:pPr>
            <w:r w:rsidRPr="00FD36B6">
              <w:rPr>
                <w:sz w:val="18"/>
                <w:szCs w:val="18"/>
                <w:lang w:eastAsia="lv-LV"/>
              </w:rPr>
              <w:t>Muitas nodoklis</w:t>
            </w:r>
          </w:p>
        </w:tc>
        <w:tc>
          <w:tcPr>
            <w:tcW w:w="992"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52,8</w:t>
            </w:r>
          </w:p>
        </w:tc>
        <w:tc>
          <w:tcPr>
            <w:tcW w:w="766"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0,2%</w:t>
            </w:r>
          </w:p>
        </w:tc>
        <w:tc>
          <w:tcPr>
            <w:tcW w:w="989"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49,7</w:t>
            </w:r>
          </w:p>
        </w:tc>
        <w:tc>
          <w:tcPr>
            <w:tcW w:w="766"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0,2%</w:t>
            </w:r>
          </w:p>
        </w:tc>
        <w:tc>
          <w:tcPr>
            <w:tcW w:w="989"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50,7</w:t>
            </w:r>
          </w:p>
        </w:tc>
        <w:tc>
          <w:tcPr>
            <w:tcW w:w="953" w:type="dxa"/>
            <w:tcBorders>
              <w:top w:val="nil"/>
              <w:left w:val="nil"/>
              <w:bottom w:val="single" w:sz="4" w:space="0" w:color="auto"/>
              <w:right w:val="single" w:sz="4" w:space="0" w:color="auto"/>
            </w:tcBorders>
            <w:shd w:val="clear" w:color="auto" w:fill="auto"/>
            <w:vAlign w:val="center"/>
            <w:hideMark/>
          </w:tcPr>
          <w:p w:rsidR="00A5674E" w:rsidRPr="00FD36B6" w:rsidRDefault="00A5674E" w:rsidP="00A5674E">
            <w:pPr>
              <w:ind w:firstLine="0"/>
              <w:jc w:val="center"/>
              <w:rPr>
                <w:sz w:val="18"/>
                <w:szCs w:val="18"/>
              </w:rPr>
            </w:pPr>
            <w:r w:rsidRPr="00FD36B6">
              <w:rPr>
                <w:sz w:val="18"/>
                <w:szCs w:val="18"/>
              </w:rPr>
              <w:t>0,2%</w:t>
            </w:r>
          </w:p>
        </w:tc>
        <w:tc>
          <w:tcPr>
            <w:tcW w:w="992" w:type="dxa"/>
            <w:tcBorders>
              <w:top w:val="nil"/>
              <w:left w:val="nil"/>
              <w:bottom w:val="single" w:sz="4" w:space="0" w:color="auto"/>
              <w:right w:val="single" w:sz="4" w:space="0" w:color="auto"/>
            </w:tcBorders>
            <w:shd w:val="clear" w:color="auto" w:fill="auto"/>
            <w:vAlign w:val="center"/>
            <w:hideMark/>
          </w:tcPr>
          <w:p w:rsidR="00A5674E" w:rsidRPr="00A5674E" w:rsidRDefault="00A5674E" w:rsidP="00A5674E">
            <w:pPr>
              <w:ind w:firstLine="0"/>
              <w:jc w:val="center"/>
              <w:rPr>
                <w:sz w:val="18"/>
              </w:rPr>
            </w:pPr>
            <w:r w:rsidRPr="00A5674E">
              <w:rPr>
                <w:sz w:val="18"/>
              </w:rPr>
              <w:t>55,9</w:t>
            </w:r>
          </w:p>
        </w:tc>
        <w:tc>
          <w:tcPr>
            <w:tcW w:w="850" w:type="dxa"/>
            <w:tcBorders>
              <w:top w:val="nil"/>
              <w:left w:val="nil"/>
              <w:bottom w:val="single" w:sz="4" w:space="0" w:color="auto"/>
              <w:right w:val="single" w:sz="4" w:space="0" w:color="auto"/>
            </w:tcBorders>
            <w:shd w:val="clear" w:color="auto" w:fill="auto"/>
            <w:vAlign w:val="center"/>
            <w:hideMark/>
          </w:tcPr>
          <w:p w:rsidR="00A5674E" w:rsidRPr="00A5674E" w:rsidRDefault="00A5674E" w:rsidP="00A5674E">
            <w:pPr>
              <w:ind w:firstLine="0"/>
              <w:jc w:val="center"/>
              <w:rPr>
                <w:sz w:val="18"/>
              </w:rPr>
            </w:pPr>
            <w:r w:rsidRPr="00A5674E">
              <w:rPr>
                <w:sz w:val="18"/>
              </w:rPr>
              <w:t>0,2%</w:t>
            </w:r>
          </w:p>
        </w:tc>
      </w:tr>
    </w:tbl>
    <w:p w:rsidR="00FD36B6" w:rsidRPr="00FD36B6" w:rsidRDefault="00FD36B6" w:rsidP="00FD36B6">
      <w:pPr>
        <w:spacing w:before="40" w:after="0"/>
        <w:ind w:hanging="11"/>
        <w:jc w:val="left"/>
        <w:rPr>
          <w:sz w:val="20"/>
        </w:rPr>
      </w:pPr>
      <w:r w:rsidRPr="00FD36B6">
        <w:rPr>
          <w:sz w:val="20"/>
        </w:rPr>
        <w:t>*saskaņā ar likumprojektu “Par valsts budžetu 2021.gadam”</w:t>
      </w:r>
    </w:p>
    <w:p w:rsidR="00FD36B6" w:rsidRPr="00FD36B6" w:rsidRDefault="00FD36B6" w:rsidP="00FD36B6">
      <w:pPr>
        <w:spacing w:before="120"/>
      </w:pPr>
      <w:r w:rsidRPr="00A10C59">
        <w:t>2020.</w:t>
      </w:r>
      <w:r>
        <w:t xml:space="preserve"> </w:t>
      </w:r>
      <w:r w:rsidRPr="00A10C59">
        <w:t xml:space="preserve">gada netiešo nodokļu ieņēmumu īpatsvars </w:t>
      </w:r>
      <w:r>
        <w:t>IKP</w:t>
      </w:r>
      <w:r w:rsidRPr="00A10C59">
        <w:t xml:space="preserve"> tiek prognozēts 13,2%, savukārt 2021.</w:t>
      </w:r>
      <w:r>
        <w:t xml:space="preserve"> </w:t>
      </w:r>
      <w:r w:rsidRPr="00A10C59">
        <w:t>gadā tiek plānots, ka to īpatsvars palielināsies par 0,</w:t>
      </w:r>
      <w:r w:rsidR="00A5674E">
        <w:t>2</w:t>
      </w:r>
      <w:r w:rsidRPr="00A10C59">
        <w:t xml:space="preserve"> procentpunktiem. Kopējo īpatsvara palielinājumu </w:t>
      </w:r>
      <w:r>
        <w:t>IKP</w:t>
      </w:r>
      <w:r w:rsidRPr="00A10C59">
        <w:t xml:space="preserve"> ietekmēs pievienotās vērtības nodokļa un akcīzes nodokļa ieņēmumu īpatsvara palielinājums.</w:t>
      </w:r>
    </w:p>
    <w:p w:rsidR="00FD36B6" w:rsidRPr="00A94376" w:rsidRDefault="00FD36B6" w:rsidP="00FD36B6">
      <w:pPr>
        <w:pStyle w:val="H4"/>
        <w:spacing w:before="120"/>
      </w:pPr>
      <w:r w:rsidRPr="0069694D">
        <w:t>Pievienotās vērtības nodoklis</w:t>
      </w:r>
    </w:p>
    <w:p w:rsidR="00FD36B6" w:rsidRPr="0069694D" w:rsidRDefault="00FD36B6" w:rsidP="00FD36B6">
      <w:pPr>
        <w:spacing w:before="120"/>
        <w:rPr>
          <w:color w:val="000000" w:themeColor="text1"/>
        </w:rPr>
      </w:pPr>
      <w:r w:rsidRPr="0069694D">
        <w:rPr>
          <w:color w:val="000000" w:themeColor="text1"/>
        </w:rPr>
        <w:t>Pievienotās vērtības nodokļa</w:t>
      </w:r>
      <w:r w:rsidR="005E0381">
        <w:rPr>
          <w:color w:val="000000" w:themeColor="text1"/>
        </w:rPr>
        <w:t xml:space="preserve"> (turpmāk – PVN)</w:t>
      </w:r>
      <w:r w:rsidRPr="0069694D">
        <w:rPr>
          <w:color w:val="000000" w:themeColor="text1"/>
        </w:rPr>
        <w:t xml:space="preserve"> ieņēmumi ir lielākais valsts pamatbudžeta nodokļu ieņēmumu avots, kas 20</w:t>
      </w:r>
      <w:r>
        <w:rPr>
          <w:color w:val="000000" w:themeColor="text1"/>
        </w:rPr>
        <w:t>20</w:t>
      </w:r>
      <w:r w:rsidRPr="0069694D">
        <w:rPr>
          <w:color w:val="000000" w:themeColor="text1"/>
        </w:rPr>
        <w:t>.</w:t>
      </w:r>
      <w:r>
        <w:rPr>
          <w:color w:val="000000" w:themeColor="text1"/>
        </w:rPr>
        <w:t xml:space="preserve"> </w:t>
      </w:r>
      <w:r w:rsidRPr="0069694D">
        <w:rPr>
          <w:color w:val="000000" w:themeColor="text1"/>
        </w:rPr>
        <w:t xml:space="preserve">gada sešos mēnešos veidoja </w:t>
      </w:r>
      <w:r>
        <w:rPr>
          <w:color w:val="000000" w:themeColor="text1"/>
        </w:rPr>
        <w:t>54,8</w:t>
      </w:r>
      <w:r w:rsidRPr="0069694D">
        <w:rPr>
          <w:color w:val="000000" w:themeColor="text1"/>
        </w:rPr>
        <w:t>% no valsts pamatbudžeta nodokļu ieņēmumiem.</w:t>
      </w:r>
    </w:p>
    <w:p w:rsidR="00FD36B6" w:rsidRPr="0069694D" w:rsidRDefault="005E0381" w:rsidP="00FD36B6">
      <w:pPr>
        <w:spacing w:before="120"/>
        <w:rPr>
          <w:color w:val="000000" w:themeColor="text1"/>
        </w:rPr>
      </w:pPr>
      <w:r>
        <w:rPr>
          <w:color w:val="000000" w:themeColor="text1"/>
        </w:rPr>
        <w:t>PVN</w:t>
      </w:r>
      <w:r w:rsidR="00FD36B6" w:rsidRPr="0069694D">
        <w:rPr>
          <w:color w:val="000000" w:themeColor="text1"/>
        </w:rPr>
        <w:t xml:space="preserve"> ieņēmumi </w:t>
      </w:r>
      <w:r w:rsidR="00FD36B6">
        <w:rPr>
          <w:color w:val="000000" w:themeColor="text1"/>
        </w:rPr>
        <w:t>2020</w:t>
      </w:r>
      <w:r w:rsidR="00FD36B6" w:rsidRPr="0069694D">
        <w:rPr>
          <w:color w:val="000000" w:themeColor="text1"/>
        </w:rPr>
        <w:t>.</w:t>
      </w:r>
      <w:r w:rsidR="00FD36B6">
        <w:rPr>
          <w:color w:val="000000" w:themeColor="text1"/>
        </w:rPr>
        <w:t xml:space="preserve"> </w:t>
      </w:r>
      <w:r w:rsidR="00FD36B6" w:rsidRPr="0069694D">
        <w:rPr>
          <w:color w:val="000000" w:themeColor="text1"/>
        </w:rPr>
        <w:t xml:space="preserve">gada sešos mēnešos bija </w:t>
      </w:r>
      <w:r w:rsidR="00FD36B6">
        <w:rPr>
          <w:color w:val="000000" w:themeColor="text1"/>
        </w:rPr>
        <w:t>1 128,6</w:t>
      </w:r>
      <w:r w:rsidR="00FD36B6" w:rsidRPr="0069694D">
        <w:rPr>
          <w:color w:val="000000" w:themeColor="text1"/>
        </w:rPr>
        <w:t> milj. </w:t>
      </w:r>
      <w:proofErr w:type="spellStart"/>
      <w:r w:rsidR="00FD36B6" w:rsidRPr="0069694D">
        <w:rPr>
          <w:i/>
          <w:color w:val="000000" w:themeColor="text1"/>
        </w:rPr>
        <w:t>euro</w:t>
      </w:r>
      <w:proofErr w:type="spellEnd"/>
      <w:r w:rsidR="00FD36B6" w:rsidRPr="0069694D">
        <w:rPr>
          <w:color w:val="000000" w:themeColor="text1"/>
        </w:rPr>
        <w:t xml:space="preserve">, kas salīdzinājumā ar </w:t>
      </w:r>
      <w:r w:rsidR="00FD36B6">
        <w:rPr>
          <w:color w:val="000000" w:themeColor="text1"/>
        </w:rPr>
        <w:t>2019</w:t>
      </w:r>
      <w:r w:rsidR="00FD36B6" w:rsidRPr="0069694D">
        <w:rPr>
          <w:color w:val="000000" w:themeColor="text1"/>
        </w:rPr>
        <w:t>.</w:t>
      </w:r>
      <w:r w:rsidR="00FD36B6">
        <w:rPr>
          <w:color w:val="000000" w:themeColor="text1"/>
        </w:rPr>
        <w:t xml:space="preserve"> </w:t>
      </w:r>
      <w:r w:rsidR="00FD36B6" w:rsidRPr="0069694D">
        <w:rPr>
          <w:color w:val="000000" w:themeColor="text1"/>
        </w:rPr>
        <w:t xml:space="preserve">gada pirmo pusgadu ir par </w:t>
      </w:r>
      <w:r w:rsidR="00FD36B6">
        <w:rPr>
          <w:color w:val="000000" w:themeColor="text1"/>
        </w:rPr>
        <w:t>109,6</w:t>
      </w:r>
      <w:r w:rsidR="00FD36B6" w:rsidRPr="0069694D">
        <w:rPr>
          <w:color w:val="000000" w:themeColor="text1"/>
        </w:rPr>
        <w:t> milj. </w:t>
      </w:r>
      <w:proofErr w:type="spellStart"/>
      <w:r w:rsidR="00FD36B6" w:rsidRPr="0069694D">
        <w:rPr>
          <w:i/>
          <w:color w:val="000000" w:themeColor="text1"/>
        </w:rPr>
        <w:t>euro</w:t>
      </w:r>
      <w:proofErr w:type="spellEnd"/>
      <w:r w:rsidR="00FD36B6" w:rsidRPr="0069694D">
        <w:rPr>
          <w:color w:val="000000" w:themeColor="text1"/>
        </w:rPr>
        <w:t xml:space="preserve"> jeb </w:t>
      </w:r>
      <w:r w:rsidR="00FD36B6" w:rsidRPr="004350DB">
        <w:rPr>
          <w:color w:val="000000" w:themeColor="text1"/>
        </w:rPr>
        <w:t>8,8% mazāk. Tāpat arī 2020.</w:t>
      </w:r>
      <w:r w:rsidR="00FD36B6">
        <w:rPr>
          <w:color w:val="000000" w:themeColor="text1"/>
        </w:rPr>
        <w:t xml:space="preserve"> </w:t>
      </w:r>
      <w:r w:rsidR="00FD36B6" w:rsidRPr="004350DB">
        <w:rPr>
          <w:color w:val="000000" w:themeColor="text1"/>
        </w:rPr>
        <w:t xml:space="preserve">gada sešu mēnešu izpilde par </w:t>
      </w:r>
      <w:r w:rsidR="00FD36B6" w:rsidRPr="00F649A4">
        <w:rPr>
          <w:color w:val="000000" w:themeColor="text1"/>
        </w:rPr>
        <w:t>196,4</w:t>
      </w:r>
      <w:r w:rsidR="00FD36B6">
        <w:rPr>
          <w:color w:val="000000" w:themeColor="text1"/>
        </w:rPr>
        <w:t> </w:t>
      </w:r>
      <w:r w:rsidR="00FD36B6" w:rsidRPr="004350DB">
        <w:rPr>
          <w:color w:val="000000" w:themeColor="text1"/>
        </w:rPr>
        <w:t xml:space="preserve">milj. </w:t>
      </w:r>
      <w:proofErr w:type="spellStart"/>
      <w:r w:rsidR="00FD36B6" w:rsidRPr="004350DB">
        <w:rPr>
          <w:i/>
          <w:color w:val="000000" w:themeColor="text1"/>
        </w:rPr>
        <w:t>euro</w:t>
      </w:r>
      <w:proofErr w:type="spellEnd"/>
      <w:r w:rsidR="00FD36B6" w:rsidRPr="004350DB">
        <w:rPr>
          <w:color w:val="000000" w:themeColor="text1"/>
        </w:rPr>
        <w:t xml:space="preserve"> jeb </w:t>
      </w:r>
      <w:r w:rsidR="00FD36B6" w:rsidRPr="00F649A4">
        <w:rPr>
          <w:color w:val="000000" w:themeColor="text1"/>
        </w:rPr>
        <w:t>14,8</w:t>
      </w:r>
      <w:r w:rsidR="00FD36B6" w:rsidRPr="004350DB">
        <w:rPr>
          <w:color w:val="000000" w:themeColor="text1"/>
        </w:rPr>
        <w:t xml:space="preserve">% </w:t>
      </w:r>
      <w:r w:rsidR="00FD36B6" w:rsidRPr="00F649A4">
        <w:rPr>
          <w:color w:val="000000" w:themeColor="text1"/>
        </w:rPr>
        <w:t>atpaliek no</w:t>
      </w:r>
      <w:r w:rsidR="00FD36B6" w:rsidRPr="004350DB">
        <w:rPr>
          <w:color w:val="000000" w:themeColor="text1"/>
        </w:rPr>
        <w:t xml:space="preserve"> plānot</w:t>
      </w:r>
      <w:r w:rsidR="00FD36B6">
        <w:rPr>
          <w:color w:val="000000" w:themeColor="text1"/>
        </w:rPr>
        <w:t>ā</w:t>
      </w:r>
      <w:r w:rsidR="00FD36B6" w:rsidRPr="004350DB">
        <w:rPr>
          <w:color w:val="000000" w:themeColor="text1"/>
        </w:rPr>
        <w:t>, l</w:t>
      </w:r>
      <w:r w:rsidR="00FD36B6">
        <w:rPr>
          <w:color w:val="000000" w:themeColor="text1"/>
        </w:rPr>
        <w:t xml:space="preserve">īdz ar to 2020. </w:t>
      </w:r>
      <w:r w:rsidR="00FD36B6" w:rsidRPr="004350DB">
        <w:rPr>
          <w:color w:val="000000" w:themeColor="text1"/>
        </w:rPr>
        <w:t>gada pievienotās vērtības nodokļa ieņēmumu</w:t>
      </w:r>
      <w:r w:rsidR="00FD36B6">
        <w:rPr>
          <w:color w:val="000000" w:themeColor="text1"/>
        </w:rPr>
        <w:t xml:space="preserve"> prognoze</w:t>
      </w:r>
      <w:r w:rsidR="00FD36B6" w:rsidRPr="00EB3B66">
        <w:rPr>
          <w:color w:val="000000" w:themeColor="text1"/>
        </w:rPr>
        <w:t xml:space="preserve"> </w:t>
      </w:r>
      <w:r w:rsidR="00FD36B6">
        <w:rPr>
          <w:color w:val="000000" w:themeColor="text1"/>
        </w:rPr>
        <w:t>tika</w:t>
      </w:r>
      <w:r w:rsidR="00FD36B6" w:rsidRPr="00EB3B66">
        <w:rPr>
          <w:color w:val="000000" w:themeColor="text1"/>
        </w:rPr>
        <w:t xml:space="preserve"> </w:t>
      </w:r>
      <w:r w:rsidR="00FD36B6">
        <w:rPr>
          <w:color w:val="000000" w:themeColor="text1"/>
        </w:rPr>
        <w:t>samazināta par 386,1 milj. </w:t>
      </w:r>
      <w:proofErr w:type="spellStart"/>
      <w:r w:rsidR="00FD36B6" w:rsidRPr="00C3356E">
        <w:rPr>
          <w:i/>
          <w:color w:val="000000" w:themeColor="text1"/>
        </w:rPr>
        <w:t>euro</w:t>
      </w:r>
      <w:proofErr w:type="spellEnd"/>
      <w:r w:rsidR="00FD36B6" w:rsidRPr="0069694D">
        <w:rPr>
          <w:color w:val="000000" w:themeColor="text1"/>
        </w:rPr>
        <w:t>.</w:t>
      </w:r>
    </w:p>
    <w:p w:rsidR="00FD36B6" w:rsidRPr="00F649A4" w:rsidRDefault="00FD36B6" w:rsidP="00FD36B6">
      <w:pPr>
        <w:spacing w:before="120"/>
        <w:ind w:firstLine="720"/>
        <w:rPr>
          <w:szCs w:val="24"/>
        </w:rPr>
      </w:pPr>
      <w:r w:rsidRPr="00F649A4">
        <w:rPr>
          <w:bCs/>
        </w:rPr>
        <w:t xml:space="preserve">Kopš marta </w:t>
      </w:r>
      <w:r w:rsidR="005E0381">
        <w:rPr>
          <w:color w:val="000000" w:themeColor="text1"/>
        </w:rPr>
        <w:t>PVN</w:t>
      </w:r>
      <w:r w:rsidRPr="005F1B50">
        <w:rPr>
          <w:color w:val="000000" w:themeColor="text1"/>
        </w:rPr>
        <w:t xml:space="preserve"> </w:t>
      </w:r>
      <w:r w:rsidRPr="00F649A4">
        <w:rPr>
          <w:bCs/>
        </w:rPr>
        <w:t>ieņēmumu plāna neizpildē atspoguļojas ekonomikas sabremzēšanās, ko noteicis ārkārtas stāvoklis valstī Covid</w:t>
      </w:r>
      <w:r>
        <w:rPr>
          <w:bCs/>
        </w:rPr>
        <w:noBreakHyphen/>
      </w:r>
      <w:r w:rsidRPr="00F649A4">
        <w:rPr>
          <w:bCs/>
        </w:rPr>
        <w:t xml:space="preserve">19 krīzes rezultātā, kā arī </w:t>
      </w:r>
      <w:r w:rsidR="005E0381">
        <w:rPr>
          <w:color w:val="000000" w:themeColor="text1"/>
        </w:rPr>
        <w:t>PVN</w:t>
      </w:r>
      <w:r w:rsidRPr="005F1B50">
        <w:rPr>
          <w:color w:val="000000" w:themeColor="text1"/>
        </w:rPr>
        <w:t xml:space="preserve"> </w:t>
      </w:r>
      <w:r w:rsidRPr="00F649A4">
        <w:rPr>
          <w:bCs/>
        </w:rPr>
        <w:t>ieņēmumus ietekmējošie atbalsta pasākumi:</w:t>
      </w:r>
      <w:r>
        <w:rPr>
          <w:bCs/>
        </w:rPr>
        <w:t xml:space="preserve"> </w:t>
      </w:r>
      <w:r w:rsidRPr="00F649A4">
        <w:rPr>
          <w:szCs w:val="24"/>
        </w:rPr>
        <w:t xml:space="preserve">nodokļu samaksas termiņa pagarinājumi un </w:t>
      </w:r>
      <w:r w:rsidR="005E0381">
        <w:rPr>
          <w:szCs w:val="24"/>
        </w:rPr>
        <w:t>PVN</w:t>
      </w:r>
      <w:r w:rsidRPr="00F649A4">
        <w:rPr>
          <w:szCs w:val="24"/>
        </w:rPr>
        <w:t xml:space="preserve"> pārmaksas atmaksa </w:t>
      </w:r>
      <w:r w:rsidRPr="005F1B50">
        <w:rPr>
          <w:szCs w:val="24"/>
        </w:rPr>
        <w:t>30 dienu laikā</w:t>
      </w:r>
      <w:r w:rsidRPr="00F649A4">
        <w:rPr>
          <w:szCs w:val="24"/>
        </w:rPr>
        <w:t>.</w:t>
      </w:r>
    </w:p>
    <w:p w:rsidR="00FD36B6" w:rsidRPr="0069694D" w:rsidRDefault="005E0381" w:rsidP="00FD36B6">
      <w:pPr>
        <w:spacing w:before="120"/>
        <w:rPr>
          <w:bCs/>
          <w:color w:val="000000" w:themeColor="text1"/>
          <w:szCs w:val="24"/>
        </w:rPr>
      </w:pPr>
      <w:r>
        <w:rPr>
          <w:color w:val="000000" w:themeColor="text1"/>
        </w:rPr>
        <w:lastRenderedPageBreak/>
        <w:t>PVN</w:t>
      </w:r>
      <w:r w:rsidR="00FD36B6" w:rsidRPr="0069694D">
        <w:rPr>
          <w:color w:val="000000" w:themeColor="text1"/>
        </w:rPr>
        <w:t xml:space="preserve"> bruto iemaksas </w:t>
      </w:r>
      <w:r w:rsidR="00FD36B6">
        <w:rPr>
          <w:color w:val="000000" w:themeColor="text1"/>
        </w:rPr>
        <w:t>2020</w:t>
      </w:r>
      <w:r w:rsidR="00FD36B6" w:rsidRPr="0069694D">
        <w:rPr>
          <w:color w:val="000000" w:themeColor="text1"/>
        </w:rPr>
        <w:t>.</w:t>
      </w:r>
      <w:r w:rsidR="00FD36B6">
        <w:rPr>
          <w:color w:val="000000" w:themeColor="text1"/>
        </w:rPr>
        <w:t xml:space="preserve"> </w:t>
      </w:r>
      <w:r w:rsidR="00FD36B6" w:rsidRPr="0069694D">
        <w:rPr>
          <w:color w:val="000000" w:themeColor="text1"/>
        </w:rPr>
        <w:t xml:space="preserve">gada sešos mēnešos bija </w:t>
      </w:r>
      <w:r w:rsidR="00FD36B6" w:rsidRPr="00567AF0">
        <w:rPr>
          <w:color w:val="000000" w:themeColor="text1"/>
        </w:rPr>
        <w:t>1</w:t>
      </w:r>
      <w:r w:rsidR="00FD36B6">
        <w:rPr>
          <w:color w:val="000000" w:themeColor="text1"/>
        </w:rPr>
        <w:t> 596,7</w:t>
      </w:r>
      <w:r w:rsidR="00FD36B6" w:rsidRPr="0069694D">
        <w:rPr>
          <w:color w:val="000000" w:themeColor="text1"/>
        </w:rPr>
        <w:t> milj. </w:t>
      </w:r>
      <w:proofErr w:type="spellStart"/>
      <w:r w:rsidR="00FD36B6" w:rsidRPr="0069694D">
        <w:rPr>
          <w:i/>
          <w:color w:val="000000" w:themeColor="text1"/>
        </w:rPr>
        <w:t>euro</w:t>
      </w:r>
      <w:proofErr w:type="spellEnd"/>
      <w:r w:rsidR="00FD36B6" w:rsidRPr="0069694D">
        <w:rPr>
          <w:color w:val="000000" w:themeColor="text1"/>
        </w:rPr>
        <w:t xml:space="preserve">, kas ir par </w:t>
      </w:r>
      <w:r w:rsidR="00FD36B6">
        <w:rPr>
          <w:color w:val="000000" w:themeColor="text1"/>
        </w:rPr>
        <w:t>94,5</w:t>
      </w:r>
      <w:r w:rsidR="00FD36B6" w:rsidRPr="0069694D">
        <w:rPr>
          <w:color w:val="000000" w:themeColor="text1"/>
        </w:rPr>
        <w:t> milj. </w:t>
      </w:r>
      <w:proofErr w:type="spellStart"/>
      <w:r w:rsidR="00FD36B6" w:rsidRPr="0069694D">
        <w:rPr>
          <w:i/>
          <w:color w:val="000000" w:themeColor="text1"/>
        </w:rPr>
        <w:t>euro</w:t>
      </w:r>
      <w:proofErr w:type="spellEnd"/>
      <w:r w:rsidR="00FD36B6" w:rsidRPr="0069694D">
        <w:rPr>
          <w:color w:val="000000" w:themeColor="text1"/>
        </w:rPr>
        <w:t xml:space="preserve"> jeb </w:t>
      </w:r>
      <w:r w:rsidR="00FD36B6">
        <w:rPr>
          <w:color w:val="000000" w:themeColor="text1"/>
        </w:rPr>
        <w:t>5,6</w:t>
      </w:r>
      <w:r w:rsidR="00FD36B6" w:rsidRPr="0069694D">
        <w:rPr>
          <w:color w:val="000000" w:themeColor="text1"/>
        </w:rPr>
        <w:t xml:space="preserve">% </w:t>
      </w:r>
      <w:r w:rsidR="00FD36B6">
        <w:rPr>
          <w:color w:val="000000" w:themeColor="text1"/>
        </w:rPr>
        <w:t>maz</w:t>
      </w:r>
      <w:r w:rsidR="00FD36B6" w:rsidRPr="0069694D">
        <w:rPr>
          <w:color w:val="000000" w:themeColor="text1"/>
        </w:rPr>
        <w:t xml:space="preserve">āk nekā </w:t>
      </w:r>
      <w:r w:rsidR="00FD36B6">
        <w:rPr>
          <w:color w:val="000000" w:themeColor="text1"/>
        </w:rPr>
        <w:t>2019</w:t>
      </w:r>
      <w:r w:rsidR="00FD36B6" w:rsidRPr="0069694D">
        <w:rPr>
          <w:color w:val="000000" w:themeColor="text1"/>
        </w:rPr>
        <w:t>.</w:t>
      </w:r>
      <w:r w:rsidR="00FD36B6">
        <w:rPr>
          <w:color w:val="000000" w:themeColor="text1"/>
        </w:rPr>
        <w:t xml:space="preserve"> </w:t>
      </w:r>
      <w:r w:rsidR="00FD36B6" w:rsidRPr="0069694D">
        <w:rPr>
          <w:color w:val="000000" w:themeColor="text1"/>
        </w:rPr>
        <w:t>gada sešos mēnešos</w:t>
      </w:r>
      <w:r w:rsidR="00FD36B6" w:rsidRPr="009C5A6F">
        <w:rPr>
          <w:color w:val="000000" w:themeColor="text1"/>
        </w:rPr>
        <w:t xml:space="preserve">. </w:t>
      </w:r>
      <w:r w:rsidR="00FD36B6">
        <w:rPr>
          <w:color w:val="000000" w:themeColor="text1"/>
        </w:rPr>
        <w:t xml:space="preserve">2019. gada otrajā pusē sagaidāms, ka iemaksas sāks palielināties salīdzinājumā ar 2019. gada atbilstošo mēnesi, kas būs saistīts ar </w:t>
      </w:r>
      <w:r w:rsidR="00FD36B6" w:rsidRPr="00F649A4">
        <w:rPr>
          <w:color w:val="000000" w:themeColor="text1"/>
        </w:rPr>
        <w:t>kopējās ekonomikas atkopšanos no Covid</w:t>
      </w:r>
      <w:r w:rsidR="00FD36B6">
        <w:rPr>
          <w:color w:val="000000" w:themeColor="text1"/>
        </w:rPr>
        <w:noBreakHyphen/>
      </w:r>
      <w:r w:rsidR="00FD36B6" w:rsidRPr="00F649A4">
        <w:rPr>
          <w:color w:val="000000" w:themeColor="text1"/>
        </w:rPr>
        <w:t>19 krīzes</w:t>
      </w:r>
      <w:r w:rsidR="00FD36B6">
        <w:rPr>
          <w:color w:val="000000" w:themeColor="text1"/>
        </w:rPr>
        <w:t>.</w:t>
      </w:r>
      <w:r w:rsidR="00FD36B6" w:rsidRPr="0069694D">
        <w:rPr>
          <w:color w:val="000000" w:themeColor="text1"/>
        </w:rPr>
        <w:t xml:space="preserve"> </w:t>
      </w:r>
    </w:p>
    <w:p w:rsidR="00FD36B6" w:rsidRPr="0069694D" w:rsidRDefault="00FD36B6" w:rsidP="00FD36B6">
      <w:pPr>
        <w:spacing w:before="120"/>
        <w:rPr>
          <w:color w:val="000000" w:themeColor="text1"/>
        </w:rPr>
      </w:pPr>
      <w:r w:rsidRPr="00504588">
        <w:rPr>
          <w:color w:val="000000" w:themeColor="text1"/>
        </w:rPr>
        <w:t>Salīdzinot ar 201</w:t>
      </w:r>
      <w:r w:rsidRPr="00F649A4">
        <w:rPr>
          <w:color w:val="000000" w:themeColor="text1"/>
        </w:rPr>
        <w:t>9</w:t>
      </w:r>
      <w:r w:rsidRPr="00504588">
        <w:rPr>
          <w:color w:val="000000" w:themeColor="text1"/>
        </w:rPr>
        <w:t>.</w:t>
      </w:r>
      <w:r>
        <w:rPr>
          <w:color w:val="000000" w:themeColor="text1"/>
        </w:rPr>
        <w:t xml:space="preserve"> </w:t>
      </w:r>
      <w:r w:rsidRPr="00504588">
        <w:rPr>
          <w:color w:val="000000" w:themeColor="text1"/>
        </w:rPr>
        <w:t>gada 1.</w:t>
      </w:r>
      <w:r>
        <w:rPr>
          <w:color w:val="000000" w:themeColor="text1"/>
        </w:rPr>
        <w:t xml:space="preserve"> </w:t>
      </w:r>
      <w:r w:rsidRPr="00504588">
        <w:rPr>
          <w:color w:val="000000" w:themeColor="text1"/>
        </w:rPr>
        <w:t xml:space="preserve">pusgada ieņēmumiem, iekšzemē iekasētā </w:t>
      </w:r>
      <w:r w:rsidR="005E0381">
        <w:rPr>
          <w:color w:val="000000" w:themeColor="text1"/>
        </w:rPr>
        <w:t>PVN</w:t>
      </w:r>
      <w:r w:rsidRPr="00504588">
        <w:rPr>
          <w:color w:val="000000" w:themeColor="text1"/>
        </w:rPr>
        <w:t xml:space="preserve"> ieņēmumi </w:t>
      </w:r>
      <w:r w:rsidRPr="00F649A4">
        <w:rPr>
          <w:color w:val="000000" w:themeColor="text1"/>
        </w:rPr>
        <w:t>samaz</w:t>
      </w:r>
      <w:r w:rsidRPr="00504588">
        <w:rPr>
          <w:color w:val="000000" w:themeColor="text1"/>
        </w:rPr>
        <w:t xml:space="preserve">inājušies par </w:t>
      </w:r>
      <w:r w:rsidRPr="00F649A4">
        <w:rPr>
          <w:color w:val="000000" w:themeColor="text1"/>
        </w:rPr>
        <w:t>111,5</w:t>
      </w:r>
      <w:r>
        <w:rPr>
          <w:color w:val="000000" w:themeColor="text1"/>
        </w:rPr>
        <w:t> </w:t>
      </w:r>
      <w:r w:rsidRPr="00504588">
        <w:rPr>
          <w:color w:val="000000" w:themeColor="text1"/>
        </w:rPr>
        <w:t>milj.</w:t>
      </w:r>
      <w:r>
        <w:rPr>
          <w:color w:val="000000" w:themeColor="text1"/>
        </w:rPr>
        <w:t> </w:t>
      </w:r>
      <w:proofErr w:type="spellStart"/>
      <w:r w:rsidRPr="00504588">
        <w:rPr>
          <w:i/>
          <w:color w:val="000000" w:themeColor="text1"/>
        </w:rPr>
        <w:t>euro</w:t>
      </w:r>
      <w:proofErr w:type="spellEnd"/>
      <w:r w:rsidRPr="00504588">
        <w:rPr>
          <w:color w:val="000000" w:themeColor="text1"/>
        </w:rPr>
        <w:t xml:space="preserve"> jeb </w:t>
      </w:r>
      <w:r w:rsidRPr="00F649A4">
        <w:rPr>
          <w:color w:val="000000" w:themeColor="text1"/>
        </w:rPr>
        <w:t>9,3</w:t>
      </w:r>
      <w:r w:rsidRPr="00504588">
        <w:rPr>
          <w:color w:val="000000" w:themeColor="text1"/>
        </w:rPr>
        <w:t xml:space="preserve">% un </w:t>
      </w:r>
      <w:r w:rsidR="005E0381">
        <w:rPr>
          <w:color w:val="000000" w:themeColor="text1"/>
        </w:rPr>
        <w:t>PVN</w:t>
      </w:r>
      <w:r w:rsidRPr="00504588">
        <w:rPr>
          <w:color w:val="000000" w:themeColor="text1"/>
        </w:rPr>
        <w:t xml:space="preserve"> ieņēmumi, izlaižot preces brīvam apgrozījumam, </w:t>
      </w:r>
      <w:r w:rsidRPr="00F649A4">
        <w:rPr>
          <w:color w:val="000000" w:themeColor="text1"/>
        </w:rPr>
        <w:t>paliel</w:t>
      </w:r>
      <w:r w:rsidRPr="00504588">
        <w:rPr>
          <w:color w:val="000000" w:themeColor="text1"/>
        </w:rPr>
        <w:t xml:space="preserve">inājušies par </w:t>
      </w:r>
      <w:r w:rsidRPr="00F649A4">
        <w:rPr>
          <w:color w:val="000000" w:themeColor="text1"/>
        </w:rPr>
        <w:t>0,6 </w:t>
      </w:r>
      <w:r w:rsidRPr="00504588">
        <w:rPr>
          <w:color w:val="000000" w:themeColor="text1"/>
        </w:rPr>
        <w:t>milj.</w:t>
      </w:r>
      <w:r w:rsidRPr="00F649A4">
        <w:rPr>
          <w:color w:val="000000" w:themeColor="text1"/>
        </w:rPr>
        <w:t> </w:t>
      </w:r>
      <w:proofErr w:type="spellStart"/>
      <w:r w:rsidRPr="00504588">
        <w:rPr>
          <w:i/>
          <w:color w:val="000000" w:themeColor="text1"/>
        </w:rPr>
        <w:t>euro</w:t>
      </w:r>
      <w:proofErr w:type="spellEnd"/>
      <w:r w:rsidRPr="00504588">
        <w:rPr>
          <w:color w:val="000000" w:themeColor="text1"/>
        </w:rPr>
        <w:t xml:space="preserve"> jeb </w:t>
      </w:r>
      <w:r w:rsidRPr="00F649A4">
        <w:rPr>
          <w:color w:val="000000" w:themeColor="text1"/>
        </w:rPr>
        <w:t>1,9</w:t>
      </w:r>
      <w:r>
        <w:rPr>
          <w:color w:val="000000" w:themeColor="text1"/>
        </w:rPr>
        <w:t> procentiem</w:t>
      </w:r>
      <w:r w:rsidRPr="00504588">
        <w:rPr>
          <w:color w:val="000000" w:themeColor="text1"/>
        </w:rPr>
        <w:t>.</w:t>
      </w:r>
    </w:p>
    <w:p w:rsidR="00FD36B6" w:rsidRPr="0069694D" w:rsidRDefault="00FD36B6" w:rsidP="00FD36B6">
      <w:pPr>
        <w:spacing w:before="120"/>
        <w:rPr>
          <w:color w:val="000000" w:themeColor="text1"/>
        </w:rPr>
      </w:pPr>
      <w:r w:rsidRPr="00504588">
        <w:rPr>
          <w:color w:val="000000" w:themeColor="text1"/>
        </w:rPr>
        <w:t>Prognozēts, ka 202</w:t>
      </w:r>
      <w:r w:rsidRPr="00F649A4">
        <w:rPr>
          <w:color w:val="000000" w:themeColor="text1"/>
        </w:rPr>
        <w:t>1</w:t>
      </w:r>
      <w:r w:rsidRPr="00504588">
        <w:rPr>
          <w:color w:val="000000" w:themeColor="text1"/>
        </w:rPr>
        <w:t>.</w:t>
      </w:r>
      <w:r>
        <w:rPr>
          <w:color w:val="000000" w:themeColor="text1"/>
        </w:rPr>
        <w:t xml:space="preserve"> </w:t>
      </w:r>
      <w:r w:rsidRPr="00504588">
        <w:rPr>
          <w:color w:val="000000" w:themeColor="text1"/>
        </w:rPr>
        <w:t xml:space="preserve">gadā </w:t>
      </w:r>
      <w:r w:rsidR="005E0381">
        <w:rPr>
          <w:color w:val="000000" w:themeColor="text1"/>
        </w:rPr>
        <w:t>PVN</w:t>
      </w:r>
      <w:r w:rsidRPr="00504588">
        <w:rPr>
          <w:color w:val="000000" w:themeColor="text1"/>
        </w:rPr>
        <w:t xml:space="preserve"> ieņēmumu pieaugumu veicinās privātais patēriņš, kas saskaņā ar prognozēm, salīdzinot ar 20</w:t>
      </w:r>
      <w:r w:rsidRPr="00F649A4">
        <w:rPr>
          <w:color w:val="000000" w:themeColor="text1"/>
        </w:rPr>
        <w:t>20</w:t>
      </w:r>
      <w:r w:rsidRPr="00504588">
        <w:rPr>
          <w:color w:val="000000" w:themeColor="text1"/>
        </w:rPr>
        <w:t>.</w:t>
      </w:r>
      <w:r w:rsidR="00373FD4">
        <w:rPr>
          <w:color w:val="000000" w:themeColor="text1"/>
        </w:rPr>
        <w:t xml:space="preserve"> </w:t>
      </w:r>
      <w:r w:rsidRPr="00504588">
        <w:rPr>
          <w:color w:val="000000" w:themeColor="text1"/>
        </w:rPr>
        <w:t xml:space="preserve">gadu, </w:t>
      </w:r>
      <w:r w:rsidRPr="00F649A4">
        <w:rPr>
          <w:color w:val="000000" w:themeColor="text1"/>
        </w:rPr>
        <w:t>faktisk</w:t>
      </w:r>
      <w:r>
        <w:rPr>
          <w:color w:val="000000" w:themeColor="text1"/>
        </w:rPr>
        <w:t>aj</w:t>
      </w:r>
      <w:r w:rsidRPr="00F649A4">
        <w:rPr>
          <w:color w:val="000000" w:themeColor="text1"/>
        </w:rPr>
        <w:t xml:space="preserve">ās cenās </w:t>
      </w:r>
      <w:r w:rsidRPr="00504588">
        <w:rPr>
          <w:color w:val="000000" w:themeColor="text1"/>
        </w:rPr>
        <w:t>pieaugs par 5,</w:t>
      </w:r>
      <w:r w:rsidRPr="00F649A4">
        <w:rPr>
          <w:color w:val="000000" w:themeColor="text1"/>
        </w:rPr>
        <w:t>8</w:t>
      </w:r>
      <w:r>
        <w:rPr>
          <w:color w:val="000000" w:themeColor="text1"/>
        </w:rPr>
        <w:t> procentiem. Inflācija</w:t>
      </w:r>
      <w:r w:rsidRPr="00504588">
        <w:rPr>
          <w:color w:val="000000" w:themeColor="text1"/>
        </w:rPr>
        <w:t xml:space="preserve"> 202</w:t>
      </w:r>
      <w:r w:rsidRPr="00F649A4">
        <w:rPr>
          <w:color w:val="000000" w:themeColor="text1"/>
        </w:rPr>
        <w:t>1</w:t>
      </w:r>
      <w:r w:rsidRPr="00504588">
        <w:rPr>
          <w:color w:val="000000" w:themeColor="text1"/>
        </w:rPr>
        <w:t>.</w:t>
      </w:r>
      <w:r w:rsidR="00373FD4">
        <w:rPr>
          <w:color w:val="000000" w:themeColor="text1"/>
        </w:rPr>
        <w:t xml:space="preserve"> </w:t>
      </w:r>
      <w:r w:rsidRPr="00504588">
        <w:rPr>
          <w:color w:val="000000" w:themeColor="text1"/>
        </w:rPr>
        <w:t xml:space="preserve">gadā prognozēta </w:t>
      </w:r>
      <w:r w:rsidRPr="00F649A4">
        <w:rPr>
          <w:color w:val="000000" w:themeColor="text1"/>
        </w:rPr>
        <w:t>1,2</w:t>
      </w:r>
      <w:r w:rsidRPr="00504588">
        <w:rPr>
          <w:color w:val="000000" w:themeColor="text1"/>
        </w:rPr>
        <w:t>% līmenī.</w:t>
      </w:r>
    </w:p>
    <w:p w:rsidR="00FD36B6" w:rsidRPr="0069694D" w:rsidRDefault="00FD36B6" w:rsidP="00FD36B6">
      <w:pPr>
        <w:spacing w:before="120"/>
        <w:rPr>
          <w:color w:val="000000" w:themeColor="text1"/>
        </w:rPr>
      </w:pPr>
      <w:r w:rsidRPr="0069694D">
        <w:rPr>
          <w:color w:val="000000" w:themeColor="text1"/>
        </w:rPr>
        <w:t xml:space="preserve">Saskaņā ar </w:t>
      </w:r>
      <w:r w:rsidRPr="00883DAC">
        <w:rPr>
          <w:color w:val="000000" w:themeColor="text1"/>
        </w:rPr>
        <w:t>likumprojektu “Par valsts budžetu</w:t>
      </w:r>
      <w:r w:rsidR="00373FD4">
        <w:rPr>
          <w:color w:val="000000" w:themeColor="text1"/>
        </w:rPr>
        <w:t xml:space="preserve"> </w:t>
      </w:r>
      <w:r w:rsidRPr="00883DAC">
        <w:rPr>
          <w:color w:val="000000" w:themeColor="text1"/>
        </w:rPr>
        <w:t>2021.</w:t>
      </w:r>
      <w:r w:rsidR="00373FD4">
        <w:rPr>
          <w:color w:val="000000" w:themeColor="text1"/>
        </w:rPr>
        <w:t xml:space="preserve"> </w:t>
      </w:r>
      <w:r w:rsidRPr="00883DAC">
        <w:rPr>
          <w:color w:val="000000" w:themeColor="text1"/>
        </w:rPr>
        <w:t xml:space="preserve">gadam” </w:t>
      </w:r>
      <w:r w:rsidR="005E0381">
        <w:rPr>
          <w:color w:val="000000" w:themeColor="text1"/>
        </w:rPr>
        <w:t>PVN</w:t>
      </w:r>
      <w:r w:rsidRPr="0069694D">
        <w:rPr>
          <w:color w:val="000000" w:themeColor="text1"/>
        </w:rPr>
        <w:t xml:space="preserve"> ieņēmumi 202</w:t>
      </w:r>
      <w:r>
        <w:rPr>
          <w:color w:val="000000" w:themeColor="text1"/>
        </w:rPr>
        <w:t>1</w:t>
      </w:r>
      <w:r w:rsidRPr="0069694D">
        <w:rPr>
          <w:color w:val="000000" w:themeColor="text1"/>
        </w:rPr>
        <w:t>.</w:t>
      </w:r>
      <w:r w:rsidR="00373FD4">
        <w:rPr>
          <w:color w:val="000000" w:themeColor="text1"/>
        </w:rPr>
        <w:t xml:space="preserve"> </w:t>
      </w:r>
      <w:r w:rsidRPr="0069694D">
        <w:rPr>
          <w:color w:val="000000" w:themeColor="text1"/>
        </w:rPr>
        <w:t xml:space="preserve">gadā tiek plānoti </w:t>
      </w:r>
      <w:r w:rsidRPr="001B1BC5">
        <w:rPr>
          <w:color w:val="000000" w:themeColor="text1"/>
        </w:rPr>
        <w:t>2</w:t>
      </w:r>
      <w:r>
        <w:rPr>
          <w:color w:val="000000" w:themeColor="text1"/>
        </w:rPr>
        <w:t> 735,3 </w:t>
      </w:r>
      <w:r w:rsidRPr="0069694D">
        <w:rPr>
          <w:color w:val="000000" w:themeColor="text1"/>
        </w:rPr>
        <w:t>milj. </w:t>
      </w:r>
      <w:proofErr w:type="spellStart"/>
      <w:r w:rsidRPr="0069694D">
        <w:rPr>
          <w:i/>
          <w:color w:val="000000" w:themeColor="text1"/>
        </w:rPr>
        <w:t>euro</w:t>
      </w:r>
      <w:proofErr w:type="spellEnd"/>
      <w:r w:rsidRPr="0069694D">
        <w:rPr>
          <w:color w:val="000000" w:themeColor="text1"/>
        </w:rPr>
        <w:t xml:space="preserve">, t.i., par </w:t>
      </w:r>
      <w:r w:rsidRPr="001B1BC5">
        <w:rPr>
          <w:color w:val="000000" w:themeColor="text1"/>
        </w:rPr>
        <w:t>236,5</w:t>
      </w:r>
      <w:r>
        <w:rPr>
          <w:color w:val="000000" w:themeColor="text1"/>
        </w:rPr>
        <w:t> </w:t>
      </w:r>
      <w:r w:rsidRPr="0069694D">
        <w:rPr>
          <w:color w:val="000000" w:themeColor="text1"/>
        </w:rPr>
        <w:t>milj. </w:t>
      </w:r>
      <w:proofErr w:type="spellStart"/>
      <w:r w:rsidRPr="0069694D">
        <w:rPr>
          <w:i/>
          <w:color w:val="000000" w:themeColor="text1"/>
        </w:rPr>
        <w:t>euro</w:t>
      </w:r>
      <w:proofErr w:type="spellEnd"/>
      <w:r w:rsidRPr="0069694D">
        <w:rPr>
          <w:color w:val="000000" w:themeColor="text1"/>
        </w:rPr>
        <w:t xml:space="preserve"> jeb </w:t>
      </w:r>
      <w:r>
        <w:rPr>
          <w:color w:val="000000" w:themeColor="text1"/>
        </w:rPr>
        <w:t>9,5</w:t>
      </w:r>
      <w:r w:rsidRPr="0069694D">
        <w:rPr>
          <w:color w:val="000000" w:themeColor="text1"/>
        </w:rPr>
        <w:t>% vairāk nekā prognozēts 20</w:t>
      </w:r>
      <w:r>
        <w:rPr>
          <w:color w:val="000000" w:themeColor="text1"/>
        </w:rPr>
        <w:t>20</w:t>
      </w:r>
      <w:r w:rsidRPr="0069694D">
        <w:rPr>
          <w:color w:val="000000" w:themeColor="text1"/>
        </w:rPr>
        <w:t>.</w:t>
      </w:r>
      <w:r w:rsidR="00373FD4">
        <w:rPr>
          <w:color w:val="000000" w:themeColor="text1"/>
        </w:rPr>
        <w:t xml:space="preserve"> </w:t>
      </w:r>
      <w:r w:rsidRPr="0069694D">
        <w:rPr>
          <w:color w:val="000000" w:themeColor="text1"/>
        </w:rPr>
        <w:t>gad</w:t>
      </w:r>
      <w:r>
        <w:rPr>
          <w:color w:val="000000" w:themeColor="text1"/>
        </w:rPr>
        <w:t>am</w:t>
      </w:r>
      <w:r w:rsidRPr="0069694D">
        <w:rPr>
          <w:color w:val="000000" w:themeColor="text1"/>
        </w:rPr>
        <w:t>.</w:t>
      </w:r>
    </w:p>
    <w:p w:rsidR="00FD36B6" w:rsidRPr="0069694D" w:rsidRDefault="005E0381" w:rsidP="00FD36B6">
      <w:pPr>
        <w:spacing w:before="120"/>
      </w:pPr>
      <w:r>
        <w:rPr>
          <w:color w:val="000000" w:themeColor="text1"/>
        </w:rPr>
        <w:t>PVN</w:t>
      </w:r>
      <w:r w:rsidR="00FD36B6" w:rsidRPr="0069694D">
        <w:rPr>
          <w:color w:val="000000" w:themeColor="text1"/>
        </w:rPr>
        <w:t xml:space="preserve"> ieņēmumu plāns 202</w:t>
      </w:r>
      <w:r w:rsidR="00FD36B6">
        <w:rPr>
          <w:color w:val="000000" w:themeColor="text1"/>
        </w:rPr>
        <w:t>1</w:t>
      </w:r>
      <w:r w:rsidR="00FD36B6" w:rsidRPr="0069694D">
        <w:rPr>
          <w:color w:val="000000" w:themeColor="text1"/>
        </w:rPr>
        <w:t>.</w:t>
      </w:r>
      <w:r w:rsidR="00373FD4">
        <w:rPr>
          <w:color w:val="000000" w:themeColor="text1"/>
        </w:rPr>
        <w:t xml:space="preserve"> </w:t>
      </w:r>
      <w:r w:rsidR="00FD36B6" w:rsidRPr="0069694D">
        <w:rPr>
          <w:color w:val="000000" w:themeColor="text1"/>
        </w:rPr>
        <w:t>gadam ir sagatavots, ņemot vērā gan prognozējamās tautsaimniecības attīstības tendences, t</w:t>
      </w:r>
      <w:r w:rsidR="00373FD4">
        <w:rPr>
          <w:color w:val="000000" w:themeColor="text1"/>
        </w:rPr>
        <w:t>ai</w:t>
      </w:r>
      <w:r w:rsidR="00FD36B6" w:rsidRPr="0069694D">
        <w:rPr>
          <w:color w:val="000000" w:themeColor="text1"/>
        </w:rPr>
        <w:t xml:space="preserve"> skaitā iekšzemes pieprasījuma </w:t>
      </w:r>
      <w:r w:rsidR="00FD36B6">
        <w:rPr>
          <w:color w:val="000000" w:themeColor="text1"/>
        </w:rPr>
        <w:t>pārmaiņas</w:t>
      </w:r>
      <w:r w:rsidR="00FD36B6" w:rsidRPr="0069694D">
        <w:rPr>
          <w:color w:val="000000" w:themeColor="text1"/>
        </w:rPr>
        <w:t xml:space="preserve"> kā galveno tautsaimniecības attīstību virzītāju, gan </w:t>
      </w:r>
      <w:r>
        <w:rPr>
          <w:color w:val="000000" w:themeColor="text1"/>
        </w:rPr>
        <w:t>PVN</w:t>
      </w:r>
      <w:r w:rsidR="00FD36B6" w:rsidRPr="0069694D">
        <w:rPr>
          <w:color w:val="000000" w:themeColor="text1"/>
        </w:rPr>
        <w:t xml:space="preserve"> ieņēmumu </w:t>
      </w:r>
      <w:r w:rsidR="00FD36B6">
        <w:rPr>
          <w:color w:val="000000" w:themeColor="text1"/>
        </w:rPr>
        <w:t>dinamiku</w:t>
      </w:r>
      <w:r w:rsidR="00FD36B6" w:rsidRPr="0069694D">
        <w:rPr>
          <w:color w:val="000000" w:themeColor="text1"/>
        </w:rPr>
        <w:t xml:space="preserve"> 20</w:t>
      </w:r>
      <w:r w:rsidR="00FD36B6">
        <w:rPr>
          <w:color w:val="000000" w:themeColor="text1"/>
        </w:rPr>
        <w:t>20</w:t>
      </w:r>
      <w:r w:rsidR="00FD36B6" w:rsidRPr="0069694D">
        <w:rPr>
          <w:color w:val="000000" w:themeColor="text1"/>
        </w:rPr>
        <w:t>.</w:t>
      </w:r>
      <w:r>
        <w:rPr>
          <w:color w:val="000000" w:themeColor="text1"/>
        </w:rPr>
        <w:t xml:space="preserve"> </w:t>
      </w:r>
      <w:r w:rsidR="00FD36B6" w:rsidRPr="0069694D">
        <w:rPr>
          <w:color w:val="000000" w:themeColor="text1"/>
        </w:rPr>
        <w:t>gada sešos mēnešos, kā</w:t>
      </w:r>
      <w:r w:rsidR="00FD36B6" w:rsidRPr="0069694D">
        <w:t xml:space="preserve"> arī likumdošanas izmaiņas.</w:t>
      </w:r>
    </w:p>
    <w:p w:rsidR="00FD36B6" w:rsidRDefault="00FD36B6" w:rsidP="00FD36B6">
      <w:pPr>
        <w:spacing w:before="120"/>
      </w:pPr>
      <w:r w:rsidRPr="0069694D">
        <w:t>20</w:t>
      </w:r>
      <w:r>
        <w:t>20</w:t>
      </w:r>
      <w:r w:rsidRPr="0069694D">
        <w:t>.</w:t>
      </w:r>
      <w:r w:rsidR="005E0381">
        <w:t xml:space="preserve"> </w:t>
      </w:r>
      <w:r w:rsidRPr="0069694D">
        <w:t xml:space="preserve">gadā pieņemtās un jau spēkā stājušās izmaiņas, kas ietekmējušas </w:t>
      </w:r>
      <w:r w:rsidR="005E0381">
        <w:t>PVN</w:t>
      </w:r>
      <w:r w:rsidRPr="0069694D">
        <w:t xml:space="preserve"> prognozi 20</w:t>
      </w:r>
      <w:r>
        <w:t>20</w:t>
      </w:r>
      <w:r w:rsidRPr="0069694D">
        <w:t>.</w:t>
      </w:r>
      <w:r w:rsidR="005E0381">
        <w:t xml:space="preserve"> </w:t>
      </w:r>
      <w:r w:rsidRPr="0069694D">
        <w:t>gadam un līdz ar to arī 202</w:t>
      </w:r>
      <w:r>
        <w:t>1</w:t>
      </w:r>
      <w:r w:rsidRPr="0069694D">
        <w:t>.</w:t>
      </w:r>
      <w:r w:rsidR="005E0381">
        <w:t xml:space="preserve"> </w:t>
      </w:r>
      <w:r w:rsidRPr="0069694D">
        <w:t>gadam:</w:t>
      </w:r>
    </w:p>
    <w:p w:rsidR="00FD36B6" w:rsidRDefault="00FD36B6" w:rsidP="005E0381">
      <w:pPr>
        <w:pStyle w:val="ListParagraph"/>
        <w:numPr>
          <w:ilvl w:val="0"/>
          <w:numId w:val="8"/>
        </w:numPr>
        <w:spacing w:after="0"/>
        <w:ind w:left="714" w:hanging="357"/>
        <w:contextualSpacing w:val="0"/>
        <w:rPr>
          <w:szCs w:val="24"/>
        </w:rPr>
      </w:pPr>
      <w:r>
        <w:rPr>
          <w:szCs w:val="24"/>
        </w:rPr>
        <w:t>s</w:t>
      </w:r>
      <w:r w:rsidRPr="000E6CB6">
        <w:rPr>
          <w:szCs w:val="24"/>
        </w:rPr>
        <w:t xml:space="preserve">tarpproduktu definīcijas precizēšana akcīzes nodoklim no alkoholiskajiem </w:t>
      </w:r>
      <w:r w:rsidRPr="00A64D23">
        <w:rPr>
          <w:szCs w:val="24"/>
        </w:rPr>
        <w:t>dzērieniem</w:t>
      </w:r>
      <w:r>
        <w:rPr>
          <w:szCs w:val="24"/>
        </w:rPr>
        <w:t xml:space="preserve"> ar</w:t>
      </w:r>
      <w:r w:rsidRPr="000E6CB6">
        <w:rPr>
          <w:szCs w:val="24"/>
        </w:rPr>
        <w:t xml:space="preserve"> 01.05.2020.</w:t>
      </w:r>
      <w:r>
        <w:rPr>
          <w:szCs w:val="24"/>
        </w:rPr>
        <w:t xml:space="preserve"> (fiskālā ietekme +0,7 milj. </w:t>
      </w:r>
      <w:proofErr w:type="spellStart"/>
      <w:r w:rsidRPr="00CC04E9">
        <w:rPr>
          <w:i/>
          <w:szCs w:val="24"/>
        </w:rPr>
        <w:t>euro</w:t>
      </w:r>
      <w:proofErr w:type="spellEnd"/>
      <w:r>
        <w:rPr>
          <w:szCs w:val="24"/>
        </w:rPr>
        <w:t>)</w:t>
      </w:r>
      <w:r w:rsidRPr="00F649A4">
        <w:rPr>
          <w:szCs w:val="24"/>
        </w:rPr>
        <w:t>;</w:t>
      </w:r>
    </w:p>
    <w:p w:rsidR="00FD36B6" w:rsidRDefault="00FD36B6" w:rsidP="005E0381">
      <w:pPr>
        <w:pStyle w:val="ListParagraph"/>
        <w:numPr>
          <w:ilvl w:val="0"/>
          <w:numId w:val="8"/>
        </w:numPr>
        <w:spacing w:after="0"/>
        <w:ind w:left="714" w:hanging="357"/>
        <w:contextualSpacing w:val="0"/>
        <w:rPr>
          <w:szCs w:val="24"/>
        </w:rPr>
      </w:pPr>
      <w:r>
        <w:rPr>
          <w:szCs w:val="24"/>
        </w:rPr>
        <w:t>n</w:t>
      </w:r>
      <w:r w:rsidRPr="0034231A">
        <w:rPr>
          <w:szCs w:val="24"/>
        </w:rPr>
        <w:t>odokļu maksājumu samaksas sadalei termiņos vai atlikšanai uz laiku līdz trim gadiem</w:t>
      </w:r>
      <w:r w:rsidRPr="00F649A4">
        <w:rPr>
          <w:szCs w:val="24"/>
        </w:rPr>
        <w:t xml:space="preserve">, kas </w:t>
      </w:r>
      <w:r w:rsidRPr="00C40600">
        <w:rPr>
          <w:szCs w:val="24"/>
        </w:rPr>
        <w:t>stājās spēkā ar 28.03.2020.</w:t>
      </w:r>
      <w:r w:rsidRPr="0034231A">
        <w:rPr>
          <w:szCs w:val="24"/>
        </w:rPr>
        <w:t xml:space="preserve"> </w:t>
      </w:r>
      <w:r>
        <w:rPr>
          <w:szCs w:val="24"/>
        </w:rPr>
        <w:t>(fiskālā ietekme +5,53 milj. </w:t>
      </w:r>
      <w:proofErr w:type="spellStart"/>
      <w:r w:rsidRPr="00CC04E9">
        <w:rPr>
          <w:i/>
          <w:szCs w:val="24"/>
        </w:rPr>
        <w:t>euro</w:t>
      </w:r>
      <w:proofErr w:type="spellEnd"/>
      <w:r>
        <w:rPr>
          <w:szCs w:val="24"/>
        </w:rPr>
        <w:t>).</w:t>
      </w:r>
    </w:p>
    <w:p w:rsidR="00FD36B6" w:rsidRPr="009D7EA4" w:rsidRDefault="00FD36B6" w:rsidP="00FD36B6">
      <w:pPr>
        <w:spacing w:before="120"/>
        <w:rPr>
          <w:szCs w:val="24"/>
        </w:rPr>
      </w:pPr>
      <w:r w:rsidRPr="009D7EA4">
        <w:t xml:space="preserve">Iepriekšējos gados un </w:t>
      </w:r>
      <w:r w:rsidRPr="009D7EA4">
        <w:rPr>
          <w:szCs w:val="24"/>
        </w:rPr>
        <w:t>2020.</w:t>
      </w:r>
      <w:r w:rsidR="005E0381">
        <w:rPr>
          <w:szCs w:val="24"/>
        </w:rPr>
        <w:t xml:space="preserve"> </w:t>
      </w:r>
      <w:r w:rsidRPr="009D7EA4">
        <w:rPr>
          <w:szCs w:val="24"/>
        </w:rPr>
        <w:t>gadā pieņemtās likumdošanas izmaiņas, kas stāsies spēkā ar 2021.</w:t>
      </w:r>
      <w:r w:rsidR="005E0381">
        <w:rPr>
          <w:szCs w:val="24"/>
        </w:rPr>
        <w:t xml:space="preserve"> </w:t>
      </w:r>
      <w:r w:rsidRPr="009D7EA4">
        <w:rPr>
          <w:szCs w:val="24"/>
        </w:rPr>
        <w:t>gadu:</w:t>
      </w:r>
    </w:p>
    <w:p w:rsidR="00FD36B6" w:rsidRPr="009D7EA4" w:rsidRDefault="00FD36B6" w:rsidP="00373FD4">
      <w:pPr>
        <w:pStyle w:val="ListParagraph"/>
        <w:numPr>
          <w:ilvl w:val="0"/>
          <w:numId w:val="8"/>
        </w:numPr>
        <w:spacing w:before="120"/>
        <w:contextualSpacing w:val="0"/>
        <w:rPr>
          <w:szCs w:val="28"/>
        </w:rPr>
      </w:pPr>
      <w:r w:rsidRPr="009D7EA4">
        <w:rPr>
          <w:szCs w:val="24"/>
        </w:rPr>
        <w:t xml:space="preserve">5% </w:t>
      </w:r>
      <w:r w:rsidR="005E0381">
        <w:rPr>
          <w:szCs w:val="24"/>
        </w:rPr>
        <w:t>PVN</w:t>
      </w:r>
      <w:r w:rsidRPr="009D7EA4">
        <w:rPr>
          <w:szCs w:val="24"/>
        </w:rPr>
        <w:t xml:space="preserve"> likmes saglabāšana Latvijai raksturīgiem svaigiem augļiem, ogām un dārzeņiem līdz 2023.</w:t>
      </w:r>
      <w:r w:rsidR="005E0381">
        <w:rPr>
          <w:szCs w:val="24"/>
        </w:rPr>
        <w:t xml:space="preserve"> </w:t>
      </w:r>
      <w:r w:rsidRPr="009D7EA4">
        <w:rPr>
          <w:szCs w:val="24"/>
        </w:rPr>
        <w:t>gada 31.</w:t>
      </w:r>
      <w:r w:rsidR="005E0381">
        <w:rPr>
          <w:szCs w:val="24"/>
        </w:rPr>
        <w:t xml:space="preserve"> </w:t>
      </w:r>
      <w:r w:rsidRPr="009D7EA4">
        <w:rPr>
          <w:szCs w:val="24"/>
        </w:rPr>
        <w:t xml:space="preserve">decembrim (fiskālā ietekme </w:t>
      </w:r>
      <w:r w:rsidRPr="009D7EA4">
        <w:rPr>
          <w:szCs w:val="24"/>
        </w:rPr>
        <w:noBreakHyphen/>
        <w:t>3,0 milj. </w:t>
      </w:r>
      <w:proofErr w:type="spellStart"/>
      <w:r w:rsidRPr="009D7EA4">
        <w:rPr>
          <w:i/>
          <w:szCs w:val="24"/>
        </w:rPr>
        <w:t>euro</w:t>
      </w:r>
      <w:proofErr w:type="spellEnd"/>
      <w:r w:rsidRPr="009D7EA4">
        <w:rPr>
          <w:szCs w:val="28"/>
        </w:rPr>
        <w:t xml:space="preserve">). </w:t>
      </w:r>
      <w:r w:rsidRPr="009D7EA4">
        <w:rPr>
          <w:szCs w:val="28"/>
        </w:rPr>
        <w:tab/>
      </w:r>
      <w:r w:rsidRPr="009D7EA4">
        <w:rPr>
          <w:szCs w:val="28"/>
        </w:rPr>
        <w:br/>
        <w:t>Saglabājot samazinātās likmes piemērošanu, tiek izvirzīts mērķis - veicināt augļkopības un dārzeņkopības nozaru attīstību, mazināt ēnu ekonomiku, palielināt legālajā tirgū darbojošos komersantu konkurētspēju, kā arī veicināt svaigu augļu, ogu un dārzeņu patēriņu. Mērķa sasniegšanai tiek noteikti sasniedzamie rezultatīvie rādītāji:</w:t>
      </w:r>
    </w:p>
    <w:p w:rsidR="00FD36B6" w:rsidRPr="009D7EA4" w:rsidRDefault="00FD36B6" w:rsidP="00BF7239">
      <w:pPr>
        <w:pStyle w:val="ListParagraph"/>
        <w:numPr>
          <w:ilvl w:val="0"/>
          <w:numId w:val="21"/>
        </w:numPr>
        <w:spacing w:after="0"/>
        <w:contextualSpacing w:val="0"/>
        <w:rPr>
          <w:szCs w:val="28"/>
        </w:rPr>
      </w:pPr>
      <w:r w:rsidRPr="009D7EA4">
        <w:rPr>
          <w:szCs w:val="28"/>
        </w:rPr>
        <w:t>PVN likumā noteikto augļu, ogu un dārzeņu izaudzētās produkcijas vērtība salīdzinājumā pret ievesto produkcijas vērtības pieaugums</w:t>
      </w:r>
      <w:r>
        <w:rPr>
          <w:szCs w:val="28"/>
        </w:rPr>
        <w:t>;</w:t>
      </w:r>
    </w:p>
    <w:p w:rsidR="00FD36B6" w:rsidRPr="009D7EA4" w:rsidRDefault="00126AB3" w:rsidP="00BF7239">
      <w:pPr>
        <w:pStyle w:val="ListParagraph"/>
        <w:numPr>
          <w:ilvl w:val="0"/>
          <w:numId w:val="21"/>
        </w:numPr>
        <w:spacing w:after="0"/>
        <w:contextualSpacing w:val="0"/>
        <w:rPr>
          <w:szCs w:val="28"/>
        </w:rPr>
      </w:pPr>
      <w:r>
        <w:rPr>
          <w:szCs w:val="28"/>
        </w:rPr>
        <w:t xml:space="preserve">ar PVN samazināto 5% </w:t>
      </w:r>
      <w:r w:rsidR="00FD36B6" w:rsidRPr="009D7EA4">
        <w:rPr>
          <w:szCs w:val="28"/>
        </w:rPr>
        <w:t>likmi apliekamo darījumu pieaugums</w:t>
      </w:r>
      <w:r w:rsidR="00FD36B6">
        <w:rPr>
          <w:szCs w:val="28"/>
        </w:rPr>
        <w:t>;</w:t>
      </w:r>
    </w:p>
    <w:p w:rsidR="00FD36B6" w:rsidRPr="009D7EA4" w:rsidRDefault="00FD36B6" w:rsidP="00BF7239">
      <w:pPr>
        <w:pStyle w:val="ListParagraph"/>
        <w:numPr>
          <w:ilvl w:val="0"/>
          <w:numId w:val="21"/>
        </w:numPr>
        <w:spacing w:after="0"/>
        <w:contextualSpacing w:val="0"/>
        <w:rPr>
          <w:szCs w:val="28"/>
        </w:rPr>
      </w:pPr>
      <w:r>
        <w:rPr>
          <w:szCs w:val="28"/>
        </w:rPr>
        <w:t>a</w:t>
      </w:r>
      <w:r w:rsidRPr="009D7EA4">
        <w:rPr>
          <w:szCs w:val="28"/>
        </w:rPr>
        <w:t>ugļu, ogu un dārzeņu ražotāju PVN maksātāju vidējā atalgojuma uz vienu nodarbināto pieaugums</w:t>
      </w:r>
      <w:r>
        <w:rPr>
          <w:szCs w:val="28"/>
        </w:rPr>
        <w:t>;</w:t>
      </w:r>
    </w:p>
    <w:p w:rsidR="00FD36B6" w:rsidRPr="009D7EA4" w:rsidRDefault="00FD36B6" w:rsidP="00BF7239">
      <w:pPr>
        <w:pStyle w:val="ListParagraph"/>
        <w:numPr>
          <w:ilvl w:val="0"/>
          <w:numId w:val="21"/>
        </w:numPr>
        <w:spacing w:after="0"/>
        <w:contextualSpacing w:val="0"/>
        <w:rPr>
          <w:szCs w:val="28"/>
        </w:rPr>
      </w:pPr>
      <w:r>
        <w:rPr>
          <w:szCs w:val="28"/>
        </w:rPr>
        <w:t>ē</w:t>
      </w:r>
      <w:r w:rsidRPr="009D7EA4">
        <w:rPr>
          <w:szCs w:val="28"/>
        </w:rPr>
        <w:t>nu ekonomikas samazinājums</w:t>
      </w:r>
      <w:r>
        <w:rPr>
          <w:szCs w:val="28"/>
        </w:rPr>
        <w:t>.</w:t>
      </w:r>
    </w:p>
    <w:p w:rsidR="00FD36B6" w:rsidRDefault="00FD36B6" w:rsidP="005E0381">
      <w:pPr>
        <w:pStyle w:val="ListParagraph"/>
        <w:numPr>
          <w:ilvl w:val="0"/>
          <w:numId w:val="8"/>
        </w:numPr>
        <w:spacing w:before="120" w:after="0"/>
        <w:ind w:left="714" w:hanging="357"/>
        <w:contextualSpacing w:val="0"/>
        <w:rPr>
          <w:szCs w:val="24"/>
        </w:rPr>
      </w:pPr>
      <w:r w:rsidRPr="007A661F">
        <w:rPr>
          <w:szCs w:val="24"/>
        </w:rPr>
        <w:t>PVN piemērošanas vienkāršošanas noteikumi e</w:t>
      </w:r>
      <w:r>
        <w:rPr>
          <w:szCs w:val="24"/>
        </w:rPr>
        <w:noBreakHyphen/>
      </w:r>
      <w:r w:rsidRPr="007A661F">
        <w:rPr>
          <w:szCs w:val="24"/>
        </w:rPr>
        <w:t>komercijas jomā</w:t>
      </w:r>
      <w:r>
        <w:rPr>
          <w:szCs w:val="24"/>
        </w:rPr>
        <w:t>: a</w:t>
      </w:r>
      <w:r w:rsidRPr="00C55D13">
        <w:rPr>
          <w:szCs w:val="24"/>
        </w:rPr>
        <w:t>r 2021.</w:t>
      </w:r>
      <w:r w:rsidR="005E0381">
        <w:rPr>
          <w:szCs w:val="24"/>
        </w:rPr>
        <w:t xml:space="preserve"> </w:t>
      </w:r>
      <w:r w:rsidRPr="00C55D13">
        <w:rPr>
          <w:szCs w:val="24"/>
        </w:rPr>
        <w:t>gadu tiks paplašināts īpašā PVN režīma piemērošanas tvērums, radot iespēju reģistrēties vienā dalībvalstī un veikt PVN samaksu par jebkādiem darījumiem, kas veikti e-vidē īpašā PVN režīma ietvaros; papildus tam ar 2021.</w:t>
      </w:r>
      <w:r w:rsidR="005E0381">
        <w:rPr>
          <w:szCs w:val="24"/>
        </w:rPr>
        <w:t xml:space="preserve"> </w:t>
      </w:r>
      <w:r w:rsidRPr="00C55D13">
        <w:rPr>
          <w:szCs w:val="24"/>
        </w:rPr>
        <w:t xml:space="preserve">gadu tiks atcelts PVN atbrīvojums mazās vērtības preču sūtījumiem 22 </w:t>
      </w:r>
      <w:proofErr w:type="spellStart"/>
      <w:r w:rsidR="005E0381" w:rsidRPr="005E0381">
        <w:rPr>
          <w:i/>
          <w:szCs w:val="24"/>
        </w:rPr>
        <w:t>euro</w:t>
      </w:r>
      <w:proofErr w:type="spellEnd"/>
      <w:r w:rsidR="005E0381">
        <w:rPr>
          <w:szCs w:val="24"/>
        </w:rPr>
        <w:t xml:space="preserve"> apmērā</w:t>
      </w:r>
      <w:r>
        <w:rPr>
          <w:szCs w:val="24"/>
        </w:rPr>
        <w:t xml:space="preserve"> (fiskālā ietekme +10,37 milj. </w:t>
      </w:r>
      <w:proofErr w:type="spellStart"/>
      <w:r w:rsidRPr="00CC04E9">
        <w:rPr>
          <w:i/>
          <w:szCs w:val="24"/>
        </w:rPr>
        <w:t>euro</w:t>
      </w:r>
      <w:proofErr w:type="spellEnd"/>
      <w:r>
        <w:rPr>
          <w:szCs w:val="24"/>
        </w:rPr>
        <w:t>);</w:t>
      </w:r>
    </w:p>
    <w:p w:rsidR="00FD36B6" w:rsidRDefault="005E0381" w:rsidP="005E0381">
      <w:pPr>
        <w:pStyle w:val="ListParagraph"/>
        <w:numPr>
          <w:ilvl w:val="0"/>
          <w:numId w:val="8"/>
        </w:numPr>
        <w:spacing w:after="0"/>
        <w:ind w:left="714" w:hanging="357"/>
        <w:contextualSpacing w:val="0"/>
        <w:rPr>
          <w:szCs w:val="24"/>
        </w:rPr>
      </w:pPr>
      <w:r>
        <w:rPr>
          <w:szCs w:val="24"/>
        </w:rPr>
        <w:t>MK</w:t>
      </w:r>
      <w:r w:rsidR="00FD36B6" w:rsidRPr="007A661F">
        <w:rPr>
          <w:szCs w:val="24"/>
        </w:rPr>
        <w:t xml:space="preserve"> rīkojuma projekts “Par Satiksmes ministrijas ilgtermiņa saistībām valsts galvenā autoceļa “E67/A7 Ķekavas apvedceļš” publiskās un privātās partnerības projekta īstenošanai”</w:t>
      </w:r>
      <w:r w:rsidR="00FD36B6">
        <w:rPr>
          <w:szCs w:val="24"/>
        </w:rPr>
        <w:t xml:space="preserve"> (fiskālā ietekme +8,29 milj. </w:t>
      </w:r>
      <w:proofErr w:type="spellStart"/>
      <w:r w:rsidR="00FD36B6" w:rsidRPr="00F649A4">
        <w:rPr>
          <w:i/>
          <w:szCs w:val="24"/>
        </w:rPr>
        <w:t>euro</w:t>
      </w:r>
      <w:proofErr w:type="spellEnd"/>
      <w:r w:rsidR="00FD36B6">
        <w:rPr>
          <w:szCs w:val="24"/>
        </w:rPr>
        <w:t>);</w:t>
      </w:r>
    </w:p>
    <w:p w:rsidR="00FD36B6" w:rsidRDefault="00FD36B6" w:rsidP="005E0381">
      <w:pPr>
        <w:pStyle w:val="ListParagraph"/>
        <w:numPr>
          <w:ilvl w:val="0"/>
          <w:numId w:val="8"/>
        </w:numPr>
        <w:spacing w:after="0"/>
        <w:ind w:left="714" w:hanging="357"/>
        <w:contextualSpacing w:val="0"/>
        <w:rPr>
          <w:szCs w:val="24"/>
        </w:rPr>
      </w:pPr>
      <w:r>
        <w:rPr>
          <w:szCs w:val="24"/>
        </w:rPr>
        <w:t>g</w:t>
      </w:r>
      <w:r w:rsidRPr="007A661F">
        <w:rPr>
          <w:szCs w:val="24"/>
        </w:rPr>
        <w:t>rozījumi Čeku loterijas likumā</w:t>
      </w:r>
      <w:r>
        <w:rPr>
          <w:szCs w:val="24"/>
        </w:rPr>
        <w:t xml:space="preserve"> (fiskālā ietekme +0,68 milj. </w:t>
      </w:r>
      <w:proofErr w:type="spellStart"/>
      <w:r w:rsidRPr="00CC04E9">
        <w:rPr>
          <w:i/>
          <w:szCs w:val="24"/>
        </w:rPr>
        <w:t>euro</w:t>
      </w:r>
      <w:proofErr w:type="spellEnd"/>
      <w:r>
        <w:rPr>
          <w:szCs w:val="24"/>
        </w:rPr>
        <w:t>);</w:t>
      </w:r>
    </w:p>
    <w:p w:rsidR="00FD36B6" w:rsidRDefault="00FD36B6" w:rsidP="005E0381">
      <w:pPr>
        <w:pStyle w:val="ListParagraph"/>
        <w:numPr>
          <w:ilvl w:val="0"/>
          <w:numId w:val="8"/>
        </w:numPr>
        <w:spacing w:after="0"/>
        <w:contextualSpacing w:val="0"/>
        <w:rPr>
          <w:szCs w:val="24"/>
        </w:rPr>
      </w:pPr>
      <w:r w:rsidRPr="00CC364C">
        <w:rPr>
          <w:szCs w:val="24"/>
        </w:rPr>
        <w:lastRenderedPageBreak/>
        <w:t>atgriezeniskais efekts no algu palielināšanas veselības un izglītības jomā</w:t>
      </w:r>
      <w:r>
        <w:rPr>
          <w:szCs w:val="24"/>
        </w:rPr>
        <w:t xml:space="preserve"> (fiskālā ietekme +25,7 milj. </w:t>
      </w:r>
      <w:proofErr w:type="spellStart"/>
      <w:r w:rsidRPr="00CC04E9">
        <w:rPr>
          <w:i/>
          <w:szCs w:val="24"/>
        </w:rPr>
        <w:t>euro</w:t>
      </w:r>
      <w:proofErr w:type="spellEnd"/>
      <w:r>
        <w:rPr>
          <w:szCs w:val="24"/>
        </w:rPr>
        <w:t>);</w:t>
      </w:r>
    </w:p>
    <w:p w:rsidR="00FD36B6" w:rsidRPr="000E6CB6" w:rsidRDefault="00FD36B6" w:rsidP="005E0381">
      <w:pPr>
        <w:pStyle w:val="ListParagraph"/>
        <w:numPr>
          <w:ilvl w:val="0"/>
          <w:numId w:val="8"/>
        </w:numPr>
        <w:spacing w:after="0"/>
        <w:contextualSpacing w:val="0"/>
        <w:rPr>
          <w:szCs w:val="24"/>
        </w:rPr>
      </w:pPr>
      <w:r>
        <w:rPr>
          <w:szCs w:val="24"/>
        </w:rPr>
        <w:t>akcīzes nodokļa</w:t>
      </w:r>
      <w:r w:rsidRPr="00614D67">
        <w:rPr>
          <w:szCs w:val="24"/>
        </w:rPr>
        <w:t xml:space="preserve"> likmju tabakas izstrādājumiem paaugstināšana</w:t>
      </w:r>
      <w:r>
        <w:rPr>
          <w:szCs w:val="24"/>
        </w:rPr>
        <w:t xml:space="preserve"> (fiskālā ietekme 2021.gadā +0,86 milj. </w:t>
      </w:r>
      <w:proofErr w:type="spellStart"/>
      <w:r w:rsidRPr="00CC04E9">
        <w:rPr>
          <w:i/>
          <w:szCs w:val="24"/>
        </w:rPr>
        <w:t>euro</w:t>
      </w:r>
      <w:proofErr w:type="spellEnd"/>
      <w:r>
        <w:rPr>
          <w:szCs w:val="24"/>
        </w:rPr>
        <w:t>).</w:t>
      </w:r>
    </w:p>
    <w:p w:rsidR="00FD36B6" w:rsidRPr="005E0381" w:rsidRDefault="00FD36B6" w:rsidP="00FD36B6">
      <w:pPr>
        <w:pStyle w:val="T"/>
        <w:spacing w:before="240"/>
        <w:rPr>
          <w:i w:val="0"/>
          <w:color w:val="000000" w:themeColor="text1"/>
        </w:rPr>
      </w:pPr>
      <w:r w:rsidRPr="0069694D">
        <w:rPr>
          <w:color w:val="000000" w:themeColor="text1"/>
        </w:rPr>
        <w:t>3.</w:t>
      </w:r>
      <w:r>
        <w:rPr>
          <w:color w:val="000000" w:themeColor="text1"/>
        </w:rPr>
        <w:t>7</w:t>
      </w:r>
      <w:r w:rsidRPr="0069694D">
        <w:rPr>
          <w:color w:val="000000" w:themeColor="text1"/>
        </w:rPr>
        <w:t xml:space="preserve">. tabula </w:t>
      </w:r>
      <w:r w:rsidRPr="005E0381">
        <w:rPr>
          <w:i w:val="0"/>
          <w:color w:val="000000" w:themeColor="text1"/>
        </w:rPr>
        <w:t>Pievienotās vērtības nodokļa ieņēmumi</w:t>
      </w:r>
    </w:p>
    <w:tbl>
      <w:tblPr>
        <w:tblW w:w="498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85" w:type="dxa"/>
        </w:tblCellMar>
        <w:tblLook w:val="0000" w:firstRow="0" w:lastRow="0" w:firstColumn="0" w:lastColumn="0" w:noHBand="0" w:noVBand="0"/>
      </w:tblPr>
      <w:tblGrid>
        <w:gridCol w:w="4447"/>
        <w:gridCol w:w="1071"/>
        <w:gridCol w:w="1030"/>
        <w:gridCol w:w="1245"/>
        <w:gridCol w:w="1241"/>
      </w:tblGrid>
      <w:tr w:rsidR="00FD36B6" w:rsidRPr="005E0381" w:rsidTr="005E0381">
        <w:trPr>
          <w:trHeight w:val="326"/>
          <w:tblHeader/>
          <w:jc w:val="center"/>
        </w:trPr>
        <w:tc>
          <w:tcPr>
            <w:tcW w:w="2461" w:type="pct"/>
            <w:vMerge w:val="restart"/>
            <w:shd w:val="clear" w:color="auto" w:fill="D9D9D9" w:themeFill="background1" w:themeFillShade="D9"/>
          </w:tcPr>
          <w:p w:rsidR="00FD36B6" w:rsidRPr="005E0381" w:rsidRDefault="00FD36B6" w:rsidP="00FD36B6">
            <w:pPr>
              <w:pStyle w:val="tabtekst"/>
              <w:rPr>
                <w:b/>
                <w:color w:val="000000" w:themeColor="text1"/>
                <w:sz w:val="18"/>
                <w:szCs w:val="18"/>
              </w:rPr>
            </w:pPr>
          </w:p>
        </w:tc>
        <w:tc>
          <w:tcPr>
            <w:tcW w:w="593" w:type="pct"/>
            <w:shd w:val="clear" w:color="auto" w:fill="D9D9D9" w:themeFill="background1" w:themeFillShade="D9"/>
            <w:vAlign w:val="center"/>
          </w:tcPr>
          <w:p w:rsidR="00FD36B6" w:rsidRPr="005E0381" w:rsidRDefault="00FD36B6" w:rsidP="00FD36B6">
            <w:pPr>
              <w:pStyle w:val="tabtekst"/>
              <w:jc w:val="center"/>
              <w:rPr>
                <w:b/>
                <w:color w:val="000000" w:themeColor="text1"/>
                <w:sz w:val="18"/>
                <w:szCs w:val="18"/>
              </w:rPr>
            </w:pPr>
            <w:r w:rsidRPr="005E0381">
              <w:rPr>
                <w:b/>
                <w:color w:val="000000" w:themeColor="text1"/>
                <w:sz w:val="18"/>
                <w:szCs w:val="18"/>
              </w:rPr>
              <w:t>2018</w:t>
            </w:r>
          </w:p>
        </w:tc>
        <w:tc>
          <w:tcPr>
            <w:tcW w:w="570" w:type="pct"/>
            <w:shd w:val="clear" w:color="auto" w:fill="D9D9D9" w:themeFill="background1" w:themeFillShade="D9"/>
            <w:vAlign w:val="center"/>
          </w:tcPr>
          <w:p w:rsidR="00FD36B6" w:rsidRPr="005E0381" w:rsidRDefault="00FD36B6" w:rsidP="00FD36B6">
            <w:pPr>
              <w:pStyle w:val="tabtekst"/>
              <w:jc w:val="center"/>
              <w:rPr>
                <w:b/>
                <w:color w:val="000000" w:themeColor="text1"/>
                <w:sz w:val="18"/>
                <w:szCs w:val="18"/>
              </w:rPr>
            </w:pPr>
            <w:r w:rsidRPr="005E0381">
              <w:rPr>
                <w:b/>
                <w:color w:val="000000" w:themeColor="text1"/>
                <w:sz w:val="18"/>
                <w:szCs w:val="18"/>
              </w:rPr>
              <w:t>2019</w:t>
            </w:r>
          </w:p>
        </w:tc>
        <w:tc>
          <w:tcPr>
            <w:tcW w:w="689" w:type="pct"/>
            <w:shd w:val="clear" w:color="auto" w:fill="D9D9D9" w:themeFill="background1" w:themeFillShade="D9"/>
            <w:vAlign w:val="center"/>
          </w:tcPr>
          <w:p w:rsidR="00FD36B6" w:rsidRPr="005E0381" w:rsidRDefault="00FD36B6" w:rsidP="00FD36B6">
            <w:pPr>
              <w:pStyle w:val="tabtekst"/>
              <w:jc w:val="center"/>
              <w:rPr>
                <w:b/>
                <w:color w:val="000000" w:themeColor="text1"/>
                <w:sz w:val="18"/>
                <w:szCs w:val="18"/>
              </w:rPr>
            </w:pPr>
            <w:r w:rsidRPr="005E0381">
              <w:rPr>
                <w:b/>
                <w:color w:val="000000" w:themeColor="text1"/>
                <w:sz w:val="18"/>
                <w:szCs w:val="18"/>
              </w:rPr>
              <w:t>2020</w:t>
            </w:r>
          </w:p>
        </w:tc>
        <w:tc>
          <w:tcPr>
            <w:tcW w:w="687" w:type="pct"/>
            <w:shd w:val="clear" w:color="auto" w:fill="D9D9D9" w:themeFill="background1" w:themeFillShade="D9"/>
            <w:vAlign w:val="center"/>
          </w:tcPr>
          <w:p w:rsidR="00FD36B6" w:rsidRPr="005E0381" w:rsidRDefault="00FD36B6" w:rsidP="00FD36B6">
            <w:pPr>
              <w:pStyle w:val="tabtekst"/>
              <w:jc w:val="center"/>
              <w:rPr>
                <w:b/>
                <w:color w:val="000000" w:themeColor="text1"/>
                <w:sz w:val="18"/>
                <w:szCs w:val="18"/>
              </w:rPr>
            </w:pPr>
            <w:r w:rsidRPr="005E0381">
              <w:rPr>
                <w:b/>
                <w:color w:val="000000" w:themeColor="text1"/>
                <w:sz w:val="18"/>
                <w:szCs w:val="18"/>
              </w:rPr>
              <w:t>2021</w:t>
            </w:r>
          </w:p>
        </w:tc>
      </w:tr>
      <w:tr w:rsidR="00FD36B6" w:rsidRPr="005E0381" w:rsidTr="005E0381">
        <w:trPr>
          <w:trHeight w:val="348"/>
          <w:tblHeader/>
          <w:jc w:val="center"/>
        </w:trPr>
        <w:tc>
          <w:tcPr>
            <w:tcW w:w="2461" w:type="pct"/>
            <w:vMerge/>
            <w:shd w:val="clear" w:color="auto" w:fill="D9D9D9" w:themeFill="background1" w:themeFillShade="D9"/>
          </w:tcPr>
          <w:p w:rsidR="00FD36B6" w:rsidRPr="005E0381" w:rsidRDefault="00FD36B6" w:rsidP="00FD36B6">
            <w:pPr>
              <w:pStyle w:val="tabtekst"/>
              <w:rPr>
                <w:b/>
                <w:color w:val="000000" w:themeColor="text1"/>
                <w:sz w:val="18"/>
                <w:szCs w:val="18"/>
              </w:rPr>
            </w:pPr>
          </w:p>
        </w:tc>
        <w:tc>
          <w:tcPr>
            <w:tcW w:w="1163" w:type="pct"/>
            <w:gridSpan w:val="2"/>
            <w:shd w:val="clear" w:color="auto" w:fill="D9D9D9" w:themeFill="background1" w:themeFillShade="D9"/>
            <w:vAlign w:val="center"/>
          </w:tcPr>
          <w:p w:rsidR="00FD36B6" w:rsidRPr="005E0381" w:rsidRDefault="00FD36B6" w:rsidP="00FD36B6">
            <w:pPr>
              <w:pStyle w:val="tabtekst"/>
              <w:jc w:val="center"/>
              <w:rPr>
                <w:b/>
                <w:color w:val="000000" w:themeColor="text1"/>
                <w:sz w:val="18"/>
                <w:szCs w:val="18"/>
              </w:rPr>
            </w:pPr>
            <w:r w:rsidRPr="005E0381">
              <w:rPr>
                <w:b/>
                <w:color w:val="000000" w:themeColor="text1"/>
                <w:sz w:val="18"/>
                <w:szCs w:val="18"/>
              </w:rPr>
              <w:t>fakts</w:t>
            </w:r>
          </w:p>
        </w:tc>
        <w:tc>
          <w:tcPr>
            <w:tcW w:w="689" w:type="pct"/>
            <w:shd w:val="clear" w:color="auto" w:fill="D9D9D9" w:themeFill="background1" w:themeFillShade="D9"/>
            <w:vAlign w:val="center"/>
          </w:tcPr>
          <w:p w:rsidR="00FD36B6" w:rsidRPr="005E0381" w:rsidRDefault="00FD36B6" w:rsidP="00FD36B6">
            <w:pPr>
              <w:pStyle w:val="tabtekst"/>
              <w:jc w:val="center"/>
              <w:rPr>
                <w:b/>
                <w:color w:val="000000" w:themeColor="text1"/>
                <w:sz w:val="18"/>
                <w:szCs w:val="18"/>
              </w:rPr>
            </w:pPr>
            <w:r w:rsidRPr="005E0381">
              <w:rPr>
                <w:b/>
                <w:color w:val="000000" w:themeColor="text1"/>
                <w:sz w:val="18"/>
                <w:szCs w:val="18"/>
              </w:rPr>
              <w:t>prognoze</w:t>
            </w:r>
          </w:p>
        </w:tc>
        <w:tc>
          <w:tcPr>
            <w:tcW w:w="687" w:type="pct"/>
            <w:shd w:val="clear" w:color="auto" w:fill="D9D9D9" w:themeFill="background1" w:themeFillShade="D9"/>
            <w:vAlign w:val="center"/>
          </w:tcPr>
          <w:p w:rsidR="00FD36B6" w:rsidRPr="005E0381" w:rsidRDefault="005E0381" w:rsidP="00FD36B6">
            <w:pPr>
              <w:pStyle w:val="tabtekst"/>
              <w:jc w:val="center"/>
              <w:rPr>
                <w:b/>
                <w:color w:val="000000" w:themeColor="text1"/>
                <w:sz w:val="18"/>
                <w:szCs w:val="18"/>
              </w:rPr>
            </w:pPr>
            <w:r w:rsidRPr="005E0381">
              <w:rPr>
                <w:b/>
                <w:color w:val="000000" w:themeColor="text1"/>
                <w:sz w:val="18"/>
                <w:szCs w:val="18"/>
              </w:rPr>
              <w:t>P</w:t>
            </w:r>
            <w:r w:rsidR="00FD36B6" w:rsidRPr="005E0381">
              <w:rPr>
                <w:b/>
                <w:color w:val="000000" w:themeColor="text1"/>
                <w:sz w:val="18"/>
                <w:szCs w:val="18"/>
              </w:rPr>
              <w:t>lāns</w:t>
            </w:r>
            <w:r>
              <w:rPr>
                <w:b/>
                <w:color w:val="000000" w:themeColor="text1"/>
                <w:sz w:val="18"/>
                <w:szCs w:val="18"/>
                <w:vertAlign w:val="superscript"/>
              </w:rPr>
              <w:t>*</w:t>
            </w:r>
          </w:p>
        </w:tc>
      </w:tr>
      <w:tr w:rsidR="00FD36B6" w:rsidRPr="005E0381" w:rsidTr="005E0381">
        <w:trPr>
          <w:trHeight w:val="326"/>
          <w:jc w:val="center"/>
        </w:trPr>
        <w:tc>
          <w:tcPr>
            <w:tcW w:w="2461" w:type="pct"/>
            <w:shd w:val="clear" w:color="auto" w:fill="auto"/>
            <w:vAlign w:val="center"/>
          </w:tcPr>
          <w:p w:rsidR="00FD36B6" w:rsidRPr="005E0381" w:rsidRDefault="00FD36B6" w:rsidP="00FD36B6">
            <w:pPr>
              <w:pStyle w:val="tabtekst"/>
              <w:rPr>
                <w:color w:val="000000" w:themeColor="text1"/>
                <w:sz w:val="18"/>
                <w:szCs w:val="18"/>
              </w:rPr>
            </w:pPr>
            <w:r w:rsidRPr="005E0381">
              <w:rPr>
                <w:b/>
                <w:color w:val="000000" w:themeColor="text1"/>
                <w:sz w:val="18"/>
                <w:szCs w:val="18"/>
              </w:rPr>
              <w:t>Pievienotās vērtības nodoklis</w:t>
            </w:r>
            <w:r w:rsidRPr="005E0381">
              <w:rPr>
                <w:color w:val="000000" w:themeColor="text1"/>
                <w:sz w:val="18"/>
                <w:szCs w:val="18"/>
              </w:rPr>
              <w:t xml:space="preserve">, milj. </w:t>
            </w:r>
            <w:proofErr w:type="spellStart"/>
            <w:r w:rsidRPr="005E0381">
              <w:rPr>
                <w:i/>
                <w:color w:val="000000" w:themeColor="text1"/>
                <w:sz w:val="18"/>
                <w:szCs w:val="18"/>
              </w:rPr>
              <w:t>euro</w:t>
            </w:r>
            <w:proofErr w:type="spellEnd"/>
          </w:p>
        </w:tc>
        <w:tc>
          <w:tcPr>
            <w:tcW w:w="593" w:type="pct"/>
            <w:shd w:val="clear" w:color="auto" w:fill="auto"/>
            <w:vAlign w:val="center"/>
          </w:tcPr>
          <w:p w:rsidR="00FD36B6" w:rsidRPr="005E0381" w:rsidRDefault="00FD36B6" w:rsidP="00FD36B6">
            <w:pPr>
              <w:spacing w:after="0"/>
              <w:ind w:firstLine="0"/>
              <w:jc w:val="center"/>
              <w:rPr>
                <w:b/>
                <w:snapToGrid w:val="0"/>
                <w:color w:val="000000" w:themeColor="text1"/>
                <w:sz w:val="18"/>
                <w:szCs w:val="18"/>
              </w:rPr>
            </w:pPr>
            <w:r w:rsidRPr="005E0381">
              <w:rPr>
                <w:b/>
                <w:snapToGrid w:val="0"/>
                <w:color w:val="000000" w:themeColor="text1"/>
                <w:sz w:val="18"/>
                <w:szCs w:val="18"/>
              </w:rPr>
              <w:t>2 457,0</w:t>
            </w:r>
          </w:p>
        </w:tc>
        <w:tc>
          <w:tcPr>
            <w:tcW w:w="570" w:type="pct"/>
            <w:shd w:val="clear" w:color="auto" w:fill="auto"/>
            <w:vAlign w:val="center"/>
          </w:tcPr>
          <w:p w:rsidR="00FD36B6" w:rsidRPr="005E0381" w:rsidRDefault="00FD36B6" w:rsidP="00FD36B6">
            <w:pPr>
              <w:spacing w:after="0"/>
              <w:ind w:firstLine="0"/>
              <w:jc w:val="center"/>
              <w:rPr>
                <w:b/>
                <w:snapToGrid w:val="0"/>
                <w:color w:val="000000" w:themeColor="text1"/>
                <w:sz w:val="18"/>
                <w:szCs w:val="18"/>
              </w:rPr>
            </w:pPr>
            <w:r w:rsidRPr="005E0381">
              <w:rPr>
                <w:b/>
                <w:snapToGrid w:val="0"/>
                <w:color w:val="000000" w:themeColor="text1"/>
                <w:sz w:val="18"/>
                <w:szCs w:val="18"/>
              </w:rPr>
              <w:t>2 648,3</w:t>
            </w:r>
          </w:p>
        </w:tc>
        <w:tc>
          <w:tcPr>
            <w:tcW w:w="689" w:type="pct"/>
            <w:vAlign w:val="center"/>
          </w:tcPr>
          <w:p w:rsidR="00FD36B6" w:rsidRPr="005E0381" w:rsidRDefault="00FD36B6" w:rsidP="00FD36B6">
            <w:pPr>
              <w:spacing w:after="0"/>
              <w:ind w:firstLine="0"/>
              <w:jc w:val="center"/>
              <w:rPr>
                <w:b/>
                <w:snapToGrid w:val="0"/>
                <w:color w:val="000000" w:themeColor="text1"/>
                <w:sz w:val="18"/>
                <w:szCs w:val="18"/>
              </w:rPr>
            </w:pPr>
            <w:r w:rsidRPr="005E0381">
              <w:rPr>
                <w:b/>
                <w:snapToGrid w:val="0"/>
                <w:color w:val="000000" w:themeColor="text1"/>
                <w:sz w:val="18"/>
                <w:szCs w:val="18"/>
              </w:rPr>
              <w:t>2 498,8</w:t>
            </w:r>
          </w:p>
        </w:tc>
        <w:tc>
          <w:tcPr>
            <w:tcW w:w="687" w:type="pct"/>
            <w:shd w:val="clear" w:color="auto" w:fill="auto"/>
            <w:vAlign w:val="center"/>
          </w:tcPr>
          <w:p w:rsidR="00FD36B6" w:rsidRPr="005E0381" w:rsidRDefault="00FD36B6" w:rsidP="00FD36B6">
            <w:pPr>
              <w:spacing w:after="0"/>
              <w:ind w:firstLine="0"/>
              <w:jc w:val="center"/>
              <w:rPr>
                <w:b/>
                <w:snapToGrid w:val="0"/>
                <w:color w:val="000000" w:themeColor="text1"/>
                <w:sz w:val="18"/>
                <w:szCs w:val="18"/>
              </w:rPr>
            </w:pPr>
            <w:r w:rsidRPr="005E0381">
              <w:rPr>
                <w:b/>
                <w:snapToGrid w:val="0"/>
                <w:color w:val="000000" w:themeColor="text1"/>
                <w:sz w:val="18"/>
                <w:szCs w:val="18"/>
              </w:rPr>
              <w:t>2 735,3</w:t>
            </w:r>
          </w:p>
        </w:tc>
      </w:tr>
      <w:tr w:rsidR="00FD36B6" w:rsidRPr="005E0381" w:rsidTr="005E0381">
        <w:trPr>
          <w:trHeight w:val="326"/>
          <w:jc w:val="center"/>
        </w:trPr>
        <w:tc>
          <w:tcPr>
            <w:tcW w:w="2461" w:type="pct"/>
            <w:shd w:val="clear" w:color="auto" w:fill="auto"/>
            <w:vAlign w:val="center"/>
          </w:tcPr>
          <w:p w:rsidR="00FD36B6" w:rsidRPr="005E0381" w:rsidRDefault="00FD36B6" w:rsidP="00FD36B6">
            <w:pPr>
              <w:pStyle w:val="tabtekst"/>
              <w:rPr>
                <w:i/>
                <w:color w:val="000000" w:themeColor="text1"/>
                <w:sz w:val="18"/>
                <w:szCs w:val="18"/>
              </w:rPr>
            </w:pPr>
            <w:r w:rsidRPr="005E0381">
              <w:rPr>
                <w:i/>
                <w:color w:val="000000" w:themeColor="text1"/>
                <w:sz w:val="18"/>
                <w:szCs w:val="18"/>
              </w:rPr>
              <w:t xml:space="preserve">   pieauguma tempi faktiskās cenās, %</w:t>
            </w:r>
          </w:p>
        </w:tc>
        <w:tc>
          <w:tcPr>
            <w:tcW w:w="593" w:type="pct"/>
            <w:shd w:val="clear" w:color="auto" w:fill="auto"/>
            <w:vAlign w:val="center"/>
          </w:tcPr>
          <w:p w:rsidR="00FD36B6" w:rsidRPr="005E0381" w:rsidRDefault="00FD36B6" w:rsidP="00FD36B6">
            <w:pPr>
              <w:pStyle w:val="tabtekst"/>
              <w:jc w:val="center"/>
              <w:rPr>
                <w:i/>
                <w:color w:val="000000" w:themeColor="text1"/>
                <w:sz w:val="18"/>
                <w:szCs w:val="18"/>
              </w:rPr>
            </w:pPr>
            <w:r w:rsidRPr="005E0381">
              <w:rPr>
                <w:i/>
                <w:color w:val="000000" w:themeColor="text1"/>
                <w:sz w:val="18"/>
                <w:szCs w:val="18"/>
              </w:rPr>
              <w:t>12,3</w:t>
            </w:r>
          </w:p>
        </w:tc>
        <w:tc>
          <w:tcPr>
            <w:tcW w:w="570" w:type="pct"/>
            <w:shd w:val="clear" w:color="auto" w:fill="auto"/>
            <w:vAlign w:val="center"/>
          </w:tcPr>
          <w:p w:rsidR="00FD36B6" w:rsidRPr="005E0381" w:rsidRDefault="00FD36B6" w:rsidP="00FD36B6">
            <w:pPr>
              <w:pStyle w:val="tabtekst"/>
              <w:jc w:val="center"/>
              <w:rPr>
                <w:i/>
                <w:color w:val="000000" w:themeColor="text1"/>
                <w:sz w:val="18"/>
                <w:szCs w:val="18"/>
              </w:rPr>
            </w:pPr>
            <w:r w:rsidRPr="005E0381">
              <w:rPr>
                <w:i/>
                <w:color w:val="000000" w:themeColor="text1"/>
                <w:sz w:val="18"/>
                <w:szCs w:val="18"/>
              </w:rPr>
              <w:t>7,8</w:t>
            </w:r>
          </w:p>
        </w:tc>
        <w:tc>
          <w:tcPr>
            <w:tcW w:w="689" w:type="pct"/>
            <w:vAlign w:val="center"/>
          </w:tcPr>
          <w:p w:rsidR="00FD36B6" w:rsidRPr="005E0381" w:rsidRDefault="00FD36B6" w:rsidP="00FD36B6">
            <w:pPr>
              <w:pStyle w:val="tabtekst"/>
              <w:jc w:val="center"/>
              <w:rPr>
                <w:i/>
                <w:color w:val="000000" w:themeColor="text1"/>
                <w:sz w:val="18"/>
                <w:szCs w:val="18"/>
              </w:rPr>
            </w:pPr>
            <w:r w:rsidRPr="005E0381">
              <w:rPr>
                <w:i/>
                <w:color w:val="000000" w:themeColor="text1"/>
                <w:sz w:val="18"/>
                <w:szCs w:val="18"/>
              </w:rPr>
              <w:noBreakHyphen/>
              <w:t>5,6</w:t>
            </w:r>
          </w:p>
        </w:tc>
        <w:tc>
          <w:tcPr>
            <w:tcW w:w="687" w:type="pct"/>
            <w:shd w:val="clear" w:color="auto" w:fill="auto"/>
            <w:vAlign w:val="center"/>
          </w:tcPr>
          <w:p w:rsidR="00FD36B6" w:rsidRPr="005E0381" w:rsidRDefault="00FD36B6" w:rsidP="00FD36B6">
            <w:pPr>
              <w:pStyle w:val="tabtekst"/>
              <w:jc w:val="center"/>
              <w:rPr>
                <w:i/>
                <w:color w:val="000000" w:themeColor="text1"/>
                <w:sz w:val="18"/>
                <w:szCs w:val="18"/>
              </w:rPr>
            </w:pPr>
            <w:r w:rsidRPr="005E0381">
              <w:rPr>
                <w:i/>
                <w:color w:val="000000" w:themeColor="text1"/>
                <w:sz w:val="18"/>
                <w:szCs w:val="18"/>
              </w:rPr>
              <w:t>9,5</w:t>
            </w:r>
          </w:p>
        </w:tc>
      </w:tr>
      <w:tr w:rsidR="00FD36B6" w:rsidRPr="005E0381" w:rsidTr="005E0381">
        <w:trPr>
          <w:trHeight w:val="326"/>
          <w:jc w:val="center"/>
        </w:trPr>
        <w:tc>
          <w:tcPr>
            <w:tcW w:w="2461" w:type="pct"/>
            <w:vAlign w:val="center"/>
          </w:tcPr>
          <w:p w:rsidR="00FD36B6" w:rsidRPr="005E0381" w:rsidRDefault="00FD36B6" w:rsidP="00FD36B6">
            <w:pPr>
              <w:pStyle w:val="tabtekst"/>
              <w:rPr>
                <w:i/>
                <w:color w:val="000000" w:themeColor="text1"/>
                <w:sz w:val="18"/>
                <w:szCs w:val="18"/>
              </w:rPr>
            </w:pPr>
            <w:r w:rsidRPr="005E0381">
              <w:rPr>
                <w:i/>
                <w:color w:val="000000" w:themeColor="text1"/>
                <w:sz w:val="18"/>
                <w:szCs w:val="18"/>
              </w:rPr>
              <w:t xml:space="preserve">   % no IKP</w:t>
            </w:r>
          </w:p>
        </w:tc>
        <w:tc>
          <w:tcPr>
            <w:tcW w:w="593" w:type="pct"/>
            <w:shd w:val="clear" w:color="auto" w:fill="auto"/>
            <w:vAlign w:val="center"/>
          </w:tcPr>
          <w:p w:rsidR="00FD36B6" w:rsidRPr="005E0381" w:rsidRDefault="00FD36B6" w:rsidP="00FD36B6">
            <w:pPr>
              <w:pStyle w:val="tabtekst"/>
              <w:jc w:val="center"/>
              <w:rPr>
                <w:i/>
                <w:color w:val="000000" w:themeColor="text1"/>
                <w:sz w:val="18"/>
                <w:szCs w:val="18"/>
              </w:rPr>
            </w:pPr>
            <w:r w:rsidRPr="005E0381">
              <w:rPr>
                <w:i/>
                <w:color w:val="000000" w:themeColor="text1"/>
                <w:sz w:val="18"/>
                <w:szCs w:val="18"/>
              </w:rPr>
              <w:t>8,5</w:t>
            </w:r>
          </w:p>
        </w:tc>
        <w:tc>
          <w:tcPr>
            <w:tcW w:w="570" w:type="pct"/>
            <w:shd w:val="clear" w:color="auto" w:fill="auto"/>
            <w:vAlign w:val="center"/>
          </w:tcPr>
          <w:p w:rsidR="00FD36B6" w:rsidRPr="005E0381" w:rsidRDefault="00FD36B6" w:rsidP="00FD36B6">
            <w:pPr>
              <w:pStyle w:val="tabtekst"/>
              <w:jc w:val="center"/>
              <w:rPr>
                <w:i/>
                <w:color w:val="000000" w:themeColor="text1"/>
                <w:sz w:val="18"/>
                <w:szCs w:val="18"/>
              </w:rPr>
            </w:pPr>
            <w:r w:rsidRPr="005E0381">
              <w:rPr>
                <w:i/>
                <w:color w:val="000000" w:themeColor="text1"/>
                <w:sz w:val="18"/>
                <w:szCs w:val="18"/>
              </w:rPr>
              <w:t>8,7</w:t>
            </w:r>
          </w:p>
        </w:tc>
        <w:tc>
          <w:tcPr>
            <w:tcW w:w="689" w:type="pct"/>
            <w:vAlign w:val="center"/>
          </w:tcPr>
          <w:p w:rsidR="00FD36B6" w:rsidRPr="005E0381" w:rsidRDefault="00FD36B6" w:rsidP="00FD36B6">
            <w:pPr>
              <w:pStyle w:val="tabtekst"/>
              <w:jc w:val="center"/>
              <w:rPr>
                <w:i/>
                <w:color w:val="000000" w:themeColor="text1"/>
                <w:sz w:val="18"/>
                <w:szCs w:val="18"/>
              </w:rPr>
            </w:pPr>
            <w:r w:rsidRPr="005E0381">
              <w:rPr>
                <w:i/>
                <w:color w:val="000000" w:themeColor="text1"/>
                <w:sz w:val="18"/>
                <w:szCs w:val="18"/>
              </w:rPr>
              <w:t>8,9</w:t>
            </w:r>
          </w:p>
        </w:tc>
        <w:tc>
          <w:tcPr>
            <w:tcW w:w="687" w:type="pct"/>
            <w:shd w:val="clear" w:color="auto" w:fill="auto"/>
            <w:vAlign w:val="center"/>
          </w:tcPr>
          <w:p w:rsidR="00FD36B6" w:rsidRPr="005E0381" w:rsidRDefault="00FD36B6" w:rsidP="00FD36B6">
            <w:pPr>
              <w:pStyle w:val="tabtekst"/>
              <w:jc w:val="center"/>
              <w:rPr>
                <w:i/>
                <w:color w:val="000000" w:themeColor="text1"/>
                <w:sz w:val="18"/>
                <w:szCs w:val="18"/>
              </w:rPr>
            </w:pPr>
            <w:r w:rsidRPr="005E0381">
              <w:rPr>
                <w:i/>
                <w:color w:val="000000" w:themeColor="text1"/>
                <w:sz w:val="18"/>
                <w:szCs w:val="18"/>
              </w:rPr>
              <w:t>9,1</w:t>
            </w:r>
          </w:p>
        </w:tc>
      </w:tr>
    </w:tbl>
    <w:p w:rsidR="00FD36B6" w:rsidRPr="005E0381" w:rsidRDefault="005E0381" w:rsidP="00FD36B6">
      <w:pPr>
        <w:spacing w:after="0"/>
        <w:ind w:firstLine="0"/>
        <w:jc w:val="left"/>
        <w:rPr>
          <w:sz w:val="20"/>
          <w:szCs w:val="18"/>
        </w:rPr>
      </w:pPr>
      <w:r>
        <w:rPr>
          <w:sz w:val="20"/>
          <w:vertAlign w:val="superscript"/>
        </w:rPr>
        <w:t>*</w:t>
      </w:r>
      <w:r>
        <w:rPr>
          <w:sz w:val="20"/>
          <w:szCs w:val="18"/>
        </w:rPr>
        <w:t>saskaņā ar likumprojektu “</w:t>
      </w:r>
      <w:r w:rsidR="00FD36B6" w:rsidRPr="005E0381">
        <w:rPr>
          <w:sz w:val="20"/>
          <w:szCs w:val="18"/>
        </w:rPr>
        <w:t>Par valsts budžetu 2021.</w:t>
      </w:r>
      <w:r>
        <w:rPr>
          <w:sz w:val="20"/>
          <w:szCs w:val="18"/>
        </w:rPr>
        <w:t xml:space="preserve"> </w:t>
      </w:r>
      <w:r w:rsidR="00FD36B6" w:rsidRPr="005E0381">
        <w:rPr>
          <w:sz w:val="20"/>
          <w:szCs w:val="18"/>
        </w:rPr>
        <w:t>gadam”</w:t>
      </w:r>
    </w:p>
    <w:p w:rsidR="00FD36B6" w:rsidRPr="00925B4D" w:rsidRDefault="00FD36B6" w:rsidP="005E0381">
      <w:pPr>
        <w:pStyle w:val="H4"/>
        <w:spacing w:before="240"/>
      </w:pPr>
      <w:r w:rsidRPr="00925B4D">
        <w:t>Akcīzes nodoklis</w:t>
      </w:r>
    </w:p>
    <w:p w:rsidR="00FD36B6" w:rsidRPr="000C5E5C" w:rsidRDefault="00FD36B6" w:rsidP="00FD36B6">
      <w:bookmarkStart w:id="14" w:name="_Toc150840178"/>
      <w:bookmarkStart w:id="15" w:name="_Toc150941368"/>
      <w:bookmarkStart w:id="16" w:name="_Toc150840180"/>
      <w:bookmarkStart w:id="17" w:name="_Toc150941370"/>
      <w:r w:rsidRPr="00963937">
        <w:t>2020.</w:t>
      </w:r>
      <w:r w:rsidR="005E0381">
        <w:t xml:space="preserve"> </w:t>
      </w:r>
      <w:r w:rsidRPr="00963937">
        <w:t>gada sešos mēnešos kopējie akcīzes nodokļa ieņēmumi bija 489,2 milj. </w:t>
      </w:r>
      <w:proofErr w:type="spellStart"/>
      <w:r w:rsidRPr="00F92BF9">
        <w:rPr>
          <w:i/>
        </w:rPr>
        <w:t>euro</w:t>
      </w:r>
      <w:proofErr w:type="spellEnd"/>
      <w:r w:rsidRPr="00963937">
        <w:t>. Salīdzinājumā ar 2019.</w:t>
      </w:r>
      <w:r w:rsidR="005E0381">
        <w:t xml:space="preserve"> </w:t>
      </w:r>
      <w:r w:rsidRPr="00963937">
        <w:t>gada sešiem mēnešiem akcīzes nodokļa ieņēmumi samazinājās par 31,5 milj. </w:t>
      </w:r>
      <w:proofErr w:type="spellStart"/>
      <w:r w:rsidRPr="00F92BF9">
        <w:rPr>
          <w:i/>
        </w:rPr>
        <w:t>euro</w:t>
      </w:r>
      <w:proofErr w:type="spellEnd"/>
      <w:r w:rsidRPr="00963937">
        <w:t xml:space="preserve"> jeb 6,0%, savukārt, s</w:t>
      </w:r>
      <w:r w:rsidRPr="00963937">
        <w:rPr>
          <w:color w:val="000000" w:themeColor="text1"/>
        </w:rPr>
        <w:t>alīdzinot ar plānoto, 2020.</w:t>
      </w:r>
      <w:r w:rsidR="005E0381">
        <w:rPr>
          <w:color w:val="000000" w:themeColor="text1"/>
        </w:rPr>
        <w:t xml:space="preserve"> </w:t>
      </w:r>
      <w:r w:rsidRPr="00963937">
        <w:rPr>
          <w:color w:val="000000" w:themeColor="text1"/>
        </w:rPr>
        <w:t xml:space="preserve">gada sešos mēnešos tika iekasēts </w:t>
      </w:r>
      <w:r w:rsidRPr="000C5E5C">
        <w:t>par 84,1 milj. </w:t>
      </w:r>
      <w:proofErr w:type="spellStart"/>
      <w:r w:rsidRPr="00F92BF9">
        <w:rPr>
          <w:bCs/>
          <w:i/>
          <w:szCs w:val="24"/>
        </w:rPr>
        <w:t>euro</w:t>
      </w:r>
      <w:proofErr w:type="spellEnd"/>
      <w:r w:rsidRPr="000C5E5C">
        <w:t xml:space="preserve"> jeb 14,7% mazāk. Visbūtiskāk no plāna atpaliek ieņēmum</w:t>
      </w:r>
      <w:r w:rsidR="005E0381">
        <w:t>i</w:t>
      </w:r>
      <w:r w:rsidRPr="000C5E5C">
        <w:t xml:space="preserve"> no akcīzes nodokļa naftas produktiem (-42,4% jeb -14,1%), alkoholiskajiem dzērieniem (-21,8 milj. </w:t>
      </w:r>
      <w:proofErr w:type="spellStart"/>
      <w:r w:rsidRPr="00F92BF9">
        <w:rPr>
          <w:bCs/>
          <w:i/>
          <w:szCs w:val="24"/>
        </w:rPr>
        <w:t>euro</w:t>
      </w:r>
      <w:proofErr w:type="spellEnd"/>
      <w:r w:rsidRPr="000C5E5C">
        <w:t xml:space="preserve"> jeb 19,9%) un tabakas izstrādājumiem (-11,3 milj. </w:t>
      </w:r>
      <w:proofErr w:type="spellStart"/>
      <w:r w:rsidRPr="00F92BF9">
        <w:rPr>
          <w:bCs/>
          <w:i/>
          <w:szCs w:val="24"/>
        </w:rPr>
        <w:t>euro</w:t>
      </w:r>
      <w:proofErr w:type="spellEnd"/>
      <w:r w:rsidRPr="000C5E5C">
        <w:t xml:space="preserve"> jeb -10,1%). To ietekmēja:</w:t>
      </w:r>
    </w:p>
    <w:p w:rsidR="00FD36B6" w:rsidRPr="000C5E5C" w:rsidRDefault="00FD36B6" w:rsidP="00373FD4">
      <w:pPr>
        <w:pStyle w:val="ListParagraph"/>
        <w:numPr>
          <w:ilvl w:val="0"/>
          <w:numId w:val="18"/>
        </w:numPr>
      </w:pPr>
      <w:r w:rsidRPr="000C5E5C">
        <w:t>akcīzes nodokļa objektu patēriņa apjoma dinamika:</w:t>
      </w:r>
    </w:p>
    <w:p w:rsidR="00FD36B6" w:rsidRPr="000C5E5C" w:rsidRDefault="00FD36B6" w:rsidP="00373FD4">
      <w:pPr>
        <w:pStyle w:val="ListParagraph"/>
        <w:numPr>
          <w:ilvl w:val="0"/>
          <w:numId w:val="19"/>
        </w:numPr>
        <w:rPr>
          <w:szCs w:val="24"/>
        </w:rPr>
      </w:pPr>
      <w:r w:rsidRPr="000C5E5C">
        <w:t xml:space="preserve">atsevišķiem nodokļa objektiem </w:t>
      </w:r>
      <w:r>
        <w:t xml:space="preserve">patēriņa pieauguma temps </w:t>
      </w:r>
      <w:r w:rsidRPr="000C5E5C">
        <w:t>jau kopš gada sākuma bija lēnāk</w:t>
      </w:r>
      <w:r>
        <w:t>s</w:t>
      </w:r>
      <w:r w:rsidRPr="000C5E5C">
        <w:t xml:space="preserve"> nekā prognozēts, sastādot plānu;</w:t>
      </w:r>
    </w:p>
    <w:p w:rsidR="00FD36B6" w:rsidRPr="000C5E5C" w:rsidRDefault="00FD36B6" w:rsidP="00373FD4">
      <w:pPr>
        <w:pStyle w:val="ListParagraph"/>
        <w:numPr>
          <w:ilvl w:val="0"/>
          <w:numId w:val="19"/>
        </w:numPr>
      </w:pPr>
      <w:r w:rsidRPr="000C5E5C">
        <w:t xml:space="preserve">kopš marta </w:t>
      </w:r>
      <w:r>
        <w:t xml:space="preserve">to </w:t>
      </w:r>
      <w:r w:rsidRPr="000C5E5C">
        <w:t xml:space="preserve">būtiski ietekmēja </w:t>
      </w:r>
      <w:r w:rsidRPr="000C5E5C">
        <w:rPr>
          <w:szCs w:val="24"/>
        </w:rPr>
        <w:t xml:space="preserve">ieviestie pasākumi Covid-19 izplatības ierobežošanai un uz laiku noteiktā ārkārtējā situācija valstī. Tā rezultātā ievērojami samazinājās gan pārvadājumi, gan atpūtas, izklaides, tūrisma un socializēšanās iespējas, kas sekmētu alkohola, tabakas un naftas produktu patēriņu. Tāpat uz laiku bija pārtraukta tirdzniecība Latvijas-Igaunijas </w:t>
      </w:r>
      <w:r w:rsidRPr="000C5E5C">
        <w:t>pierobežā;</w:t>
      </w:r>
    </w:p>
    <w:p w:rsidR="00FD36B6" w:rsidRPr="000C5E5C" w:rsidRDefault="00FD36B6" w:rsidP="00373FD4">
      <w:pPr>
        <w:pStyle w:val="ListParagraph"/>
        <w:numPr>
          <w:ilvl w:val="0"/>
          <w:numId w:val="19"/>
        </w:numPr>
      </w:pPr>
      <w:r w:rsidRPr="000C5E5C">
        <w:t>Igaunijas lēmums no 2020.</w:t>
      </w:r>
      <w:r w:rsidR="006B6A06">
        <w:t xml:space="preserve"> </w:t>
      </w:r>
      <w:r w:rsidRPr="000C5E5C">
        <w:t>gada 1.</w:t>
      </w:r>
      <w:r w:rsidR="006B6A06">
        <w:t xml:space="preserve"> </w:t>
      </w:r>
      <w:r w:rsidRPr="000C5E5C">
        <w:t>maija līdz 2022.</w:t>
      </w:r>
      <w:r w:rsidR="006B6A06">
        <w:t xml:space="preserve"> </w:t>
      </w:r>
      <w:r w:rsidRPr="000C5E5C">
        <w:t>gada 30.</w:t>
      </w:r>
      <w:r w:rsidR="006B6A06">
        <w:t xml:space="preserve"> </w:t>
      </w:r>
      <w:r w:rsidRPr="000C5E5C">
        <w:t xml:space="preserve">aprīlim samazināt akcīzes nodokļa likmi dīzeļdegvielai, kā rezultātā </w:t>
      </w:r>
      <w:r>
        <w:t xml:space="preserve">starp </w:t>
      </w:r>
      <w:r w:rsidRPr="000C5E5C">
        <w:t>Baltijas valstī</w:t>
      </w:r>
      <w:r>
        <w:t>m un Poliju</w:t>
      </w:r>
      <w:r w:rsidRPr="000C5E5C">
        <w:t xml:space="preserve"> pašlaik</w:t>
      </w:r>
      <w:r>
        <w:t xml:space="preserve"> </w:t>
      </w:r>
      <w:r w:rsidRPr="000C5E5C">
        <w:t>augstākā nodokļa likme</w:t>
      </w:r>
      <w:r>
        <w:t xml:space="preserve"> dīzeļdegvielai ir</w:t>
      </w:r>
      <w:r w:rsidRPr="000C5E5C">
        <w:t xml:space="preserve"> Latvijā;</w:t>
      </w:r>
    </w:p>
    <w:p w:rsidR="00FD36B6" w:rsidRPr="000C5E5C" w:rsidRDefault="00FD36B6" w:rsidP="00373FD4">
      <w:pPr>
        <w:pStyle w:val="ListParagraph"/>
        <w:numPr>
          <w:ilvl w:val="0"/>
          <w:numId w:val="18"/>
        </w:numPr>
        <w:rPr>
          <w:szCs w:val="26"/>
        </w:rPr>
      </w:pPr>
      <w:r w:rsidRPr="000C5E5C">
        <w:t>piešķirtie nodokļu samaksas termiņa pagarinājumi līdz trim gadiem saskaņā ar likum</w:t>
      </w:r>
      <w:r w:rsidR="006B6A06">
        <w:t>u</w:t>
      </w:r>
      <w:r w:rsidRPr="000C5E5C">
        <w:t xml:space="preserve"> “Par valsts apdraudējuma un tā seku novēršanas un pārvarēšanas pasākumiem sakarā ar Covid-19 izplatību”, ja termiņa kavējums radies Covid-19 izplatības dēļ</w:t>
      </w:r>
      <w:r>
        <w:t>;</w:t>
      </w:r>
    </w:p>
    <w:p w:rsidR="00FD36B6" w:rsidRPr="000C5E5C" w:rsidRDefault="00FD36B6" w:rsidP="00373FD4">
      <w:pPr>
        <w:pStyle w:val="ListParagraph"/>
        <w:numPr>
          <w:ilvl w:val="0"/>
          <w:numId w:val="18"/>
        </w:numPr>
      </w:pPr>
      <w:r w:rsidRPr="000C5E5C">
        <w:rPr>
          <w:szCs w:val="26"/>
        </w:rPr>
        <w:t>lēnāka akcīzes nodokļa likmju alkoholiskajiem dzērieniem un alum paaugstināšana nekā iepriekš plānots.</w:t>
      </w:r>
    </w:p>
    <w:p w:rsidR="00FD36B6" w:rsidRPr="00635EC0" w:rsidRDefault="00FD36B6" w:rsidP="00FD36B6">
      <w:r w:rsidRPr="000C5E5C">
        <w:t>Nodokļa ieņēmumus 2020.</w:t>
      </w:r>
      <w:r w:rsidR="006B6A06">
        <w:t xml:space="preserve"> </w:t>
      </w:r>
      <w:r w:rsidRPr="000C5E5C">
        <w:t>gadā ietekmēja arī 201</w:t>
      </w:r>
      <w:r>
        <w:t>7</w:t>
      </w:r>
      <w:r w:rsidRPr="000C5E5C">
        <w:t>.-2020.</w:t>
      </w:r>
      <w:r w:rsidR="006B6A06">
        <w:t xml:space="preserve"> </w:t>
      </w:r>
      <w:r w:rsidRPr="000C5E5C">
        <w:t xml:space="preserve">gadā pieņemtās normatīvo aktu </w:t>
      </w:r>
      <w:r w:rsidRPr="005B78D3">
        <w:rPr>
          <w:color w:val="000000" w:themeColor="text1"/>
        </w:rPr>
        <w:t xml:space="preserve">izmaiņas. Saskaņā </w:t>
      </w:r>
      <w:r w:rsidRPr="00635EC0">
        <w:t xml:space="preserve">ar pieņemtajiem grozījumiem normatīvajos aktos: </w:t>
      </w:r>
    </w:p>
    <w:p w:rsidR="00FD36B6" w:rsidRPr="00635EC0" w:rsidRDefault="00FD36B6" w:rsidP="00373FD4">
      <w:pPr>
        <w:pStyle w:val="ListParagraph"/>
        <w:numPr>
          <w:ilvl w:val="0"/>
          <w:numId w:val="5"/>
        </w:numPr>
        <w:tabs>
          <w:tab w:val="left" w:pos="993"/>
        </w:tabs>
        <w:ind w:left="720"/>
      </w:pPr>
      <w:r w:rsidRPr="00635EC0">
        <w:t>ar 2017.</w:t>
      </w:r>
      <w:r w:rsidR="006B6A06">
        <w:t xml:space="preserve"> </w:t>
      </w:r>
      <w:r w:rsidRPr="00635EC0">
        <w:t>gada 27.</w:t>
      </w:r>
      <w:r w:rsidR="006B6A06">
        <w:t xml:space="preserve"> </w:t>
      </w:r>
      <w:r w:rsidRPr="00635EC0">
        <w:t>jūlijā Saeimā p</w:t>
      </w:r>
      <w:r w:rsidR="006B6A06">
        <w:t>ieņemtajiem grozījumiem likumā “</w:t>
      </w:r>
      <w:r w:rsidRPr="00635EC0">
        <w:t>Par akcīzes nodokli”:</w:t>
      </w:r>
    </w:p>
    <w:p w:rsidR="00FD36B6" w:rsidRDefault="00FD36B6" w:rsidP="00373FD4">
      <w:pPr>
        <w:pStyle w:val="ListParagraph"/>
        <w:numPr>
          <w:ilvl w:val="0"/>
          <w:numId w:val="9"/>
        </w:numPr>
        <w:tabs>
          <w:tab w:val="left" w:pos="993"/>
        </w:tabs>
      </w:pPr>
      <w:r w:rsidRPr="00635EC0">
        <w:t>ar 2019.</w:t>
      </w:r>
      <w:r w:rsidR="006B6A06">
        <w:t xml:space="preserve"> </w:t>
      </w:r>
      <w:r w:rsidRPr="00635EC0">
        <w:t>gada 1.</w:t>
      </w:r>
      <w:r w:rsidR="006B6A06">
        <w:t xml:space="preserve"> </w:t>
      </w:r>
      <w:r w:rsidRPr="00635EC0">
        <w:t>martu tika paaugstinātas akcīzes nodokļa likmes alkoholiskajiem dzērieniem un alum;</w:t>
      </w:r>
    </w:p>
    <w:p w:rsidR="00FD36B6" w:rsidRDefault="00FD36B6" w:rsidP="00373FD4">
      <w:pPr>
        <w:pStyle w:val="ListParagraph"/>
        <w:numPr>
          <w:ilvl w:val="0"/>
          <w:numId w:val="9"/>
        </w:numPr>
        <w:tabs>
          <w:tab w:val="left" w:pos="993"/>
        </w:tabs>
      </w:pPr>
      <w:r w:rsidRPr="00635EC0">
        <w:t>ar 2019.</w:t>
      </w:r>
      <w:r w:rsidR="006B6A06">
        <w:t xml:space="preserve"> </w:t>
      </w:r>
      <w:r w:rsidRPr="00635EC0">
        <w:t>gada 1.</w:t>
      </w:r>
      <w:r w:rsidR="006B6A06">
        <w:t xml:space="preserve"> </w:t>
      </w:r>
      <w:r>
        <w:t>jūliju</w:t>
      </w:r>
      <w:r w:rsidRPr="00635EC0">
        <w:t xml:space="preserve"> tika paaugstinātas akcīzes nodokļa likmes </w:t>
      </w:r>
      <w:r>
        <w:t>cigaretēm</w:t>
      </w:r>
      <w:r w:rsidRPr="00635EC0">
        <w:t>;</w:t>
      </w:r>
    </w:p>
    <w:p w:rsidR="00FD36B6" w:rsidRPr="000C5E5C" w:rsidRDefault="00FD36B6" w:rsidP="00373FD4">
      <w:pPr>
        <w:pStyle w:val="ListParagraph"/>
        <w:numPr>
          <w:ilvl w:val="0"/>
          <w:numId w:val="9"/>
        </w:numPr>
      </w:pPr>
      <w:r w:rsidRPr="000C5E5C">
        <w:t>ar 2020.</w:t>
      </w:r>
      <w:r w:rsidR="006B6A06">
        <w:t xml:space="preserve"> </w:t>
      </w:r>
      <w:r w:rsidRPr="000C5E5C">
        <w:t>gada 1.</w:t>
      </w:r>
      <w:r w:rsidR="006B6A06">
        <w:t xml:space="preserve"> </w:t>
      </w:r>
      <w:r w:rsidRPr="000C5E5C">
        <w:t>janvāri tika paaugstinātas akcīzes nodokļa likmes degvielai;</w:t>
      </w:r>
    </w:p>
    <w:p w:rsidR="00FD36B6" w:rsidRPr="006E071D" w:rsidRDefault="00FD36B6" w:rsidP="00373FD4">
      <w:pPr>
        <w:pStyle w:val="ListParagraph"/>
        <w:numPr>
          <w:ilvl w:val="0"/>
          <w:numId w:val="9"/>
        </w:numPr>
        <w:tabs>
          <w:tab w:val="left" w:pos="993"/>
        </w:tabs>
      </w:pPr>
      <w:r w:rsidRPr="006E071D">
        <w:t>ar 2020.</w:t>
      </w:r>
      <w:r w:rsidR="006B6A06">
        <w:t xml:space="preserve"> </w:t>
      </w:r>
      <w:r w:rsidRPr="006E071D">
        <w:t>gada 1.</w:t>
      </w:r>
      <w:r w:rsidR="006B6A06">
        <w:t xml:space="preserve"> </w:t>
      </w:r>
      <w:r w:rsidRPr="006E071D">
        <w:t xml:space="preserve">janvāri tika paaugstinātas akcīzes nodokļa likmes cigāriem, </w:t>
      </w:r>
      <w:proofErr w:type="spellStart"/>
      <w:r w:rsidRPr="006E071D">
        <w:t>cigarillām</w:t>
      </w:r>
      <w:proofErr w:type="spellEnd"/>
      <w:r w:rsidRPr="006E071D">
        <w:t>, smēķējamai tabakai un tabakas lapām;</w:t>
      </w:r>
    </w:p>
    <w:p w:rsidR="00FD36B6" w:rsidRPr="00956EC6" w:rsidRDefault="00FD36B6" w:rsidP="006B6A06">
      <w:pPr>
        <w:pStyle w:val="ListParagraph"/>
        <w:numPr>
          <w:ilvl w:val="0"/>
          <w:numId w:val="5"/>
        </w:numPr>
        <w:tabs>
          <w:tab w:val="left" w:pos="993"/>
        </w:tabs>
        <w:spacing w:before="120"/>
        <w:ind w:left="709" w:hanging="357"/>
        <w:contextualSpacing w:val="0"/>
      </w:pPr>
      <w:r w:rsidRPr="006E071D">
        <w:lastRenderedPageBreak/>
        <w:t>ar 2019.</w:t>
      </w:r>
      <w:r w:rsidR="006B6A06">
        <w:t xml:space="preserve"> </w:t>
      </w:r>
      <w:r w:rsidRPr="006E071D">
        <w:t>gada 8.</w:t>
      </w:r>
      <w:r w:rsidR="006B6A06">
        <w:t xml:space="preserve"> </w:t>
      </w:r>
      <w:r w:rsidRPr="006E071D">
        <w:t xml:space="preserve">jūlijā Saeimā pieņemtajiem </w:t>
      </w:r>
      <w:r w:rsidRPr="00956EC6">
        <w:t>grozījumiem likumā “Par akcīzes nodokli” akcīzes nodokļa likme pārējiem alkoholiskajiem dzērieniem laika periodā no 2019.</w:t>
      </w:r>
      <w:r w:rsidR="006B6A06">
        <w:t xml:space="preserve"> </w:t>
      </w:r>
      <w:r w:rsidRPr="00956EC6">
        <w:t>gada 1.</w:t>
      </w:r>
      <w:r w:rsidR="006B6A06">
        <w:t xml:space="preserve"> </w:t>
      </w:r>
      <w:r w:rsidRPr="00956EC6">
        <w:t>augusta līdz 2020.</w:t>
      </w:r>
      <w:r w:rsidR="006B6A06">
        <w:t xml:space="preserve"> </w:t>
      </w:r>
      <w:r w:rsidRPr="00956EC6">
        <w:t>gada 29.</w:t>
      </w:r>
      <w:r w:rsidR="006B6A06">
        <w:t xml:space="preserve"> </w:t>
      </w:r>
      <w:r w:rsidRPr="00956EC6">
        <w:t>februārim tika samazināta līdz 1</w:t>
      </w:r>
      <w:r w:rsidR="006B6A06">
        <w:t xml:space="preserve"> </w:t>
      </w:r>
      <w:r w:rsidRPr="00956EC6">
        <w:t>564 </w:t>
      </w:r>
      <w:proofErr w:type="spellStart"/>
      <w:r w:rsidRPr="00956EC6">
        <w:rPr>
          <w:i/>
        </w:rPr>
        <w:t>euro</w:t>
      </w:r>
      <w:proofErr w:type="spellEnd"/>
      <w:r w:rsidRPr="00956EC6">
        <w:t xml:space="preserve"> par 100 litriem absolūtā spirta;</w:t>
      </w:r>
    </w:p>
    <w:p w:rsidR="00FD36B6" w:rsidRPr="00956EC6" w:rsidRDefault="00FD36B6" w:rsidP="006B6A06">
      <w:pPr>
        <w:pStyle w:val="ListParagraph"/>
        <w:numPr>
          <w:ilvl w:val="0"/>
          <w:numId w:val="5"/>
        </w:numPr>
        <w:spacing w:before="120"/>
        <w:ind w:left="709" w:hanging="357"/>
        <w:contextualSpacing w:val="0"/>
      </w:pPr>
      <w:r w:rsidRPr="00956EC6">
        <w:t xml:space="preserve">ar 2019. gada 10. decembrī pieņemtajiem </w:t>
      </w:r>
      <w:r w:rsidR="006B6A06">
        <w:t>MK</w:t>
      </w:r>
      <w:r w:rsidRPr="00956EC6">
        <w:t xml:space="preserve"> noteikumiem Nr. 640 “Grozījumi Ministru kabineta 2000.</w:t>
      </w:r>
      <w:r w:rsidR="006B6A06">
        <w:t xml:space="preserve"> </w:t>
      </w:r>
      <w:r w:rsidRPr="00956EC6">
        <w:t>gada 26.</w:t>
      </w:r>
      <w:r w:rsidR="006B6A06">
        <w:t xml:space="preserve"> </w:t>
      </w:r>
      <w:r w:rsidRPr="00956EC6">
        <w:t xml:space="preserve">septembra noteikumos Nr. 332 “Noteikumi par benzīna un dīzeļdegvielas atbilstības novērtēšanu”” </w:t>
      </w:r>
      <w:r w:rsidRPr="00956EC6">
        <w:rPr>
          <w:iCs/>
          <w:szCs w:val="24"/>
          <w:lang w:eastAsia="lv-LV"/>
        </w:rPr>
        <w:t>tika paaugstināts benzīnam un dīzeļdegvielai minimāli piejaucamais biodegvielas apjoms, kā rezultātā ar 2020.</w:t>
      </w:r>
      <w:r w:rsidR="006B6A06">
        <w:rPr>
          <w:iCs/>
          <w:szCs w:val="24"/>
          <w:lang w:eastAsia="lv-LV"/>
        </w:rPr>
        <w:t xml:space="preserve"> </w:t>
      </w:r>
      <w:r w:rsidRPr="00956EC6">
        <w:rPr>
          <w:iCs/>
          <w:szCs w:val="24"/>
          <w:lang w:eastAsia="lv-LV"/>
        </w:rPr>
        <w:t>gada 1.</w:t>
      </w:r>
      <w:r w:rsidR="006B6A06">
        <w:rPr>
          <w:iCs/>
          <w:szCs w:val="24"/>
          <w:lang w:eastAsia="lv-LV"/>
        </w:rPr>
        <w:t> </w:t>
      </w:r>
      <w:r w:rsidRPr="00956EC6">
        <w:rPr>
          <w:iCs/>
          <w:szCs w:val="24"/>
          <w:lang w:eastAsia="lv-LV"/>
        </w:rPr>
        <w:t>janvāri paaugstinājās degvielas cenas;</w:t>
      </w:r>
    </w:p>
    <w:p w:rsidR="00FD36B6" w:rsidRPr="00956EC6" w:rsidRDefault="00FD36B6" w:rsidP="00373FD4">
      <w:pPr>
        <w:pStyle w:val="ListParagraph"/>
        <w:numPr>
          <w:ilvl w:val="0"/>
          <w:numId w:val="5"/>
        </w:numPr>
        <w:tabs>
          <w:tab w:val="left" w:pos="993"/>
        </w:tabs>
        <w:spacing w:before="120"/>
        <w:ind w:left="709"/>
      </w:pPr>
      <w:r w:rsidRPr="00956EC6">
        <w:t>ar 2020.</w:t>
      </w:r>
      <w:r w:rsidR="006B6A06">
        <w:t xml:space="preserve"> </w:t>
      </w:r>
      <w:r w:rsidRPr="00956EC6">
        <w:t>gada 6.</w:t>
      </w:r>
      <w:r w:rsidR="006B6A06">
        <w:t xml:space="preserve"> </w:t>
      </w:r>
      <w:r w:rsidRPr="00956EC6">
        <w:t>februārī pieņemtajiem grozījumiem likumā “Par akcīzes nodokli”:</w:t>
      </w:r>
    </w:p>
    <w:p w:rsidR="00FD36B6" w:rsidRPr="006E071D" w:rsidRDefault="00FD36B6" w:rsidP="00373FD4">
      <w:pPr>
        <w:pStyle w:val="ListParagraph"/>
        <w:numPr>
          <w:ilvl w:val="1"/>
          <w:numId w:val="5"/>
        </w:numPr>
        <w:spacing w:before="120"/>
        <w:ind w:left="993" w:hanging="284"/>
      </w:pPr>
      <w:r w:rsidRPr="00956EC6">
        <w:t>ar 2020.</w:t>
      </w:r>
      <w:r w:rsidR="006B6A06">
        <w:t xml:space="preserve"> </w:t>
      </w:r>
      <w:r w:rsidRPr="00956EC6">
        <w:t>gada 1.</w:t>
      </w:r>
      <w:r w:rsidR="006B6A06">
        <w:t xml:space="preserve"> </w:t>
      </w:r>
      <w:r w:rsidRPr="00956EC6">
        <w:t>maiju precizēta starpproduktu definīcija</w:t>
      </w:r>
      <w:r w:rsidRPr="006E071D">
        <w:t>, novēršot nekorektu akcīzes nodokļa likmes piemērošanu alkoholiskajiem kokteiļiem, tādā veidā izvairoties no nodokļa nomaksas pilnā apmērā;</w:t>
      </w:r>
    </w:p>
    <w:p w:rsidR="00FD36B6" w:rsidRPr="006E071D" w:rsidRDefault="00FD36B6" w:rsidP="00373FD4">
      <w:pPr>
        <w:pStyle w:val="ListParagraph"/>
        <w:numPr>
          <w:ilvl w:val="1"/>
          <w:numId w:val="5"/>
        </w:numPr>
        <w:tabs>
          <w:tab w:val="left" w:pos="993"/>
        </w:tabs>
        <w:spacing w:before="120"/>
        <w:ind w:left="993"/>
      </w:pPr>
      <w:r w:rsidRPr="006E071D">
        <w:t>ar 2020.</w:t>
      </w:r>
      <w:r w:rsidR="006B6A06">
        <w:t xml:space="preserve"> </w:t>
      </w:r>
      <w:r w:rsidRPr="006E071D">
        <w:t>gada 1.</w:t>
      </w:r>
      <w:r w:rsidR="006B6A06">
        <w:t xml:space="preserve"> </w:t>
      </w:r>
      <w:r w:rsidRPr="006E071D">
        <w:t>maiju nodrošināta vienota pieeja dīzeļdegvielas iegādē attiecībā uz zvejniekiem;</w:t>
      </w:r>
    </w:p>
    <w:p w:rsidR="00FD36B6" w:rsidRPr="006E071D" w:rsidRDefault="00FD36B6" w:rsidP="006B6A06">
      <w:pPr>
        <w:pStyle w:val="ListParagraph"/>
        <w:numPr>
          <w:ilvl w:val="1"/>
          <w:numId w:val="5"/>
        </w:numPr>
        <w:tabs>
          <w:tab w:val="left" w:pos="993"/>
        </w:tabs>
        <w:spacing w:before="120"/>
        <w:ind w:left="992" w:hanging="357"/>
        <w:contextualSpacing w:val="0"/>
      </w:pPr>
      <w:r w:rsidRPr="006E071D">
        <w:t>ar 2020.</w:t>
      </w:r>
      <w:r w:rsidR="006B6A06">
        <w:t xml:space="preserve"> </w:t>
      </w:r>
      <w:r w:rsidRPr="006E071D">
        <w:t>gada 1.</w:t>
      </w:r>
      <w:r w:rsidR="006B6A06">
        <w:t xml:space="preserve"> </w:t>
      </w:r>
      <w:r w:rsidRPr="006E071D">
        <w:t>maiju atcelts atbrīvojums dabasgāzei, ko izmanto lauksaimniecībā izmantojamās zemes segto platību (siltumnīcu) siltumapgādei un rūpniecisko mājputnu novietņu (kūtis) un inkubatoru siltumapgādei;</w:t>
      </w:r>
    </w:p>
    <w:p w:rsidR="00FD36B6" w:rsidRPr="006E071D" w:rsidRDefault="00FD36B6" w:rsidP="006B6A06">
      <w:pPr>
        <w:pStyle w:val="ListParagraph"/>
        <w:numPr>
          <w:ilvl w:val="0"/>
          <w:numId w:val="5"/>
        </w:numPr>
        <w:tabs>
          <w:tab w:val="left" w:pos="993"/>
        </w:tabs>
        <w:spacing w:before="120"/>
        <w:ind w:left="709" w:hanging="357"/>
        <w:contextualSpacing w:val="0"/>
      </w:pPr>
      <w:r w:rsidRPr="006E071D">
        <w:t>ar 2020.</w:t>
      </w:r>
      <w:r w:rsidR="006B6A06">
        <w:t xml:space="preserve"> </w:t>
      </w:r>
      <w:r w:rsidRPr="006E071D">
        <w:t>gada 20.</w:t>
      </w:r>
      <w:r w:rsidR="006B6A06">
        <w:t xml:space="preserve"> </w:t>
      </w:r>
      <w:r w:rsidRPr="006E071D">
        <w:t>februārī Saeimā pieņemtajiem grozījumiem likumā “Par akcīzes nodokli” ar 2020.</w:t>
      </w:r>
      <w:r w:rsidR="006B6A06">
        <w:t xml:space="preserve"> </w:t>
      </w:r>
      <w:r w:rsidRPr="006E071D">
        <w:t>gada 1.</w:t>
      </w:r>
      <w:r w:rsidR="006B6A06">
        <w:t xml:space="preserve"> </w:t>
      </w:r>
      <w:r w:rsidRPr="006E071D">
        <w:t>martu tika noteikts lēnāks nodokļa likmju alkoholiskajiem dzērieniem un alum pieaugums nekā iepriekš tika plānots, vienlaicīgi nosakot likmju paaugstinājumu arī ar 2021.</w:t>
      </w:r>
      <w:r w:rsidR="006B6A06">
        <w:t xml:space="preserve"> </w:t>
      </w:r>
      <w:r w:rsidRPr="006E071D">
        <w:t>gada 1.</w:t>
      </w:r>
      <w:r w:rsidR="006B6A06">
        <w:t xml:space="preserve"> </w:t>
      </w:r>
      <w:r w:rsidRPr="006E071D">
        <w:t>martu.</w:t>
      </w:r>
    </w:p>
    <w:p w:rsidR="00FD36B6" w:rsidRDefault="00FD36B6" w:rsidP="00FD36B6">
      <w:pPr>
        <w:tabs>
          <w:tab w:val="left" w:pos="993"/>
        </w:tabs>
        <w:spacing w:before="120"/>
      </w:pPr>
      <w:r w:rsidRPr="000C5E5C">
        <w:t>Ņemot vērā iepriekš minētos faktorus, prognozēto akcīzes preču patēriņa dinamiku un aktualizētās makroekonomisko rādītāju prognozes 2020.</w:t>
      </w:r>
      <w:r w:rsidR="006B6A06">
        <w:t xml:space="preserve"> </w:t>
      </w:r>
      <w:r w:rsidRPr="000C5E5C">
        <w:t>gadam, akcīzes nodokļa ieņēmumu prognoze 2020.</w:t>
      </w:r>
      <w:r w:rsidR="006B6A06">
        <w:t xml:space="preserve"> </w:t>
      </w:r>
      <w:r w:rsidRPr="000C5E5C">
        <w:t xml:space="preserve">gadam samazināta par 160,4 milj. </w:t>
      </w:r>
      <w:proofErr w:type="spellStart"/>
      <w:r w:rsidRPr="00F92BF9">
        <w:rPr>
          <w:bCs/>
          <w:i/>
          <w:szCs w:val="24"/>
        </w:rPr>
        <w:t>euro</w:t>
      </w:r>
      <w:proofErr w:type="spellEnd"/>
      <w:r w:rsidRPr="000C5E5C">
        <w:t xml:space="preserve"> jeb par 13,3%, salīdzinot ar plānoto. </w:t>
      </w:r>
    </w:p>
    <w:p w:rsidR="00FD36B6" w:rsidRPr="00956EC6" w:rsidRDefault="00FD36B6" w:rsidP="00FD36B6">
      <w:r w:rsidRPr="000C5E5C">
        <w:t>Sagatavojot 2021.</w:t>
      </w:r>
      <w:r w:rsidR="006B6A06">
        <w:t xml:space="preserve"> </w:t>
      </w:r>
      <w:r w:rsidRPr="000C5E5C">
        <w:t>gada akcīzes nodokļa ieņēmumu plānu, tika ņemts vērā prognozētais IKP,</w:t>
      </w:r>
      <w:r w:rsidRPr="007355DC">
        <w:t xml:space="preserve"> darba samaksas un privātā patēriņa pieauguma temps, jaunā 2020.</w:t>
      </w:r>
      <w:r w:rsidR="006B6A06">
        <w:t xml:space="preserve"> </w:t>
      </w:r>
      <w:r w:rsidRPr="007355DC">
        <w:t xml:space="preserve">gada prognozētā bāze, pieņemtie grozījumi </w:t>
      </w:r>
      <w:r w:rsidRPr="00F7769B">
        <w:t>normatīvajos aktos,</w:t>
      </w:r>
      <w:r>
        <w:t xml:space="preserve"> piešķirtie termiņu pagarinājumi,</w:t>
      </w:r>
      <w:r w:rsidRPr="00F7769B">
        <w:t xml:space="preserve"> kā arī akcīzes nodokļa politika Baltijas </w:t>
      </w:r>
      <w:r w:rsidRPr="00956EC6">
        <w:t>valstīs un prognozētā akcīzes preču patēriņa dinamika.</w:t>
      </w:r>
    </w:p>
    <w:p w:rsidR="00FD36B6" w:rsidRPr="00956EC6" w:rsidRDefault="00FD36B6" w:rsidP="00FD36B6">
      <w:pPr>
        <w:tabs>
          <w:tab w:val="left" w:pos="709"/>
        </w:tabs>
        <w:spacing w:before="120"/>
        <w:ind w:firstLine="0"/>
        <w:rPr>
          <w:highlight w:val="yellow"/>
        </w:rPr>
      </w:pPr>
      <w:r w:rsidRPr="00956EC6">
        <w:tab/>
        <w:t>Saskaņā ar 2020.</w:t>
      </w:r>
      <w:r w:rsidR="006B6A06">
        <w:t xml:space="preserve"> </w:t>
      </w:r>
      <w:r w:rsidRPr="00956EC6">
        <w:t>gada 20.</w:t>
      </w:r>
      <w:r w:rsidR="006B6A06">
        <w:t xml:space="preserve"> </w:t>
      </w:r>
      <w:r w:rsidRPr="00956EC6">
        <w:t>februārī Saeimā pieņemtajiem grozījumiem likumā “Par akcīzes nodokli” ar 2021.</w:t>
      </w:r>
      <w:r w:rsidR="006B6A06">
        <w:t xml:space="preserve"> </w:t>
      </w:r>
      <w:r w:rsidRPr="00956EC6">
        <w:t>gada 1.</w:t>
      </w:r>
      <w:r w:rsidR="006B6A06">
        <w:t xml:space="preserve"> </w:t>
      </w:r>
      <w:r w:rsidRPr="00956EC6">
        <w:t>martu plānots par 5% paaugstināt akcīzes nodokļa likmes visiem alkoholisko dzērienu veidiem (izņemot raudzētos dzērienus ar absolūtā spirta saturu līdz 6 tilpumprocentiem) un alum.</w:t>
      </w:r>
    </w:p>
    <w:p w:rsidR="00FD36B6" w:rsidRPr="00956EC6" w:rsidRDefault="00FD36B6" w:rsidP="00FD36B6">
      <w:pPr>
        <w:spacing w:after="0"/>
        <w:ind w:right="57"/>
      </w:pPr>
      <w:r w:rsidRPr="00956EC6">
        <w:t xml:space="preserve">Saskaņā ar </w:t>
      </w:r>
      <w:r w:rsidR="006B6A06">
        <w:rPr>
          <w:szCs w:val="24"/>
        </w:rPr>
        <w:t>MK</w:t>
      </w:r>
      <w:r w:rsidRPr="00956EC6">
        <w:rPr>
          <w:szCs w:val="24"/>
        </w:rPr>
        <w:t xml:space="preserve"> 2020.</w:t>
      </w:r>
      <w:r w:rsidR="006B6A06">
        <w:rPr>
          <w:szCs w:val="24"/>
        </w:rPr>
        <w:t xml:space="preserve"> </w:t>
      </w:r>
      <w:r w:rsidRPr="00956EC6">
        <w:rPr>
          <w:szCs w:val="24"/>
        </w:rPr>
        <w:t>gada 2.</w:t>
      </w:r>
      <w:r w:rsidR="006B6A06">
        <w:rPr>
          <w:szCs w:val="24"/>
        </w:rPr>
        <w:t xml:space="preserve"> </w:t>
      </w:r>
      <w:r w:rsidRPr="00956EC6">
        <w:rPr>
          <w:szCs w:val="24"/>
        </w:rPr>
        <w:t>septembra sēdē atbalstīto i</w:t>
      </w:r>
      <w:r w:rsidR="006B6A06">
        <w:t>nformatīvo ziņojumu “</w:t>
      </w:r>
      <w:r w:rsidRPr="00956EC6">
        <w:t>Par nodokļu politikas attīstības virzieniem, valsts sociālās un veselības apdrošināšanas ilgtspējas veicināšanai</w:t>
      </w:r>
      <w:r w:rsidR="006B6A06">
        <w:t>”</w:t>
      </w:r>
      <w:r w:rsidRPr="00956EC6">
        <w:t xml:space="preserve"> paredzētas vairākas akcīzes nodokļa izmaiņas:</w:t>
      </w:r>
    </w:p>
    <w:p w:rsidR="00FD36B6" w:rsidRPr="00956EC6" w:rsidRDefault="00FD36B6" w:rsidP="00373FD4">
      <w:pPr>
        <w:pStyle w:val="ListParagraph"/>
        <w:numPr>
          <w:ilvl w:val="1"/>
          <w:numId w:val="6"/>
        </w:numPr>
        <w:tabs>
          <w:tab w:val="left" w:pos="993"/>
        </w:tabs>
      </w:pPr>
      <w:r w:rsidRPr="00956EC6">
        <w:t>ar 2021.</w:t>
      </w:r>
      <w:r w:rsidR="006B6A06">
        <w:t xml:space="preserve"> </w:t>
      </w:r>
      <w:r w:rsidRPr="00956EC6">
        <w:t>gada 1.</w:t>
      </w:r>
      <w:r w:rsidR="006B6A06">
        <w:t xml:space="preserve"> </w:t>
      </w:r>
      <w:r w:rsidRPr="00956EC6">
        <w:t xml:space="preserve">janvāri tiks paaugstinātas akcīzes nodokļa likmes cigāriem, </w:t>
      </w:r>
      <w:proofErr w:type="spellStart"/>
      <w:r w:rsidRPr="00956EC6">
        <w:t>cigarillām</w:t>
      </w:r>
      <w:proofErr w:type="spellEnd"/>
      <w:r w:rsidRPr="00956EC6">
        <w:t>, smēķējamajai un karsējamajai tabakai;</w:t>
      </w:r>
    </w:p>
    <w:p w:rsidR="00FD36B6" w:rsidRPr="00F7769B" w:rsidRDefault="00FD36B6" w:rsidP="00373FD4">
      <w:pPr>
        <w:pStyle w:val="ListParagraph"/>
        <w:numPr>
          <w:ilvl w:val="1"/>
          <w:numId w:val="6"/>
        </w:numPr>
        <w:tabs>
          <w:tab w:val="left" w:pos="993"/>
        </w:tabs>
      </w:pPr>
      <w:r w:rsidRPr="00956EC6">
        <w:t>ar 2021.</w:t>
      </w:r>
      <w:r w:rsidR="006B6A06">
        <w:t xml:space="preserve"> </w:t>
      </w:r>
      <w:r w:rsidRPr="00956EC6">
        <w:t>gada 1.</w:t>
      </w:r>
      <w:r w:rsidR="006B6A06">
        <w:t xml:space="preserve"> </w:t>
      </w:r>
      <w:r w:rsidRPr="00956EC6">
        <w:t xml:space="preserve">janvāri tiks vienkāršota un paaugstināta akcīzes nodokļa likme elektroniskajās cigaretēs izmantojamajiem </w:t>
      </w:r>
      <w:r w:rsidRPr="00F7769B">
        <w:t>šķidrumiem;</w:t>
      </w:r>
    </w:p>
    <w:p w:rsidR="00FD36B6" w:rsidRPr="00DD79C7" w:rsidRDefault="00FD36B6" w:rsidP="00373FD4">
      <w:pPr>
        <w:pStyle w:val="ListParagraph"/>
        <w:numPr>
          <w:ilvl w:val="1"/>
          <w:numId w:val="6"/>
        </w:numPr>
        <w:tabs>
          <w:tab w:val="left" w:pos="993"/>
        </w:tabs>
      </w:pPr>
      <w:r w:rsidRPr="00F7769B">
        <w:t>ar 2021.</w:t>
      </w:r>
      <w:r w:rsidR="006B6A06">
        <w:t xml:space="preserve"> </w:t>
      </w:r>
      <w:r w:rsidRPr="00F7769B">
        <w:t>gada 1.</w:t>
      </w:r>
      <w:r w:rsidR="006B6A06">
        <w:t xml:space="preserve"> </w:t>
      </w:r>
      <w:r w:rsidRPr="00F7769B">
        <w:t xml:space="preserve">janvāri akcīzes nodoklis tiks piemērots arī elektroniskajās cigaretēs izmantojamo </w:t>
      </w:r>
      <w:r w:rsidRPr="00DD79C7">
        <w:t>šķidrumu sagatavošanas sastāvdaļām;</w:t>
      </w:r>
    </w:p>
    <w:p w:rsidR="00FD36B6" w:rsidRPr="00956EC6" w:rsidRDefault="00FD36B6" w:rsidP="00373FD4">
      <w:pPr>
        <w:pStyle w:val="ListParagraph"/>
        <w:numPr>
          <w:ilvl w:val="1"/>
          <w:numId w:val="6"/>
        </w:numPr>
        <w:tabs>
          <w:tab w:val="left" w:pos="993"/>
        </w:tabs>
      </w:pPr>
      <w:r w:rsidRPr="00DD79C7">
        <w:t>ar 2021.</w:t>
      </w:r>
      <w:r w:rsidR="006B6A06">
        <w:t xml:space="preserve"> </w:t>
      </w:r>
      <w:r w:rsidRPr="00DD79C7">
        <w:t>gada 1.</w:t>
      </w:r>
      <w:r w:rsidR="006B6A06">
        <w:t xml:space="preserve"> </w:t>
      </w:r>
      <w:r w:rsidRPr="00DD79C7">
        <w:t>janvāri akcīzes nodoklis tiks piemērots</w:t>
      </w:r>
      <w:r>
        <w:t xml:space="preserve"> arī</w:t>
      </w:r>
      <w:r w:rsidRPr="00DD79C7">
        <w:t xml:space="preserve"> tabakas aizstājējproduktiem;</w:t>
      </w:r>
    </w:p>
    <w:p w:rsidR="00FD36B6" w:rsidRPr="00956EC6" w:rsidRDefault="00FD36B6" w:rsidP="00373FD4">
      <w:pPr>
        <w:pStyle w:val="ListParagraph"/>
        <w:numPr>
          <w:ilvl w:val="1"/>
          <w:numId w:val="6"/>
        </w:numPr>
        <w:tabs>
          <w:tab w:val="left" w:pos="993"/>
        </w:tabs>
      </w:pPr>
      <w:r w:rsidRPr="00956EC6">
        <w:t>ar 2021.</w:t>
      </w:r>
      <w:r w:rsidR="006B6A06">
        <w:t xml:space="preserve"> </w:t>
      </w:r>
      <w:r w:rsidRPr="00956EC6">
        <w:t>gada 1.</w:t>
      </w:r>
      <w:r w:rsidR="006B6A06">
        <w:t xml:space="preserve"> </w:t>
      </w:r>
      <w:r w:rsidRPr="00956EC6">
        <w:t>martu tiks paaugstinātas akcīzes nodokļa likmes alkoholiskajiem dzērieniem un alum;</w:t>
      </w:r>
    </w:p>
    <w:p w:rsidR="00FD36B6" w:rsidRPr="00956EC6" w:rsidRDefault="00FD36B6" w:rsidP="00373FD4">
      <w:pPr>
        <w:pStyle w:val="ListParagraph"/>
        <w:numPr>
          <w:ilvl w:val="1"/>
          <w:numId w:val="6"/>
        </w:numPr>
        <w:tabs>
          <w:tab w:val="left" w:pos="993"/>
        </w:tabs>
      </w:pPr>
      <w:r w:rsidRPr="00956EC6">
        <w:t>ar 2021.</w:t>
      </w:r>
      <w:r w:rsidR="006B6A06">
        <w:t xml:space="preserve"> </w:t>
      </w:r>
      <w:r w:rsidRPr="00956EC6">
        <w:t>gada 1.</w:t>
      </w:r>
      <w:r w:rsidR="006B6A06">
        <w:t xml:space="preserve"> </w:t>
      </w:r>
      <w:r w:rsidRPr="00956EC6">
        <w:t>martu tiks paaugstinātas akcīzes nodokļa likmes cigaretēm.</w:t>
      </w:r>
    </w:p>
    <w:p w:rsidR="00FD36B6" w:rsidRPr="00956EC6" w:rsidRDefault="00FD36B6" w:rsidP="00FD36B6">
      <w:pPr>
        <w:ind w:firstLine="720"/>
      </w:pPr>
      <w:r w:rsidRPr="00956EC6">
        <w:lastRenderedPageBreak/>
        <w:t>Minētie pasākumi mazinās negatīvo fiskālo ietekmi no darbaspēka nodokļu sloga mazināšanas.</w:t>
      </w:r>
    </w:p>
    <w:p w:rsidR="00FD36B6" w:rsidRPr="007355DC" w:rsidRDefault="006B6A06" w:rsidP="00FD36B6">
      <w:pPr>
        <w:ind w:firstLine="720"/>
      </w:pPr>
      <w:r>
        <w:t>Saskaņā ar likumprojektu “</w:t>
      </w:r>
      <w:r w:rsidR="00FD36B6" w:rsidRPr="00956EC6">
        <w:t>Par valsts budžetu 2021.</w:t>
      </w:r>
      <w:r>
        <w:t xml:space="preserve"> </w:t>
      </w:r>
      <w:r w:rsidR="00FD36B6" w:rsidRPr="00956EC6">
        <w:t>gadam” akcīzes nodokļa ieņēmumi tiek plānoti 1 114,5 milj. </w:t>
      </w:r>
      <w:proofErr w:type="spellStart"/>
      <w:r w:rsidR="00FD36B6" w:rsidRPr="00956EC6">
        <w:rPr>
          <w:i/>
        </w:rPr>
        <w:t>euro</w:t>
      </w:r>
      <w:proofErr w:type="spellEnd"/>
      <w:r w:rsidR="00FD36B6" w:rsidRPr="00956EC6">
        <w:t xml:space="preserve"> apmērā, kas ir par 71,5 milj</w:t>
      </w:r>
      <w:r w:rsidR="00FD36B6" w:rsidRPr="007355DC">
        <w:t>. </w:t>
      </w:r>
      <w:proofErr w:type="spellStart"/>
      <w:r w:rsidR="00FD36B6" w:rsidRPr="00F92BF9">
        <w:rPr>
          <w:i/>
        </w:rPr>
        <w:t>euro</w:t>
      </w:r>
      <w:proofErr w:type="spellEnd"/>
      <w:r w:rsidR="00FD36B6" w:rsidRPr="007355DC">
        <w:t xml:space="preserve"> jeb 6,9% vairāk nekā prognozēts 2020.</w:t>
      </w:r>
      <w:r w:rsidR="004F4C22">
        <w:t xml:space="preserve"> </w:t>
      </w:r>
      <w:r w:rsidR="00FD36B6" w:rsidRPr="007355DC">
        <w:t>gadā.</w:t>
      </w:r>
    </w:p>
    <w:p w:rsidR="00FD36B6" w:rsidRPr="00EE2D99" w:rsidRDefault="00FD36B6" w:rsidP="006B6A06">
      <w:pPr>
        <w:spacing w:before="240" w:after="240"/>
        <w:ind w:firstLine="0"/>
        <w:rPr>
          <w:u w:val="single"/>
        </w:rPr>
      </w:pPr>
      <w:r w:rsidRPr="00EE2D99">
        <w:rPr>
          <w:u w:val="single"/>
        </w:rPr>
        <w:t>Akcīzes nodoklis naftas produktiem</w:t>
      </w:r>
    </w:p>
    <w:p w:rsidR="00FD36B6" w:rsidRPr="009D73FA" w:rsidRDefault="00FD36B6" w:rsidP="00FD36B6">
      <w:r w:rsidRPr="00EE2D99">
        <w:t>2020.</w:t>
      </w:r>
      <w:r w:rsidR="006B6A06">
        <w:t xml:space="preserve"> </w:t>
      </w:r>
      <w:r w:rsidRPr="00EE2D99">
        <w:t>gada sešos mēnešos akcīzes nodokļa naftas produktiem ieņēmumi bija 259,2 milj. </w:t>
      </w:r>
      <w:proofErr w:type="spellStart"/>
      <w:r w:rsidRPr="00F92BF9">
        <w:rPr>
          <w:bCs/>
          <w:i/>
          <w:szCs w:val="24"/>
        </w:rPr>
        <w:t>euro</w:t>
      </w:r>
      <w:proofErr w:type="spellEnd"/>
      <w:r w:rsidRPr="00EE2D99">
        <w:rPr>
          <w:i/>
        </w:rPr>
        <w:t xml:space="preserve">. </w:t>
      </w:r>
      <w:r w:rsidRPr="00EE2D99">
        <w:t>Salīdzinot ar 2019.</w:t>
      </w:r>
      <w:r w:rsidR="006B6A06">
        <w:t xml:space="preserve"> </w:t>
      </w:r>
      <w:r w:rsidRPr="00EE2D99">
        <w:t>gada sešiem mēnešiem, tie samazinājās par 5,2 milj. </w:t>
      </w:r>
      <w:proofErr w:type="spellStart"/>
      <w:r w:rsidRPr="00F92BF9">
        <w:rPr>
          <w:i/>
        </w:rPr>
        <w:t>euro</w:t>
      </w:r>
      <w:proofErr w:type="spellEnd"/>
      <w:r w:rsidRPr="00EE2D99">
        <w:t xml:space="preserve"> jeb 2,0%, bet, salīdzinot ar plānoto</w:t>
      </w:r>
      <w:r w:rsidRPr="00A70F8B">
        <w:t>, iekasēts par 42,4 milj. </w:t>
      </w:r>
      <w:proofErr w:type="spellStart"/>
      <w:r w:rsidRPr="00F92BF9">
        <w:rPr>
          <w:bCs/>
          <w:i/>
          <w:szCs w:val="24"/>
        </w:rPr>
        <w:t>euro</w:t>
      </w:r>
      <w:proofErr w:type="spellEnd"/>
      <w:r w:rsidRPr="00A70F8B">
        <w:t xml:space="preserve"> jeb 14,1% mazāk. Plāna neizpilde galvenokārt saistīta ar patēriņam nodoto naftas produktu apjoma samazinājumu, </w:t>
      </w:r>
      <w:r>
        <w:t xml:space="preserve">salīdzinot ar </w:t>
      </w:r>
      <w:r w:rsidRPr="009D73FA">
        <w:t xml:space="preserve">prognozēto, kā arī Covid-19 izraisīto krīzi. </w:t>
      </w:r>
    </w:p>
    <w:p w:rsidR="00FD36B6" w:rsidRPr="009A3A0D" w:rsidRDefault="00FD36B6" w:rsidP="00FD36B6">
      <w:r w:rsidRPr="009D73FA">
        <w:t xml:space="preserve">Saskaņā ar </w:t>
      </w:r>
      <w:r w:rsidR="006B6A06">
        <w:t>VID</w:t>
      </w:r>
      <w:r w:rsidRPr="009D73FA">
        <w:t xml:space="preserve"> informāciju naftas produktu kopējā patēriņa apjoms 2020.</w:t>
      </w:r>
      <w:r w:rsidR="006B6A06">
        <w:t xml:space="preserve"> </w:t>
      </w:r>
      <w:r w:rsidRPr="009D73FA">
        <w:t>gada piecos mēnešos un 2019.</w:t>
      </w:r>
      <w:r w:rsidR="006B6A06">
        <w:t xml:space="preserve"> </w:t>
      </w:r>
      <w:r w:rsidRPr="009D73FA">
        <w:t>gada decembrī salīdzinājumā ar 2019. un 2018.</w:t>
      </w:r>
      <w:r w:rsidR="006B6A06">
        <w:t xml:space="preserve"> </w:t>
      </w:r>
      <w:r w:rsidRPr="009D73FA">
        <w:t>gada attiecīgo p</w:t>
      </w:r>
      <w:r w:rsidR="006B6A06">
        <w:t>eriodu samazinājies par 8,8%, tai skaitā</w:t>
      </w:r>
      <w:r w:rsidRPr="009D73FA">
        <w:t xml:space="preserve"> dīzeļdegvielas patēriņš samazinājies par 5,7%, bet benzīna un sašķidrinātās naftas gāzes patēriņš samazinājies attiecīgi par 9,4% un 13,7 procentiem. Degvieleļļas patēriņš palielinājies</w:t>
      </w:r>
      <w:r w:rsidRPr="00EE2D99">
        <w:t xml:space="preserve"> par 37,4%, bet petrolejas patēriņš samazinājies par 41,8 procentiem. Degvielas patēriņa tendences un struktūra pa veidiem </w:t>
      </w:r>
      <w:r w:rsidRPr="009A3A0D">
        <w:t>atspoguļota 3.1.attēlā.</w:t>
      </w:r>
    </w:p>
    <w:p w:rsidR="009A3A0D" w:rsidRDefault="009A3A0D" w:rsidP="009A3A0D">
      <w:pPr>
        <w:spacing w:before="240" w:after="240"/>
        <w:jc w:val="center"/>
      </w:pPr>
      <w:r w:rsidRPr="009A3A0D">
        <w:rPr>
          <w:b/>
          <w:i/>
        </w:rPr>
        <w:t>3.1.</w:t>
      </w:r>
      <w:r w:rsidR="004D65F6">
        <w:rPr>
          <w:b/>
          <w:i/>
        </w:rPr>
        <w:t xml:space="preserve"> </w:t>
      </w:r>
      <w:r w:rsidRPr="009A3A0D">
        <w:rPr>
          <w:b/>
          <w:i/>
        </w:rPr>
        <w:t>attēls</w:t>
      </w:r>
      <w:r w:rsidRPr="009A3A0D">
        <w:rPr>
          <w:b/>
        </w:rPr>
        <w:t xml:space="preserve"> Naftas produktu patēriņš attiecīgā gada piecos mēnešos un iepriekšējā gada decembrī, tonnās</w:t>
      </w:r>
      <w:r>
        <w:rPr>
          <w:rStyle w:val="FootnoteReference"/>
          <w:b/>
        </w:rPr>
        <w:footnoteReference w:id="3"/>
      </w:r>
    </w:p>
    <w:p w:rsidR="00FD36B6" w:rsidRPr="009D73FA" w:rsidRDefault="00FD36B6" w:rsidP="009A3A0D">
      <w:pPr>
        <w:ind w:firstLine="0"/>
        <w:jc w:val="center"/>
      </w:pPr>
      <w:r w:rsidRPr="009D73FA">
        <w:rPr>
          <w:noProof/>
          <w:lang w:eastAsia="lv-LV"/>
        </w:rPr>
        <w:drawing>
          <wp:inline distT="0" distB="0" distL="0" distR="0" wp14:anchorId="238ECA5A" wp14:editId="37F5ABCC">
            <wp:extent cx="5657850" cy="3043450"/>
            <wp:effectExtent l="0" t="0" r="0"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36B6" w:rsidRDefault="00FD36B6" w:rsidP="00FD36B6">
      <w:pPr>
        <w:rPr>
          <w:rFonts w:eastAsia="Calibri"/>
          <w:szCs w:val="28"/>
          <w:lang w:eastAsia="lv-LV"/>
        </w:rPr>
      </w:pPr>
      <w:r w:rsidRPr="009D73FA">
        <w:rPr>
          <w:i/>
          <w:iCs/>
        </w:rPr>
        <w:tab/>
      </w:r>
      <w:r w:rsidRPr="009D73FA">
        <w:rPr>
          <w:szCs w:val="26"/>
        </w:rPr>
        <w:t>Dīzeļdegvielas patēriņš Latvijā sāka samazināties jau 2019.</w:t>
      </w:r>
      <w:r w:rsidR="00DD3A9A">
        <w:rPr>
          <w:szCs w:val="26"/>
        </w:rPr>
        <w:t xml:space="preserve"> </w:t>
      </w:r>
      <w:r w:rsidRPr="009D73FA">
        <w:rPr>
          <w:szCs w:val="26"/>
        </w:rPr>
        <w:t xml:space="preserve">gada novembrī, kam kā galvenais iemesls bija sniega </w:t>
      </w:r>
      <w:r w:rsidRPr="00956EC6">
        <w:rPr>
          <w:szCs w:val="26"/>
        </w:rPr>
        <w:t xml:space="preserve">trūkums </w:t>
      </w:r>
      <w:r w:rsidRPr="00956EC6">
        <w:rPr>
          <w:szCs w:val="24"/>
        </w:rPr>
        <w:t xml:space="preserve">(ierasti liels patēriņš pašvaldībām, nodrošinot ceļu tīrīšanu no sniega). </w:t>
      </w:r>
      <w:r w:rsidRPr="00956EC6">
        <w:rPr>
          <w:iCs/>
          <w:szCs w:val="24"/>
        </w:rPr>
        <w:t>Savukārt kopš 2020.</w:t>
      </w:r>
      <w:r w:rsidR="00DD3A9A">
        <w:rPr>
          <w:iCs/>
          <w:szCs w:val="24"/>
        </w:rPr>
        <w:t xml:space="preserve"> </w:t>
      </w:r>
      <w:r w:rsidRPr="00956EC6">
        <w:rPr>
          <w:iCs/>
          <w:szCs w:val="24"/>
        </w:rPr>
        <w:t>gada sākuma to vēl vairāk ietekmēja degvielas cenu pieaugums, ko noteica gan 2017.</w:t>
      </w:r>
      <w:r w:rsidR="00DD3A9A">
        <w:rPr>
          <w:iCs/>
          <w:szCs w:val="24"/>
        </w:rPr>
        <w:t xml:space="preserve"> </w:t>
      </w:r>
      <w:r w:rsidRPr="00956EC6">
        <w:rPr>
          <w:iCs/>
          <w:szCs w:val="24"/>
        </w:rPr>
        <w:t>gadā nodokļu reformas ietvaros pieņemtais akcīzes nodokļa likmju paaugstinājums degvielai ar 2020.</w:t>
      </w:r>
      <w:r w:rsidR="00DD3A9A">
        <w:rPr>
          <w:iCs/>
          <w:szCs w:val="24"/>
        </w:rPr>
        <w:t xml:space="preserve"> </w:t>
      </w:r>
      <w:r w:rsidRPr="00956EC6">
        <w:rPr>
          <w:iCs/>
          <w:szCs w:val="24"/>
        </w:rPr>
        <w:t>gada 1.</w:t>
      </w:r>
      <w:r w:rsidR="00DD3A9A">
        <w:rPr>
          <w:iCs/>
          <w:szCs w:val="24"/>
        </w:rPr>
        <w:t xml:space="preserve"> </w:t>
      </w:r>
      <w:r w:rsidRPr="00956EC6">
        <w:rPr>
          <w:iCs/>
          <w:szCs w:val="24"/>
        </w:rPr>
        <w:t xml:space="preserve">janvāri, gan </w:t>
      </w:r>
      <w:r w:rsidRPr="00956EC6">
        <w:t xml:space="preserve">2019. gada 10. decembrī pieņemtie grozījumi </w:t>
      </w:r>
      <w:r w:rsidR="00DD3A9A">
        <w:t>MK</w:t>
      </w:r>
      <w:r w:rsidRPr="00956EC6">
        <w:t xml:space="preserve"> 2000. gada 26. septembra noteikumos Nr. 332 “Noteikumi par benzīna un dīzeļdegvielas atbilstības novērtēšanu”, ar ko </w:t>
      </w:r>
      <w:r w:rsidRPr="00956EC6">
        <w:rPr>
          <w:iCs/>
          <w:szCs w:val="24"/>
          <w:lang w:eastAsia="lv-LV"/>
        </w:rPr>
        <w:t>benzīnam un dīzeļdegvielai tika paaugstināts minimāli piejaucamais biodegvielas apjoms.</w:t>
      </w:r>
      <w:r w:rsidRPr="00956EC6">
        <w:rPr>
          <w:iCs/>
          <w:szCs w:val="24"/>
        </w:rPr>
        <w:t xml:space="preserve"> </w:t>
      </w:r>
      <w:r w:rsidRPr="00956EC6">
        <w:rPr>
          <w:szCs w:val="24"/>
        </w:rPr>
        <w:t xml:space="preserve">Minētās izmaiņas radīja risku samazināties </w:t>
      </w:r>
      <w:r w:rsidRPr="00956EC6">
        <w:rPr>
          <w:szCs w:val="24"/>
        </w:rPr>
        <w:lastRenderedPageBreak/>
        <w:t xml:space="preserve">pārvadājumu pakalpojumu sniedzēju Latvijā iepirktās degvielas apjomam, kā arī to, ka Latvijas iedzīvotāji varētu izmantot iespēju iegādāties </w:t>
      </w:r>
      <w:r w:rsidRPr="009D73FA">
        <w:rPr>
          <w:szCs w:val="24"/>
        </w:rPr>
        <w:t xml:space="preserve">degvielu kaimiņvalstu pierobežas degvielas </w:t>
      </w:r>
      <w:proofErr w:type="spellStart"/>
      <w:r w:rsidRPr="009D73FA">
        <w:rPr>
          <w:szCs w:val="24"/>
        </w:rPr>
        <w:t>uzpildes</w:t>
      </w:r>
      <w:proofErr w:type="spellEnd"/>
      <w:r w:rsidRPr="009D73FA">
        <w:rPr>
          <w:szCs w:val="24"/>
        </w:rPr>
        <w:t xml:space="preserve"> stacijās. To vēl vairāk sekmēja Igaunijas lēmums samazināt akcīzes nodokļa likmi</w:t>
      </w:r>
      <w:r>
        <w:t xml:space="preserve"> dīzeļdegvielai no 2020.</w:t>
      </w:r>
      <w:r w:rsidR="00DD3A9A">
        <w:t xml:space="preserve"> </w:t>
      </w:r>
      <w:r>
        <w:t>gada 1.</w:t>
      </w:r>
      <w:r w:rsidR="00DD3A9A">
        <w:t xml:space="preserve"> </w:t>
      </w:r>
      <w:r>
        <w:t>maija līdz 2022.</w:t>
      </w:r>
      <w:r w:rsidR="00DD3A9A">
        <w:t xml:space="preserve"> </w:t>
      </w:r>
      <w:r>
        <w:t>gada 30.</w:t>
      </w:r>
      <w:r w:rsidR="00DD3A9A">
        <w:t xml:space="preserve"> </w:t>
      </w:r>
      <w:r>
        <w:t xml:space="preserve">aprīlim </w:t>
      </w:r>
      <w:r w:rsidRPr="00DD3A9A">
        <w:t>(</w:t>
      </w:r>
      <w:r w:rsidRPr="00DD3A9A">
        <w:rPr>
          <w:rFonts w:eastAsia="Calibri"/>
          <w:szCs w:val="28"/>
          <w:lang w:eastAsia="lv-LV"/>
        </w:rPr>
        <w:t>skat. 3.8. tabulu),</w:t>
      </w:r>
      <w:r>
        <w:rPr>
          <w:rFonts w:eastAsia="Calibri"/>
          <w:szCs w:val="28"/>
          <w:lang w:eastAsia="lv-LV"/>
        </w:rPr>
        <w:t xml:space="preserve"> kā rezultātā Latvija zaudēja Latvijas-Igaunijas pierobežas tirgus daļu.</w:t>
      </w:r>
    </w:p>
    <w:p w:rsidR="00FD36B6" w:rsidRPr="00DD3A9A" w:rsidRDefault="00FD36B6" w:rsidP="00657996">
      <w:pPr>
        <w:spacing w:after="0"/>
        <w:ind w:firstLine="0"/>
        <w:contextualSpacing/>
        <w:jc w:val="center"/>
        <w:rPr>
          <w:b/>
        </w:rPr>
      </w:pPr>
      <w:r w:rsidRPr="00DD3A9A">
        <w:rPr>
          <w:b/>
          <w:i/>
        </w:rPr>
        <w:t>3.8.</w:t>
      </w:r>
      <w:r w:rsidR="004D65F6">
        <w:rPr>
          <w:b/>
          <w:i/>
        </w:rPr>
        <w:t xml:space="preserve"> </w:t>
      </w:r>
      <w:r w:rsidRPr="00DD3A9A">
        <w:rPr>
          <w:b/>
          <w:i/>
        </w:rPr>
        <w:t>tabula</w:t>
      </w:r>
      <w:r w:rsidRPr="00883FCE">
        <w:t xml:space="preserve"> </w:t>
      </w:r>
      <w:r w:rsidRPr="00DD3A9A">
        <w:rPr>
          <w:b/>
        </w:rPr>
        <w:t xml:space="preserve">Akcīzes nodokļa likmes degvielai Baltijas valstīs un Polijā </w:t>
      </w:r>
    </w:p>
    <w:p w:rsidR="00FD36B6" w:rsidRPr="00DD3A9A" w:rsidRDefault="00FD36B6" w:rsidP="00DD3A9A">
      <w:pPr>
        <w:jc w:val="center"/>
        <w:rPr>
          <w:b/>
        </w:rPr>
      </w:pPr>
      <w:r w:rsidRPr="00DD3A9A">
        <w:rPr>
          <w:b/>
        </w:rPr>
        <w:t>2018.–2020.gadā</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1655"/>
        <w:gridCol w:w="1553"/>
        <w:gridCol w:w="1694"/>
      </w:tblGrid>
      <w:tr w:rsidR="00FD36B6" w:rsidRPr="00DD3A9A" w:rsidTr="00C01314">
        <w:trPr>
          <w:trHeight w:val="253"/>
          <w:jc w:val="center"/>
        </w:trPr>
        <w:tc>
          <w:tcPr>
            <w:tcW w:w="4165" w:type="dxa"/>
            <w:shd w:val="clear" w:color="auto" w:fill="D9D9D9" w:themeFill="background1" w:themeFillShade="D9"/>
            <w:noWrap/>
            <w:vAlign w:val="center"/>
            <w:hideMark/>
          </w:tcPr>
          <w:p w:rsidR="00FD36B6" w:rsidRPr="00DD3A9A" w:rsidRDefault="00FD36B6" w:rsidP="00FD36B6">
            <w:pPr>
              <w:spacing w:after="0"/>
              <w:ind w:firstLine="0"/>
              <w:contextualSpacing/>
              <w:jc w:val="left"/>
              <w:rPr>
                <w:b/>
                <w:color w:val="000000"/>
                <w:sz w:val="18"/>
                <w:szCs w:val="18"/>
                <w:lang w:eastAsia="lv-LV"/>
              </w:rPr>
            </w:pPr>
            <w:r w:rsidRPr="00DD3A9A">
              <w:rPr>
                <w:b/>
                <w:color w:val="000000"/>
                <w:sz w:val="18"/>
                <w:szCs w:val="18"/>
                <w:lang w:eastAsia="lv-LV"/>
              </w:rPr>
              <w:t xml:space="preserve">Benzīns, </w:t>
            </w:r>
            <w:proofErr w:type="spellStart"/>
            <w:r w:rsidRPr="00DD3A9A">
              <w:rPr>
                <w:b/>
                <w:i/>
                <w:iCs/>
                <w:color w:val="000000"/>
                <w:sz w:val="18"/>
                <w:szCs w:val="18"/>
                <w:lang w:eastAsia="lv-LV"/>
              </w:rPr>
              <w:t>euro</w:t>
            </w:r>
            <w:proofErr w:type="spellEnd"/>
            <w:r w:rsidRPr="00DD3A9A">
              <w:rPr>
                <w:b/>
                <w:color w:val="000000"/>
                <w:sz w:val="18"/>
                <w:szCs w:val="18"/>
                <w:lang w:eastAsia="lv-LV"/>
              </w:rPr>
              <w:t xml:space="preserve"> par 1000 l</w:t>
            </w:r>
          </w:p>
        </w:tc>
        <w:tc>
          <w:tcPr>
            <w:tcW w:w="1655" w:type="dxa"/>
            <w:shd w:val="clear" w:color="auto" w:fill="D9D9D9" w:themeFill="background1" w:themeFillShade="D9"/>
            <w:noWrap/>
            <w:vAlign w:val="center"/>
            <w:hideMark/>
          </w:tcPr>
          <w:p w:rsidR="00FD36B6" w:rsidRPr="00DD3A9A" w:rsidRDefault="00FD36B6" w:rsidP="00FD36B6">
            <w:pPr>
              <w:spacing w:after="0"/>
              <w:ind w:firstLine="0"/>
              <w:contextualSpacing/>
              <w:jc w:val="center"/>
              <w:rPr>
                <w:b/>
                <w:color w:val="000000"/>
                <w:sz w:val="18"/>
                <w:szCs w:val="18"/>
                <w:lang w:eastAsia="lv-LV"/>
              </w:rPr>
            </w:pPr>
            <w:r w:rsidRPr="00DD3A9A">
              <w:rPr>
                <w:b/>
                <w:color w:val="000000"/>
                <w:sz w:val="18"/>
                <w:szCs w:val="18"/>
                <w:lang w:eastAsia="lv-LV"/>
              </w:rPr>
              <w:t>2018</w:t>
            </w:r>
          </w:p>
        </w:tc>
        <w:tc>
          <w:tcPr>
            <w:tcW w:w="1553" w:type="dxa"/>
            <w:shd w:val="clear" w:color="auto" w:fill="D9D9D9" w:themeFill="background1" w:themeFillShade="D9"/>
            <w:noWrap/>
            <w:vAlign w:val="center"/>
            <w:hideMark/>
          </w:tcPr>
          <w:p w:rsidR="00FD36B6" w:rsidRPr="00DD3A9A" w:rsidRDefault="00FD36B6" w:rsidP="00FD36B6">
            <w:pPr>
              <w:spacing w:after="0"/>
              <w:ind w:firstLine="0"/>
              <w:contextualSpacing/>
              <w:jc w:val="center"/>
              <w:rPr>
                <w:b/>
                <w:color w:val="000000"/>
                <w:sz w:val="18"/>
                <w:szCs w:val="18"/>
                <w:lang w:eastAsia="lv-LV"/>
              </w:rPr>
            </w:pPr>
            <w:r w:rsidRPr="00DD3A9A">
              <w:rPr>
                <w:b/>
                <w:color w:val="000000"/>
                <w:sz w:val="18"/>
                <w:szCs w:val="18"/>
                <w:lang w:eastAsia="lv-LV"/>
              </w:rPr>
              <w:t>2019</w:t>
            </w:r>
          </w:p>
        </w:tc>
        <w:tc>
          <w:tcPr>
            <w:tcW w:w="1694" w:type="dxa"/>
            <w:shd w:val="clear" w:color="auto" w:fill="D9D9D9" w:themeFill="background1" w:themeFillShade="D9"/>
            <w:noWrap/>
            <w:vAlign w:val="center"/>
            <w:hideMark/>
          </w:tcPr>
          <w:p w:rsidR="00FD36B6" w:rsidRPr="00DD3A9A" w:rsidRDefault="00FD36B6" w:rsidP="00FD36B6">
            <w:pPr>
              <w:spacing w:after="0"/>
              <w:ind w:firstLine="0"/>
              <w:contextualSpacing/>
              <w:jc w:val="center"/>
              <w:rPr>
                <w:b/>
                <w:color w:val="000000"/>
                <w:sz w:val="18"/>
                <w:szCs w:val="18"/>
                <w:lang w:eastAsia="lv-LV"/>
              </w:rPr>
            </w:pPr>
            <w:r w:rsidRPr="00DD3A9A">
              <w:rPr>
                <w:b/>
                <w:color w:val="000000"/>
                <w:sz w:val="18"/>
                <w:szCs w:val="18"/>
                <w:lang w:eastAsia="lv-LV"/>
              </w:rPr>
              <w:t>2020</w:t>
            </w:r>
          </w:p>
        </w:tc>
      </w:tr>
      <w:tr w:rsidR="00FD36B6" w:rsidRPr="00DD3A9A" w:rsidTr="00C01314">
        <w:trPr>
          <w:trHeight w:val="242"/>
          <w:jc w:val="center"/>
        </w:trPr>
        <w:tc>
          <w:tcPr>
            <w:tcW w:w="4165" w:type="dxa"/>
            <w:shd w:val="clear" w:color="auto" w:fill="auto"/>
            <w:noWrap/>
            <w:vAlign w:val="center"/>
            <w:hideMark/>
          </w:tcPr>
          <w:p w:rsidR="00FD36B6" w:rsidRPr="00DD3A9A" w:rsidRDefault="00FD36B6" w:rsidP="00FD36B6">
            <w:pPr>
              <w:spacing w:after="0"/>
              <w:ind w:firstLine="0"/>
              <w:contextualSpacing/>
              <w:jc w:val="right"/>
              <w:rPr>
                <w:b/>
                <w:bCs/>
                <w:color w:val="000000"/>
                <w:sz w:val="18"/>
                <w:szCs w:val="18"/>
                <w:lang w:eastAsia="lv-LV"/>
              </w:rPr>
            </w:pPr>
            <w:r w:rsidRPr="00DD3A9A">
              <w:rPr>
                <w:b/>
                <w:bCs/>
                <w:color w:val="000000"/>
                <w:sz w:val="18"/>
                <w:szCs w:val="18"/>
                <w:lang w:eastAsia="lv-LV"/>
              </w:rPr>
              <w:t>Latvija</w:t>
            </w:r>
          </w:p>
        </w:tc>
        <w:tc>
          <w:tcPr>
            <w:tcW w:w="1655" w:type="dxa"/>
            <w:shd w:val="clear" w:color="auto" w:fill="auto"/>
            <w:noWrap/>
            <w:vAlign w:val="center"/>
            <w:hideMark/>
          </w:tcPr>
          <w:p w:rsidR="00FD36B6" w:rsidRPr="00DD3A9A" w:rsidRDefault="00FD36B6" w:rsidP="00FD36B6">
            <w:pPr>
              <w:spacing w:after="0"/>
              <w:ind w:firstLine="0"/>
              <w:contextualSpacing/>
              <w:jc w:val="center"/>
              <w:rPr>
                <w:b/>
                <w:bCs/>
                <w:color w:val="000000"/>
                <w:sz w:val="18"/>
                <w:szCs w:val="18"/>
                <w:lang w:eastAsia="lv-LV"/>
              </w:rPr>
            </w:pPr>
            <w:r w:rsidRPr="00DD3A9A">
              <w:rPr>
                <w:b/>
                <w:bCs/>
                <w:color w:val="000000"/>
                <w:sz w:val="18"/>
                <w:szCs w:val="18"/>
                <w:lang w:eastAsia="lv-LV"/>
              </w:rPr>
              <w:t>476</w:t>
            </w:r>
          </w:p>
        </w:tc>
        <w:tc>
          <w:tcPr>
            <w:tcW w:w="1553" w:type="dxa"/>
            <w:shd w:val="clear" w:color="auto" w:fill="auto"/>
            <w:noWrap/>
            <w:vAlign w:val="center"/>
            <w:hideMark/>
          </w:tcPr>
          <w:p w:rsidR="00FD36B6" w:rsidRPr="00DD3A9A" w:rsidRDefault="00FD36B6" w:rsidP="00FD36B6">
            <w:pPr>
              <w:spacing w:after="0"/>
              <w:ind w:firstLine="0"/>
              <w:contextualSpacing/>
              <w:jc w:val="center"/>
              <w:rPr>
                <w:b/>
                <w:bCs/>
                <w:color w:val="000000"/>
                <w:sz w:val="18"/>
                <w:szCs w:val="18"/>
                <w:lang w:eastAsia="lv-LV"/>
              </w:rPr>
            </w:pPr>
            <w:r w:rsidRPr="00DD3A9A">
              <w:rPr>
                <w:b/>
                <w:bCs/>
                <w:color w:val="000000"/>
                <w:sz w:val="18"/>
                <w:szCs w:val="18"/>
                <w:lang w:eastAsia="lv-LV"/>
              </w:rPr>
              <w:t>476</w:t>
            </w:r>
          </w:p>
        </w:tc>
        <w:tc>
          <w:tcPr>
            <w:tcW w:w="1694" w:type="dxa"/>
            <w:shd w:val="clear" w:color="auto" w:fill="auto"/>
            <w:noWrap/>
            <w:vAlign w:val="center"/>
            <w:hideMark/>
          </w:tcPr>
          <w:p w:rsidR="00FD36B6" w:rsidRPr="00DD3A9A" w:rsidRDefault="00FD36B6" w:rsidP="00FD36B6">
            <w:pPr>
              <w:spacing w:after="0"/>
              <w:ind w:firstLine="0"/>
              <w:contextualSpacing/>
              <w:jc w:val="center"/>
              <w:rPr>
                <w:b/>
                <w:bCs/>
                <w:color w:val="000000"/>
                <w:sz w:val="18"/>
                <w:szCs w:val="18"/>
                <w:lang w:eastAsia="lv-LV"/>
              </w:rPr>
            </w:pPr>
            <w:r w:rsidRPr="00DD3A9A">
              <w:rPr>
                <w:b/>
                <w:bCs/>
                <w:color w:val="000000"/>
                <w:sz w:val="18"/>
                <w:szCs w:val="18"/>
                <w:lang w:eastAsia="lv-LV"/>
              </w:rPr>
              <w:t>509</w:t>
            </w:r>
          </w:p>
        </w:tc>
      </w:tr>
      <w:tr w:rsidR="00FD36B6" w:rsidRPr="00DD3A9A" w:rsidTr="00C01314">
        <w:trPr>
          <w:trHeight w:val="242"/>
          <w:jc w:val="center"/>
        </w:trPr>
        <w:tc>
          <w:tcPr>
            <w:tcW w:w="4165" w:type="dxa"/>
            <w:shd w:val="clear" w:color="auto" w:fill="auto"/>
            <w:noWrap/>
            <w:vAlign w:val="center"/>
            <w:hideMark/>
          </w:tcPr>
          <w:p w:rsidR="00FD36B6" w:rsidRPr="00DD3A9A" w:rsidRDefault="00FD36B6" w:rsidP="00FD36B6">
            <w:pPr>
              <w:spacing w:after="0"/>
              <w:ind w:firstLine="0"/>
              <w:contextualSpacing/>
              <w:jc w:val="right"/>
              <w:rPr>
                <w:color w:val="000000"/>
                <w:sz w:val="18"/>
                <w:szCs w:val="18"/>
                <w:lang w:eastAsia="lv-LV"/>
              </w:rPr>
            </w:pPr>
            <w:r w:rsidRPr="00DD3A9A">
              <w:rPr>
                <w:color w:val="000000"/>
                <w:sz w:val="18"/>
                <w:szCs w:val="18"/>
                <w:lang w:eastAsia="lv-LV"/>
              </w:rPr>
              <w:t>Lietuva</w:t>
            </w:r>
          </w:p>
        </w:tc>
        <w:tc>
          <w:tcPr>
            <w:tcW w:w="1655"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434</w:t>
            </w:r>
          </w:p>
        </w:tc>
        <w:tc>
          <w:tcPr>
            <w:tcW w:w="1553"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434</w:t>
            </w:r>
          </w:p>
        </w:tc>
        <w:tc>
          <w:tcPr>
            <w:tcW w:w="1694"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466</w:t>
            </w:r>
          </w:p>
        </w:tc>
      </w:tr>
      <w:tr w:rsidR="00FD36B6" w:rsidRPr="00DD3A9A" w:rsidTr="00C01314">
        <w:trPr>
          <w:trHeight w:val="242"/>
          <w:jc w:val="center"/>
        </w:trPr>
        <w:tc>
          <w:tcPr>
            <w:tcW w:w="4165" w:type="dxa"/>
            <w:shd w:val="clear" w:color="auto" w:fill="auto"/>
            <w:noWrap/>
            <w:vAlign w:val="center"/>
            <w:hideMark/>
          </w:tcPr>
          <w:p w:rsidR="00FD36B6" w:rsidRPr="00DD3A9A" w:rsidRDefault="00FD36B6" w:rsidP="00FD36B6">
            <w:pPr>
              <w:spacing w:after="0"/>
              <w:ind w:firstLine="0"/>
              <w:contextualSpacing/>
              <w:jc w:val="right"/>
              <w:rPr>
                <w:color w:val="000000"/>
                <w:sz w:val="18"/>
                <w:szCs w:val="18"/>
                <w:lang w:eastAsia="lv-LV"/>
              </w:rPr>
            </w:pPr>
            <w:r w:rsidRPr="00DD3A9A">
              <w:rPr>
                <w:color w:val="000000"/>
                <w:sz w:val="18"/>
                <w:szCs w:val="18"/>
                <w:lang w:eastAsia="lv-LV"/>
              </w:rPr>
              <w:t>Igaunija</w:t>
            </w:r>
          </w:p>
        </w:tc>
        <w:tc>
          <w:tcPr>
            <w:tcW w:w="1655"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563</w:t>
            </w:r>
          </w:p>
        </w:tc>
        <w:tc>
          <w:tcPr>
            <w:tcW w:w="1553"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563</w:t>
            </w:r>
          </w:p>
        </w:tc>
        <w:tc>
          <w:tcPr>
            <w:tcW w:w="1694" w:type="dxa"/>
            <w:shd w:val="clear" w:color="auto" w:fill="auto"/>
            <w:noWrap/>
            <w:vAlign w:val="center"/>
            <w:hideMark/>
          </w:tcPr>
          <w:p w:rsidR="00FD36B6" w:rsidRPr="00DD3A9A" w:rsidRDefault="00FD36B6" w:rsidP="00FD36B6">
            <w:pPr>
              <w:spacing w:after="0"/>
              <w:ind w:firstLine="0"/>
              <w:contextualSpacing/>
              <w:jc w:val="center"/>
              <w:rPr>
                <w:sz w:val="18"/>
                <w:szCs w:val="18"/>
                <w:lang w:eastAsia="lv-LV"/>
              </w:rPr>
            </w:pPr>
            <w:r w:rsidRPr="00DD3A9A">
              <w:rPr>
                <w:sz w:val="18"/>
                <w:szCs w:val="18"/>
                <w:lang w:eastAsia="lv-LV"/>
              </w:rPr>
              <w:t>563</w:t>
            </w:r>
          </w:p>
        </w:tc>
      </w:tr>
      <w:tr w:rsidR="00FD36B6" w:rsidRPr="00DD3A9A" w:rsidTr="00C01314">
        <w:trPr>
          <w:trHeight w:val="254"/>
          <w:jc w:val="center"/>
        </w:trPr>
        <w:tc>
          <w:tcPr>
            <w:tcW w:w="4165" w:type="dxa"/>
            <w:shd w:val="clear" w:color="auto" w:fill="auto"/>
            <w:noWrap/>
            <w:vAlign w:val="center"/>
            <w:hideMark/>
          </w:tcPr>
          <w:p w:rsidR="00FD36B6" w:rsidRPr="00DD3A9A" w:rsidRDefault="00FD36B6" w:rsidP="00FD36B6">
            <w:pPr>
              <w:spacing w:after="0"/>
              <w:ind w:firstLine="0"/>
              <w:contextualSpacing/>
              <w:jc w:val="right"/>
              <w:rPr>
                <w:color w:val="000000"/>
                <w:sz w:val="18"/>
                <w:szCs w:val="18"/>
                <w:lang w:eastAsia="lv-LV"/>
              </w:rPr>
            </w:pPr>
            <w:r w:rsidRPr="00DD3A9A">
              <w:rPr>
                <w:color w:val="000000"/>
                <w:sz w:val="18"/>
                <w:szCs w:val="18"/>
                <w:lang w:eastAsia="lv-LV"/>
              </w:rPr>
              <w:t>Polija</w:t>
            </w:r>
          </w:p>
        </w:tc>
        <w:tc>
          <w:tcPr>
            <w:tcW w:w="1655"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388</w:t>
            </w:r>
          </w:p>
        </w:tc>
        <w:tc>
          <w:tcPr>
            <w:tcW w:w="1553"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391</w:t>
            </w:r>
          </w:p>
        </w:tc>
        <w:tc>
          <w:tcPr>
            <w:tcW w:w="1694" w:type="dxa"/>
            <w:shd w:val="clear" w:color="auto" w:fill="auto"/>
            <w:noWrap/>
            <w:vAlign w:val="center"/>
            <w:hideMark/>
          </w:tcPr>
          <w:p w:rsidR="00FD36B6" w:rsidRPr="00DD3A9A" w:rsidRDefault="00FD36B6" w:rsidP="00FD36B6">
            <w:pPr>
              <w:spacing w:after="0"/>
              <w:ind w:firstLine="0"/>
              <w:contextualSpacing/>
              <w:jc w:val="center"/>
              <w:rPr>
                <w:sz w:val="18"/>
                <w:szCs w:val="18"/>
                <w:lang w:eastAsia="lv-LV"/>
              </w:rPr>
            </w:pPr>
            <w:r w:rsidRPr="00DD3A9A">
              <w:rPr>
                <w:sz w:val="18"/>
                <w:szCs w:val="18"/>
                <w:lang w:eastAsia="lv-LV"/>
              </w:rPr>
              <w:t>383</w:t>
            </w:r>
          </w:p>
        </w:tc>
      </w:tr>
      <w:tr w:rsidR="00FD36B6" w:rsidRPr="00DD3A9A" w:rsidTr="00C01314">
        <w:trPr>
          <w:trHeight w:val="254"/>
          <w:jc w:val="center"/>
        </w:trPr>
        <w:tc>
          <w:tcPr>
            <w:tcW w:w="4165" w:type="dxa"/>
            <w:shd w:val="clear" w:color="auto" w:fill="D9D9D9" w:themeFill="background1" w:themeFillShade="D9"/>
            <w:noWrap/>
            <w:vAlign w:val="center"/>
            <w:hideMark/>
          </w:tcPr>
          <w:p w:rsidR="00FD36B6" w:rsidRPr="00DD3A9A" w:rsidRDefault="00FD36B6" w:rsidP="00FD36B6">
            <w:pPr>
              <w:spacing w:after="0"/>
              <w:ind w:firstLine="0"/>
              <w:contextualSpacing/>
              <w:jc w:val="left"/>
              <w:rPr>
                <w:b/>
                <w:color w:val="000000"/>
                <w:sz w:val="18"/>
                <w:szCs w:val="18"/>
                <w:lang w:eastAsia="lv-LV"/>
              </w:rPr>
            </w:pPr>
            <w:r w:rsidRPr="00DD3A9A">
              <w:rPr>
                <w:b/>
                <w:color w:val="000000"/>
                <w:sz w:val="18"/>
                <w:szCs w:val="18"/>
                <w:lang w:eastAsia="lv-LV"/>
              </w:rPr>
              <w:t xml:space="preserve">Dīzeļdegviela, </w:t>
            </w:r>
            <w:proofErr w:type="spellStart"/>
            <w:r w:rsidRPr="00DD3A9A">
              <w:rPr>
                <w:b/>
                <w:i/>
                <w:iCs/>
                <w:color w:val="000000"/>
                <w:sz w:val="18"/>
                <w:szCs w:val="18"/>
                <w:lang w:eastAsia="lv-LV"/>
              </w:rPr>
              <w:t>euro</w:t>
            </w:r>
            <w:proofErr w:type="spellEnd"/>
            <w:r w:rsidRPr="00DD3A9A">
              <w:rPr>
                <w:b/>
                <w:color w:val="000000"/>
                <w:sz w:val="18"/>
                <w:szCs w:val="18"/>
                <w:lang w:eastAsia="lv-LV"/>
              </w:rPr>
              <w:t xml:space="preserve"> par 1000 l</w:t>
            </w:r>
          </w:p>
        </w:tc>
        <w:tc>
          <w:tcPr>
            <w:tcW w:w="1655" w:type="dxa"/>
            <w:shd w:val="clear" w:color="auto" w:fill="D9D9D9" w:themeFill="background1" w:themeFillShade="D9"/>
            <w:noWrap/>
            <w:vAlign w:val="center"/>
            <w:hideMark/>
          </w:tcPr>
          <w:p w:rsidR="00FD36B6" w:rsidRPr="00DD3A9A" w:rsidRDefault="00FD36B6" w:rsidP="00FD36B6">
            <w:pPr>
              <w:spacing w:after="0"/>
              <w:ind w:firstLine="0"/>
              <w:contextualSpacing/>
              <w:jc w:val="center"/>
              <w:rPr>
                <w:b/>
                <w:color w:val="000000"/>
                <w:sz w:val="18"/>
                <w:szCs w:val="18"/>
                <w:lang w:eastAsia="lv-LV"/>
              </w:rPr>
            </w:pPr>
            <w:r w:rsidRPr="00DD3A9A">
              <w:rPr>
                <w:b/>
                <w:color w:val="000000"/>
                <w:sz w:val="18"/>
                <w:szCs w:val="18"/>
                <w:lang w:eastAsia="lv-LV"/>
              </w:rPr>
              <w:t>2018</w:t>
            </w:r>
          </w:p>
        </w:tc>
        <w:tc>
          <w:tcPr>
            <w:tcW w:w="1553" w:type="dxa"/>
            <w:shd w:val="clear" w:color="auto" w:fill="D9D9D9" w:themeFill="background1" w:themeFillShade="D9"/>
            <w:noWrap/>
            <w:vAlign w:val="center"/>
            <w:hideMark/>
          </w:tcPr>
          <w:p w:rsidR="00FD36B6" w:rsidRPr="00DD3A9A" w:rsidRDefault="00FD36B6" w:rsidP="00FD36B6">
            <w:pPr>
              <w:spacing w:after="0"/>
              <w:ind w:firstLine="0"/>
              <w:contextualSpacing/>
              <w:jc w:val="center"/>
              <w:rPr>
                <w:b/>
                <w:color w:val="000000"/>
                <w:sz w:val="18"/>
                <w:szCs w:val="18"/>
                <w:lang w:eastAsia="lv-LV"/>
              </w:rPr>
            </w:pPr>
            <w:r w:rsidRPr="00DD3A9A">
              <w:rPr>
                <w:b/>
                <w:color w:val="000000"/>
                <w:sz w:val="18"/>
                <w:szCs w:val="18"/>
                <w:lang w:eastAsia="lv-LV"/>
              </w:rPr>
              <w:t>2019</w:t>
            </w:r>
          </w:p>
        </w:tc>
        <w:tc>
          <w:tcPr>
            <w:tcW w:w="1694" w:type="dxa"/>
            <w:shd w:val="clear" w:color="auto" w:fill="D9D9D9" w:themeFill="background1" w:themeFillShade="D9"/>
            <w:noWrap/>
            <w:vAlign w:val="center"/>
            <w:hideMark/>
          </w:tcPr>
          <w:p w:rsidR="00FD36B6" w:rsidRPr="00DD3A9A" w:rsidRDefault="00FD36B6" w:rsidP="00FD36B6">
            <w:pPr>
              <w:spacing w:after="0"/>
              <w:ind w:firstLine="0"/>
              <w:contextualSpacing/>
              <w:jc w:val="center"/>
              <w:rPr>
                <w:b/>
                <w:sz w:val="18"/>
                <w:szCs w:val="18"/>
                <w:lang w:eastAsia="lv-LV"/>
              </w:rPr>
            </w:pPr>
            <w:r w:rsidRPr="00DD3A9A">
              <w:rPr>
                <w:b/>
                <w:sz w:val="18"/>
                <w:szCs w:val="18"/>
                <w:lang w:eastAsia="lv-LV"/>
              </w:rPr>
              <w:t>2020</w:t>
            </w:r>
          </w:p>
        </w:tc>
      </w:tr>
      <w:tr w:rsidR="00FD36B6" w:rsidRPr="00DD3A9A" w:rsidTr="00C01314">
        <w:trPr>
          <w:trHeight w:val="242"/>
          <w:jc w:val="center"/>
        </w:trPr>
        <w:tc>
          <w:tcPr>
            <w:tcW w:w="4165" w:type="dxa"/>
            <w:shd w:val="clear" w:color="auto" w:fill="auto"/>
            <w:noWrap/>
            <w:vAlign w:val="center"/>
            <w:hideMark/>
          </w:tcPr>
          <w:p w:rsidR="00FD36B6" w:rsidRPr="00DD3A9A" w:rsidRDefault="00FD36B6" w:rsidP="00FD36B6">
            <w:pPr>
              <w:spacing w:after="0"/>
              <w:ind w:firstLine="0"/>
              <w:contextualSpacing/>
              <w:jc w:val="right"/>
              <w:rPr>
                <w:b/>
                <w:bCs/>
                <w:color w:val="000000"/>
                <w:sz w:val="18"/>
                <w:szCs w:val="18"/>
                <w:lang w:eastAsia="lv-LV"/>
              </w:rPr>
            </w:pPr>
            <w:r w:rsidRPr="00DD3A9A">
              <w:rPr>
                <w:b/>
                <w:bCs/>
                <w:color w:val="000000"/>
                <w:sz w:val="18"/>
                <w:szCs w:val="18"/>
                <w:lang w:eastAsia="lv-LV"/>
              </w:rPr>
              <w:t>Latvija*</w:t>
            </w:r>
          </w:p>
        </w:tc>
        <w:tc>
          <w:tcPr>
            <w:tcW w:w="1655" w:type="dxa"/>
            <w:shd w:val="clear" w:color="auto" w:fill="auto"/>
            <w:noWrap/>
            <w:vAlign w:val="center"/>
            <w:hideMark/>
          </w:tcPr>
          <w:p w:rsidR="00FD36B6" w:rsidRPr="00DD3A9A" w:rsidRDefault="00FD36B6" w:rsidP="00FD36B6">
            <w:pPr>
              <w:spacing w:after="0"/>
              <w:ind w:firstLine="0"/>
              <w:contextualSpacing/>
              <w:jc w:val="center"/>
              <w:rPr>
                <w:b/>
                <w:bCs/>
                <w:color w:val="000000"/>
                <w:sz w:val="18"/>
                <w:szCs w:val="18"/>
                <w:lang w:eastAsia="lv-LV"/>
              </w:rPr>
            </w:pPr>
            <w:r w:rsidRPr="00DD3A9A">
              <w:rPr>
                <w:b/>
                <w:bCs/>
                <w:color w:val="000000"/>
                <w:sz w:val="18"/>
                <w:szCs w:val="18"/>
                <w:lang w:eastAsia="lv-LV"/>
              </w:rPr>
              <w:t>372</w:t>
            </w:r>
          </w:p>
        </w:tc>
        <w:tc>
          <w:tcPr>
            <w:tcW w:w="1553" w:type="dxa"/>
            <w:shd w:val="clear" w:color="auto" w:fill="auto"/>
            <w:noWrap/>
            <w:vAlign w:val="center"/>
            <w:hideMark/>
          </w:tcPr>
          <w:p w:rsidR="00FD36B6" w:rsidRPr="00DD3A9A" w:rsidRDefault="00FD36B6" w:rsidP="00FD36B6">
            <w:pPr>
              <w:spacing w:after="0"/>
              <w:ind w:firstLine="0"/>
              <w:contextualSpacing/>
              <w:jc w:val="center"/>
              <w:rPr>
                <w:b/>
                <w:bCs/>
                <w:color w:val="000000"/>
                <w:sz w:val="18"/>
                <w:szCs w:val="18"/>
                <w:lang w:eastAsia="lv-LV"/>
              </w:rPr>
            </w:pPr>
            <w:r w:rsidRPr="00DD3A9A">
              <w:rPr>
                <w:b/>
                <w:bCs/>
                <w:color w:val="000000"/>
                <w:sz w:val="18"/>
                <w:szCs w:val="18"/>
                <w:lang w:eastAsia="lv-LV"/>
              </w:rPr>
              <w:t>372</w:t>
            </w:r>
          </w:p>
        </w:tc>
        <w:tc>
          <w:tcPr>
            <w:tcW w:w="1694" w:type="dxa"/>
            <w:shd w:val="clear" w:color="auto" w:fill="auto"/>
            <w:noWrap/>
            <w:vAlign w:val="center"/>
            <w:hideMark/>
          </w:tcPr>
          <w:p w:rsidR="00FD36B6" w:rsidRPr="00DD3A9A" w:rsidRDefault="00FD36B6" w:rsidP="00FD36B6">
            <w:pPr>
              <w:spacing w:after="0"/>
              <w:ind w:firstLine="0"/>
              <w:contextualSpacing/>
              <w:jc w:val="center"/>
              <w:rPr>
                <w:b/>
                <w:bCs/>
                <w:sz w:val="18"/>
                <w:szCs w:val="18"/>
                <w:lang w:eastAsia="lv-LV"/>
              </w:rPr>
            </w:pPr>
            <w:r w:rsidRPr="00DD3A9A">
              <w:rPr>
                <w:b/>
                <w:bCs/>
                <w:sz w:val="18"/>
                <w:szCs w:val="18"/>
                <w:lang w:eastAsia="lv-LV"/>
              </w:rPr>
              <w:t>414</w:t>
            </w:r>
          </w:p>
        </w:tc>
      </w:tr>
      <w:tr w:rsidR="00FD36B6" w:rsidRPr="00DD3A9A" w:rsidTr="00C01314">
        <w:trPr>
          <w:trHeight w:val="242"/>
          <w:jc w:val="center"/>
        </w:trPr>
        <w:tc>
          <w:tcPr>
            <w:tcW w:w="4165" w:type="dxa"/>
            <w:shd w:val="clear" w:color="auto" w:fill="auto"/>
            <w:noWrap/>
            <w:vAlign w:val="center"/>
            <w:hideMark/>
          </w:tcPr>
          <w:p w:rsidR="00FD36B6" w:rsidRPr="00DD3A9A" w:rsidRDefault="00FD36B6" w:rsidP="00FD36B6">
            <w:pPr>
              <w:spacing w:after="0"/>
              <w:ind w:firstLine="0"/>
              <w:contextualSpacing/>
              <w:jc w:val="right"/>
              <w:rPr>
                <w:color w:val="000000"/>
                <w:sz w:val="18"/>
                <w:szCs w:val="18"/>
                <w:lang w:eastAsia="lv-LV"/>
              </w:rPr>
            </w:pPr>
            <w:r w:rsidRPr="00DD3A9A">
              <w:rPr>
                <w:color w:val="000000"/>
                <w:sz w:val="18"/>
                <w:szCs w:val="18"/>
                <w:lang w:eastAsia="lv-LV"/>
              </w:rPr>
              <w:t>Lietuva</w:t>
            </w:r>
          </w:p>
        </w:tc>
        <w:tc>
          <w:tcPr>
            <w:tcW w:w="1655"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347</w:t>
            </w:r>
          </w:p>
        </w:tc>
        <w:tc>
          <w:tcPr>
            <w:tcW w:w="1553"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347</w:t>
            </w:r>
          </w:p>
        </w:tc>
        <w:tc>
          <w:tcPr>
            <w:tcW w:w="1694" w:type="dxa"/>
            <w:shd w:val="clear" w:color="auto" w:fill="auto"/>
            <w:noWrap/>
            <w:vAlign w:val="center"/>
            <w:hideMark/>
          </w:tcPr>
          <w:p w:rsidR="00FD36B6" w:rsidRPr="00DD3A9A" w:rsidRDefault="00FD36B6" w:rsidP="00FD36B6">
            <w:pPr>
              <w:spacing w:after="0"/>
              <w:ind w:firstLine="0"/>
              <w:contextualSpacing/>
              <w:jc w:val="center"/>
              <w:rPr>
                <w:sz w:val="18"/>
                <w:szCs w:val="18"/>
                <w:lang w:eastAsia="lv-LV"/>
              </w:rPr>
            </w:pPr>
            <w:r w:rsidRPr="00DD3A9A">
              <w:rPr>
                <w:sz w:val="18"/>
                <w:szCs w:val="18"/>
                <w:lang w:eastAsia="lv-LV"/>
              </w:rPr>
              <w:t>372</w:t>
            </w:r>
          </w:p>
        </w:tc>
      </w:tr>
      <w:tr w:rsidR="00FD36B6" w:rsidRPr="00DD3A9A" w:rsidTr="00C01314">
        <w:trPr>
          <w:trHeight w:val="242"/>
          <w:jc w:val="center"/>
        </w:trPr>
        <w:tc>
          <w:tcPr>
            <w:tcW w:w="4165" w:type="dxa"/>
            <w:shd w:val="clear" w:color="auto" w:fill="auto"/>
            <w:noWrap/>
            <w:vAlign w:val="center"/>
            <w:hideMark/>
          </w:tcPr>
          <w:p w:rsidR="00FD36B6" w:rsidRPr="00DD3A9A" w:rsidRDefault="00FD36B6" w:rsidP="00FD36B6">
            <w:pPr>
              <w:spacing w:after="0"/>
              <w:ind w:firstLine="0"/>
              <w:contextualSpacing/>
              <w:jc w:val="right"/>
              <w:rPr>
                <w:color w:val="000000"/>
                <w:sz w:val="18"/>
                <w:szCs w:val="18"/>
                <w:lang w:eastAsia="lv-LV"/>
              </w:rPr>
            </w:pPr>
            <w:r w:rsidRPr="00DD3A9A">
              <w:rPr>
                <w:color w:val="000000"/>
                <w:sz w:val="18"/>
                <w:szCs w:val="18"/>
                <w:lang w:eastAsia="lv-LV"/>
              </w:rPr>
              <w:t>Igaunija</w:t>
            </w:r>
          </w:p>
        </w:tc>
        <w:tc>
          <w:tcPr>
            <w:tcW w:w="1655"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493</w:t>
            </w:r>
          </w:p>
        </w:tc>
        <w:tc>
          <w:tcPr>
            <w:tcW w:w="1553"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493</w:t>
            </w:r>
          </w:p>
        </w:tc>
        <w:tc>
          <w:tcPr>
            <w:tcW w:w="1694" w:type="dxa"/>
            <w:shd w:val="clear" w:color="auto" w:fill="auto"/>
            <w:noWrap/>
            <w:vAlign w:val="center"/>
            <w:hideMark/>
          </w:tcPr>
          <w:p w:rsidR="00FD36B6" w:rsidRPr="00DD3A9A" w:rsidRDefault="00FD36B6" w:rsidP="00FD36B6">
            <w:pPr>
              <w:spacing w:after="0"/>
              <w:ind w:firstLine="0"/>
              <w:contextualSpacing/>
              <w:jc w:val="center"/>
              <w:rPr>
                <w:sz w:val="18"/>
                <w:szCs w:val="18"/>
                <w:lang w:eastAsia="lv-LV"/>
              </w:rPr>
            </w:pPr>
            <w:r w:rsidRPr="00DD3A9A">
              <w:rPr>
                <w:sz w:val="18"/>
                <w:szCs w:val="18"/>
                <w:lang w:eastAsia="lv-LV"/>
              </w:rPr>
              <w:t>493/372**</w:t>
            </w:r>
          </w:p>
        </w:tc>
      </w:tr>
      <w:tr w:rsidR="00FD36B6" w:rsidRPr="00DD3A9A" w:rsidTr="00C01314">
        <w:trPr>
          <w:trHeight w:val="254"/>
          <w:jc w:val="center"/>
        </w:trPr>
        <w:tc>
          <w:tcPr>
            <w:tcW w:w="4165" w:type="dxa"/>
            <w:shd w:val="clear" w:color="auto" w:fill="auto"/>
            <w:noWrap/>
            <w:vAlign w:val="center"/>
            <w:hideMark/>
          </w:tcPr>
          <w:p w:rsidR="00FD36B6" w:rsidRPr="00DD3A9A" w:rsidRDefault="00FD36B6" w:rsidP="00FD36B6">
            <w:pPr>
              <w:spacing w:after="0"/>
              <w:ind w:firstLine="0"/>
              <w:contextualSpacing/>
              <w:jc w:val="right"/>
              <w:rPr>
                <w:color w:val="000000"/>
                <w:sz w:val="18"/>
                <w:szCs w:val="18"/>
                <w:lang w:eastAsia="lv-LV"/>
              </w:rPr>
            </w:pPr>
            <w:r w:rsidRPr="00DD3A9A">
              <w:rPr>
                <w:color w:val="000000"/>
                <w:sz w:val="18"/>
                <w:szCs w:val="18"/>
                <w:lang w:eastAsia="lv-LV"/>
              </w:rPr>
              <w:t>Polija</w:t>
            </w:r>
          </w:p>
        </w:tc>
        <w:tc>
          <w:tcPr>
            <w:tcW w:w="1655"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339</w:t>
            </w:r>
          </w:p>
        </w:tc>
        <w:tc>
          <w:tcPr>
            <w:tcW w:w="1553"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343</w:t>
            </w:r>
          </w:p>
        </w:tc>
        <w:tc>
          <w:tcPr>
            <w:tcW w:w="1694"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337</w:t>
            </w:r>
          </w:p>
        </w:tc>
      </w:tr>
      <w:tr w:rsidR="00FD36B6" w:rsidRPr="00DD3A9A" w:rsidTr="00C01314">
        <w:trPr>
          <w:trHeight w:val="254"/>
          <w:jc w:val="center"/>
        </w:trPr>
        <w:tc>
          <w:tcPr>
            <w:tcW w:w="4165" w:type="dxa"/>
            <w:shd w:val="clear" w:color="auto" w:fill="D9D9D9" w:themeFill="background1" w:themeFillShade="D9"/>
            <w:noWrap/>
            <w:vAlign w:val="center"/>
            <w:hideMark/>
          </w:tcPr>
          <w:p w:rsidR="00FD36B6" w:rsidRPr="00DD3A9A" w:rsidRDefault="00FD36B6" w:rsidP="00FD36B6">
            <w:pPr>
              <w:spacing w:after="0"/>
              <w:ind w:firstLine="0"/>
              <w:contextualSpacing/>
              <w:jc w:val="left"/>
              <w:rPr>
                <w:b/>
                <w:color w:val="000000"/>
                <w:sz w:val="18"/>
                <w:szCs w:val="18"/>
                <w:lang w:eastAsia="lv-LV"/>
              </w:rPr>
            </w:pPr>
            <w:r w:rsidRPr="00DD3A9A">
              <w:rPr>
                <w:b/>
                <w:color w:val="000000"/>
                <w:sz w:val="18"/>
                <w:szCs w:val="18"/>
                <w:lang w:eastAsia="lv-LV"/>
              </w:rPr>
              <w:t xml:space="preserve">Sašķidrinātās naftas gāzes, </w:t>
            </w:r>
            <w:proofErr w:type="spellStart"/>
            <w:r w:rsidRPr="00DD3A9A">
              <w:rPr>
                <w:b/>
                <w:i/>
                <w:iCs/>
                <w:color w:val="000000"/>
                <w:sz w:val="18"/>
                <w:szCs w:val="18"/>
                <w:lang w:eastAsia="lv-LV"/>
              </w:rPr>
              <w:t>euro</w:t>
            </w:r>
            <w:proofErr w:type="spellEnd"/>
            <w:r w:rsidRPr="00DD3A9A">
              <w:rPr>
                <w:b/>
                <w:color w:val="000000"/>
                <w:sz w:val="18"/>
                <w:szCs w:val="18"/>
                <w:lang w:eastAsia="lv-LV"/>
              </w:rPr>
              <w:t xml:space="preserve"> par 1000 kg</w:t>
            </w:r>
          </w:p>
        </w:tc>
        <w:tc>
          <w:tcPr>
            <w:tcW w:w="1655" w:type="dxa"/>
            <w:shd w:val="clear" w:color="auto" w:fill="D9D9D9" w:themeFill="background1" w:themeFillShade="D9"/>
            <w:noWrap/>
            <w:vAlign w:val="center"/>
            <w:hideMark/>
          </w:tcPr>
          <w:p w:rsidR="00FD36B6" w:rsidRPr="00DD3A9A" w:rsidRDefault="00FD36B6" w:rsidP="00FD36B6">
            <w:pPr>
              <w:spacing w:after="0"/>
              <w:ind w:firstLine="0"/>
              <w:contextualSpacing/>
              <w:jc w:val="center"/>
              <w:rPr>
                <w:b/>
                <w:color w:val="000000"/>
                <w:sz w:val="18"/>
                <w:szCs w:val="18"/>
                <w:lang w:eastAsia="lv-LV"/>
              </w:rPr>
            </w:pPr>
            <w:r w:rsidRPr="00DD3A9A">
              <w:rPr>
                <w:b/>
                <w:color w:val="000000"/>
                <w:sz w:val="18"/>
                <w:szCs w:val="18"/>
                <w:lang w:eastAsia="lv-LV"/>
              </w:rPr>
              <w:t>2018</w:t>
            </w:r>
          </w:p>
        </w:tc>
        <w:tc>
          <w:tcPr>
            <w:tcW w:w="1553" w:type="dxa"/>
            <w:shd w:val="clear" w:color="auto" w:fill="D9D9D9" w:themeFill="background1" w:themeFillShade="D9"/>
            <w:noWrap/>
            <w:vAlign w:val="center"/>
            <w:hideMark/>
          </w:tcPr>
          <w:p w:rsidR="00FD36B6" w:rsidRPr="00DD3A9A" w:rsidRDefault="00FD36B6" w:rsidP="00FD36B6">
            <w:pPr>
              <w:spacing w:after="0"/>
              <w:ind w:firstLine="0"/>
              <w:contextualSpacing/>
              <w:jc w:val="center"/>
              <w:rPr>
                <w:b/>
                <w:color w:val="000000"/>
                <w:sz w:val="18"/>
                <w:szCs w:val="18"/>
                <w:lang w:eastAsia="lv-LV"/>
              </w:rPr>
            </w:pPr>
            <w:r w:rsidRPr="00DD3A9A">
              <w:rPr>
                <w:b/>
                <w:color w:val="000000"/>
                <w:sz w:val="18"/>
                <w:szCs w:val="18"/>
                <w:lang w:eastAsia="lv-LV"/>
              </w:rPr>
              <w:t>2019</w:t>
            </w:r>
          </w:p>
        </w:tc>
        <w:tc>
          <w:tcPr>
            <w:tcW w:w="1694" w:type="dxa"/>
            <w:shd w:val="clear" w:color="auto" w:fill="D9D9D9" w:themeFill="background1" w:themeFillShade="D9"/>
            <w:noWrap/>
            <w:vAlign w:val="center"/>
            <w:hideMark/>
          </w:tcPr>
          <w:p w:rsidR="00FD36B6" w:rsidRPr="00DD3A9A" w:rsidRDefault="00FD36B6" w:rsidP="00FD36B6">
            <w:pPr>
              <w:spacing w:after="0"/>
              <w:ind w:firstLine="0"/>
              <w:contextualSpacing/>
              <w:jc w:val="center"/>
              <w:rPr>
                <w:b/>
                <w:color w:val="000000"/>
                <w:sz w:val="18"/>
                <w:szCs w:val="18"/>
                <w:lang w:eastAsia="lv-LV"/>
              </w:rPr>
            </w:pPr>
            <w:r w:rsidRPr="00DD3A9A">
              <w:rPr>
                <w:b/>
                <w:color w:val="000000"/>
                <w:sz w:val="18"/>
                <w:szCs w:val="18"/>
                <w:lang w:eastAsia="lv-LV"/>
              </w:rPr>
              <w:t>2020</w:t>
            </w:r>
          </w:p>
        </w:tc>
      </w:tr>
      <w:tr w:rsidR="00FD36B6" w:rsidRPr="00DD3A9A" w:rsidTr="00C01314">
        <w:trPr>
          <w:trHeight w:val="242"/>
          <w:jc w:val="center"/>
        </w:trPr>
        <w:tc>
          <w:tcPr>
            <w:tcW w:w="4165" w:type="dxa"/>
            <w:shd w:val="clear" w:color="auto" w:fill="auto"/>
            <w:noWrap/>
            <w:vAlign w:val="center"/>
            <w:hideMark/>
          </w:tcPr>
          <w:p w:rsidR="00FD36B6" w:rsidRPr="00DD3A9A" w:rsidRDefault="00FD36B6" w:rsidP="00FD36B6">
            <w:pPr>
              <w:spacing w:after="0"/>
              <w:ind w:firstLine="0"/>
              <w:contextualSpacing/>
              <w:jc w:val="right"/>
              <w:rPr>
                <w:b/>
                <w:bCs/>
                <w:color w:val="000000"/>
                <w:sz w:val="18"/>
                <w:szCs w:val="18"/>
                <w:lang w:eastAsia="lv-LV"/>
              </w:rPr>
            </w:pPr>
            <w:r w:rsidRPr="00DD3A9A">
              <w:rPr>
                <w:b/>
                <w:bCs/>
                <w:color w:val="000000"/>
                <w:sz w:val="18"/>
                <w:szCs w:val="18"/>
                <w:lang w:eastAsia="lv-LV"/>
              </w:rPr>
              <w:t>Latvija</w:t>
            </w:r>
          </w:p>
        </w:tc>
        <w:tc>
          <w:tcPr>
            <w:tcW w:w="1655" w:type="dxa"/>
            <w:shd w:val="clear" w:color="auto" w:fill="auto"/>
            <w:noWrap/>
            <w:vAlign w:val="center"/>
            <w:hideMark/>
          </w:tcPr>
          <w:p w:rsidR="00FD36B6" w:rsidRPr="00DD3A9A" w:rsidRDefault="00FD36B6" w:rsidP="00FD36B6">
            <w:pPr>
              <w:spacing w:after="0"/>
              <w:ind w:firstLine="0"/>
              <w:contextualSpacing/>
              <w:jc w:val="center"/>
              <w:rPr>
                <w:b/>
                <w:bCs/>
                <w:color w:val="000000"/>
                <w:sz w:val="18"/>
                <w:szCs w:val="18"/>
                <w:lang w:eastAsia="lv-LV"/>
              </w:rPr>
            </w:pPr>
            <w:r w:rsidRPr="00DD3A9A">
              <w:rPr>
                <w:b/>
                <w:bCs/>
                <w:color w:val="000000"/>
                <w:sz w:val="18"/>
                <w:szCs w:val="18"/>
                <w:lang w:eastAsia="lv-LV"/>
              </w:rPr>
              <w:t>244</w:t>
            </w:r>
          </w:p>
        </w:tc>
        <w:tc>
          <w:tcPr>
            <w:tcW w:w="1553" w:type="dxa"/>
            <w:shd w:val="clear" w:color="auto" w:fill="auto"/>
            <w:noWrap/>
            <w:vAlign w:val="center"/>
            <w:hideMark/>
          </w:tcPr>
          <w:p w:rsidR="00FD36B6" w:rsidRPr="00DD3A9A" w:rsidRDefault="00FD36B6" w:rsidP="00FD36B6">
            <w:pPr>
              <w:spacing w:after="0"/>
              <w:ind w:firstLine="0"/>
              <w:contextualSpacing/>
              <w:jc w:val="center"/>
              <w:rPr>
                <w:b/>
                <w:bCs/>
                <w:color w:val="000000"/>
                <w:sz w:val="18"/>
                <w:szCs w:val="18"/>
                <w:lang w:eastAsia="lv-LV"/>
              </w:rPr>
            </w:pPr>
            <w:r w:rsidRPr="00DD3A9A">
              <w:rPr>
                <w:b/>
                <w:bCs/>
                <w:color w:val="000000"/>
                <w:sz w:val="18"/>
                <w:szCs w:val="18"/>
                <w:lang w:eastAsia="lv-LV"/>
              </w:rPr>
              <w:t>244</w:t>
            </w:r>
          </w:p>
        </w:tc>
        <w:tc>
          <w:tcPr>
            <w:tcW w:w="1694" w:type="dxa"/>
            <w:shd w:val="clear" w:color="auto" w:fill="auto"/>
            <w:noWrap/>
            <w:vAlign w:val="center"/>
            <w:hideMark/>
          </w:tcPr>
          <w:p w:rsidR="00FD36B6" w:rsidRPr="00DD3A9A" w:rsidRDefault="00FD36B6" w:rsidP="00FD36B6">
            <w:pPr>
              <w:spacing w:after="0"/>
              <w:ind w:firstLine="0"/>
              <w:contextualSpacing/>
              <w:jc w:val="center"/>
              <w:rPr>
                <w:b/>
                <w:bCs/>
                <w:color w:val="000000"/>
                <w:sz w:val="18"/>
                <w:szCs w:val="18"/>
                <w:lang w:eastAsia="lv-LV"/>
              </w:rPr>
            </w:pPr>
            <w:r w:rsidRPr="00DD3A9A">
              <w:rPr>
                <w:b/>
                <w:bCs/>
                <w:color w:val="000000"/>
                <w:sz w:val="18"/>
                <w:szCs w:val="18"/>
                <w:lang w:eastAsia="lv-LV"/>
              </w:rPr>
              <w:t>285</w:t>
            </w:r>
          </w:p>
        </w:tc>
      </w:tr>
      <w:tr w:rsidR="00FD36B6" w:rsidRPr="00DD3A9A" w:rsidTr="00C01314">
        <w:trPr>
          <w:trHeight w:val="242"/>
          <w:jc w:val="center"/>
        </w:trPr>
        <w:tc>
          <w:tcPr>
            <w:tcW w:w="4165" w:type="dxa"/>
            <w:shd w:val="clear" w:color="auto" w:fill="auto"/>
            <w:noWrap/>
            <w:vAlign w:val="center"/>
            <w:hideMark/>
          </w:tcPr>
          <w:p w:rsidR="00FD36B6" w:rsidRPr="00DD3A9A" w:rsidRDefault="00FD36B6" w:rsidP="00FD36B6">
            <w:pPr>
              <w:spacing w:after="0"/>
              <w:ind w:firstLine="0"/>
              <w:contextualSpacing/>
              <w:jc w:val="right"/>
              <w:rPr>
                <w:color w:val="000000"/>
                <w:sz w:val="18"/>
                <w:szCs w:val="18"/>
                <w:lang w:eastAsia="lv-LV"/>
              </w:rPr>
            </w:pPr>
            <w:r w:rsidRPr="00DD3A9A">
              <w:rPr>
                <w:color w:val="000000"/>
                <w:sz w:val="18"/>
                <w:szCs w:val="18"/>
                <w:lang w:eastAsia="lv-LV"/>
              </w:rPr>
              <w:t>Lietuva</w:t>
            </w:r>
          </w:p>
        </w:tc>
        <w:tc>
          <w:tcPr>
            <w:tcW w:w="1655"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304</w:t>
            </w:r>
          </w:p>
        </w:tc>
        <w:tc>
          <w:tcPr>
            <w:tcW w:w="1553"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304</w:t>
            </w:r>
          </w:p>
        </w:tc>
        <w:tc>
          <w:tcPr>
            <w:tcW w:w="1694"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304</w:t>
            </w:r>
          </w:p>
        </w:tc>
      </w:tr>
      <w:tr w:rsidR="00FD36B6" w:rsidRPr="00DD3A9A" w:rsidTr="00C01314">
        <w:trPr>
          <w:trHeight w:val="242"/>
          <w:jc w:val="center"/>
        </w:trPr>
        <w:tc>
          <w:tcPr>
            <w:tcW w:w="4165" w:type="dxa"/>
            <w:shd w:val="clear" w:color="auto" w:fill="auto"/>
            <w:noWrap/>
            <w:vAlign w:val="center"/>
            <w:hideMark/>
          </w:tcPr>
          <w:p w:rsidR="00FD36B6" w:rsidRPr="00DD3A9A" w:rsidRDefault="00FD36B6" w:rsidP="00FD36B6">
            <w:pPr>
              <w:spacing w:after="0"/>
              <w:ind w:firstLine="0"/>
              <w:contextualSpacing/>
              <w:jc w:val="right"/>
              <w:rPr>
                <w:color w:val="000000"/>
                <w:sz w:val="18"/>
                <w:szCs w:val="18"/>
                <w:lang w:eastAsia="lv-LV"/>
              </w:rPr>
            </w:pPr>
            <w:r w:rsidRPr="00DD3A9A">
              <w:rPr>
                <w:color w:val="000000"/>
                <w:sz w:val="18"/>
                <w:szCs w:val="18"/>
                <w:lang w:eastAsia="lv-LV"/>
              </w:rPr>
              <w:t>Igaunija</w:t>
            </w:r>
          </w:p>
        </w:tc>
        <w:tc>
          <w:tcPr>
            <w:tcW w:w="1655"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193</w:t>
            </w:r>
          </w:p>
        </w:tc>
        <w:tc>
          <w:tcPr>
            <w:tcW w:w="1553"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193</w:t>
            </w:r>
          </w:p>
        </w:tc>
        <w:tc>
          <w:tcPr>
            <w:tcW w:w="1694"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193</w:t>
            </w:r>
          </w:p>
        </w:tc>
      </w:tr>
      <w:tr w:rsidR="00FD36B6" w:rsidRPr="00DD3A9A" w:rsidTr="00C01314">
        <w:trPr>
          <w:trHeight w:val="254"/>
          <w:jc w:val="center"/>
        </w:trPr>
        <w:tc>
          <w:tcPr>
            <w:tcW w:w="4165" w:type="dxa"/>
            <w:shd w:val="clear" w:color="auto" w:fill="auto"/>
            <w:noWrap/>
            <w:vAlign w:val="center"/>
            <w:hideMark/>
          </w:tcPr>
          <w:p w:rsidR="00FD36B6" w:rsidRPr="00DD3A9A" w:rsidRDefault="00FD36B6" w:rsidP="00FD36B6">
            <w:pPr>
              <w:spacing w:after="0"/>
              <w:ind w:firstLine="0"/>
              <w:contextualSpacing/>
              <w:jc w:val="right"/>
              <w:rPr>
                <w:color w:val="000000"/>
                <w:sz w:val="18"/>
                <w:szCs w:val="18"/>
                <w:lang w:eastAsia="lv-LV"/>
              </w:rPr>
            </w:pPr>
            <w:r w:rsidRPr="00DD3A9A">
              <w:rPr>
                <w:color w:val="000000"/>
                <w:sz w:val="18"/>
                <w:szCs w:val="18"/>
                <w:lang w:eastAsia="lv-LV"/>
              </w:rPr>
              <w:t>Polija</w:t>
            </w:r>
          </w:p>
        </w:tc>
        <w:tc>
          <w:tcPr>
            <w:tcW w:w="1655"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193</w:t>
            </w:r>
          </w:p>
        </w:tc>
        <w:tc>
          <w:tcPr>
            <w:tcW w:w="1553"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195</w:t>
            </w:r>
          </w:p>
        </w:tc>
        <w:tc>
          <w:tcPr>
            <w:tcW w:w="1694" w:type="dxa"/>
            <w:shd w:val="clear" w:color="auto" w:fill="auto"/>
            <w:noWrap/>
            <w:vAlign w:val="center"/>
            <w:hideMark/>
          </w:tcPr>
          <w:p w:rsidR="00FD36B6" w:rsidRPr="00DD3A9A" w:rsidRDefault="00FD36B6" w:rsidP="00FD36B6">
            <w:pPr>
              <w:spacing w:after="0"/>
              <w:ind w:firstLine="0"/>
              <w:contextualSpacing/>
              <w:jc w:val="center"/>
              <w:rPr>
                <w:color w:val="000000"/>
                <w:sz w:val="18"/>
                <w:szCs w:val="18"/>
                <w:lang w:eastAsia="lv-LV"/>
              </w:rPr>
            </w:pPr>
            <w:r w:rsidRPr="00DD3A9A">
              <w:rPr>
                <w:color w:val="000000"/>
                <w:sz w:val="18"/>
                <w:szCs w:val="18"/>
                <w:lang w:eastAsia="lv-LV"/>
              </w:rPr>
              <w:t>191</w:t>
            </w:r>
          </w:p>
        </w:tc>
      </w:tr>
    </w:tbl>
    <w:p w:rsidR="00FD36B6" w:rsidRPr="00657996" w:rsidRDefault="00FD36B6" w:rsidP="00DD3A9A">
      <w:pPr>
        <w:tabs>
          <w:tab w:val="left" w:pos="709"/>
        </w:tabs>
        <w:spacing w:after="0"/>
        <w:ind w:firstLine="0"/>
        <w:rPr>
          <w:i/>
          <w:iCs/>
          <w:sz w:val="20"/>
        </w:rPr>
      </w:pPr>
      <w:r w:rsidRPr="00657996">
        <w:rPr>
          <w:i/>
          <w:iCs/>
          <w:sz w:val="20"/>
        </w:rPr>
        <w:t>*</w:t>
      </w:r>
      <w:r w:rsidRPr="00657996">
        <w:rPr>
          <w:i/>
          <w:sz w:val="20"/>
          <w:szCs w:val="24"/>
        </w:rPr>
        <w:t xml:space="preserve"> Dīzeļdegvielai, kas tiek marķēta saskaņā ar likuma “Par akcīzes nodokli” 28.pantu un kuru izmanto atbilstoši minētā likuma 18. panta piektajā daļā noteiktajam veidam, mērķiem un nosacījumiem, ar 2018. gada 1. jūliju akcīzes nodoklis tiek piemērots 15% apmērā no akcīzes nodokļa </w:t>
      </w:r>
      <w:proofErr w:type="spellStart"/>
      <w:r w:rsidRPr="00657996">
        <w:rPr>
          <w:i/>
          <w:sz w:val="20"/>
          <w:szCs w:val="24"/>
        </w:rPr>
        <w:t>standartlikmes</w:t>
      </w:r>
      <w:proofErr w:type="spellEnd"/>
      <w:r w:rsidRPr="00657996">
        <w:rPr>
          <w:i/>
          <w:sz w:val="20"/>
          <w:szCs w:val="24"/>
        </w:rPr>
        <w:t xml:space="preserve"> dīzeļdegvielai</w:t>
      </w:r>
    </w:p>
    <w:p w:rsidR="00FD36B6" w:rsidRPr="00657996" w:rsidRDefault="00FD36B6" w:rsidP="00DD3A9A">
      <w:pPr>
        <w:tabs>
          <w:tab w:val="left" w:pos="709"/>
        </w:tabs>
        <w:spacing w:after="0"/>
        <w:ind w:firstLine="0"/>
        <w:rPr>
          <w:i/>
          <w:iCs/>
          <w:sz w:val="20"/>
        </w:rPr>
      </w:pPr>
      <w:r w:rsidRPr="00657996">
        <w:rPr>
          <w:i/>
          <w:iCs/>
          <w:sz w:val="20"/>
        </w:rPr>
        <w:t>**Likme samazināta ar 01.05.2020.</w:t>
      </w:r>
    </w:p>
    <w:p w:rsidR="00FD36B6" w:rsidRPr="00F02998" w:rsidRDefault="00FD36B6" w:rsidP="00C01314">
      <w:pPr>
        <w:tabs>
          <w:tab w:val="left" w:pos="709"/>
        </w:tabs>
        <w:spacing w:before="120"/>
        <w:ind w:firstLine="0"/>
        <w:rPr>
          <w:i/>
          <w:iCs/>
          <w:highlight w:val="yellow"/>
        </w:rPr>
      </w:pPr>
      <w:r>
        <w:rPr>
          <w:szCs w:val="26"/>
        </w:rPr>
        <w:tab/>
      </w:r>
      <w:r w:rsidRPr="00EC1999">
        <w:rPr>
          <w:iCs/>
        </w:rPr>
        <w:tab/>
      </w:r>
      <w:r w:rsidRPr="00C01314">
        <w:rPr>
          <w:iCs/>
        </w:rPr>
        <w:t>3.8.</w:t>
      </w:r>
      <w:r w:rsidR="004F4C22">
        <w:rPr>
          <w:iCs/>
        </w:rPr>
        <w:t xml:space="preserve"> </w:t>
      </w:r>
      <w:r w:rsidRPr="00C01314">
        <w:rPr>
          <w:iCs/>
        </w:rPr>
        <w:t>tabulā</w:t>
      </w:r>
      <w:r w:rsidRPr="00EC1999">
        <w:rPr>
          <w:iCs/>
        </w:rPr>
        <w:t xml:space="preserve"> redzams, ka nodokļa likme dīzeļdegvielai kopš 2020.</w:t>
      </w:r>
      <w:r w:rsidR="00C01314">
        <w:rPr>
          <w:iCs/>
        </w:rPr>
        <w:t xml:space="preserve"> </w:t>
      </w:r>
      <w:r w:rsidRPr="00EC1999">
        <w:rPr>
          <w:iCs/>
        </w:rPr>
        <w:t>gada 1.</w:t>
      </w:r>
      <w:r w:rsidR="00C01314">
        <w:rPr>
          <w:iCs/>
        </w:rPr>
        <w:t xml:space="preserve"> </w:t>
      </w:r>
      <w:r w:rsidRPr="00EC1999">
        <w:rPr>
          <w:iCs/>
        </w:rPr>
        <w:t xml:space="preserve">maija Latvijā ir visaugstākā </w:t>
      </w:r>
      <w:r>
        <w:rPr>
          <w:iCs/>
        </w:rPr>
        <w:t>starp Baltijas valstīm un Poliju –</w:t>
      </w:r>
      <w:r w:rsidRPr="00EC1999">
        <w:rPr>
          <w:iCs/>
        </w:rPr>
        <w:t xml:space="preserve"> nodokļu līmeņa (akcīzes nodoklis un tam piemērojamā </w:t>
      </w:r>
      <w:r w:rsidR="00C01314">
        <w:rPr>
          <w:iCs/>
        </w:rPr>
        <w:t>PVN</w:t>
      </w:r>
      <w:r w:rsidRPr="00EC1999">
        <w:rPr>
          <w:iCs/>
        </w:rPr>
        <w:t xml:space="preserve"> daļa) atšķirība ar Lietuvu un Igauniju litram dīzeļdegvielas veido 0,05 </w:t>
      </w:r>
      <w:proofErr w:type="spellStart"/>
      <w:r w:rsidRPr="00F92BF9">
        <w:rPr>
          <w:i/>
          <w:iCs/>
        </w:rPr>
        <w:t>euro</w:t>
      </w:r>
      <w:proofErr w:type="spellEnd"/>
      <w:r w:rsidRPr="00EC1999">
        <w:rPr>
          <w:iCs/>
        </w:rPr>
        <w:t>, savukārt ar Poliju tā ir vēl lielāka – 0,09 </w:t>
      </w:r>
      <w:proofErr w:type="spellStart"/>
      <w:r w:rsidRPr="00F92BF9">
        <w:rPr>
          <w:i/>
          <w:iCs/>
        </w:rPr>
        <w:t>euro</w:t>
      </w:r>
      <w:proofErr w:type="spellEnd"/>
      <w:r w:rsidRPr="00EC1999">
        <w:rPr>
          <w:iCs/>
        </w:rPr>
        <w:t>. Tas</w:t>
      </w:r>
      <w:r w:rsidRPr="00EE2D99">
        <w:rPr>
          <w:iCs/>
        </w:rPr>
        <w:t xml:space="preserve"> negatīvi ietekmē Latvijas konkurētspēju, </w:t>
      </w:r>
      <w:r>
        <w:rPr>
          <w:iCs/>
        </w:rPr>
        <w:t>jo</w:t>
      </w:r>
      <w:r w:rsidRPr="00EE2D99">
        <w:t xml:space="preserve"> komercpārvadājumos u</w:t>
      </w:r>
      <w:r>
        <w:t xml:space="preserve">n uzņēmējdarbībā pamatā izmanto tieši dīzeļdegvielu. </w:t>
      </w:r>
      <w:r>
        <w:rPr>
          <w:iCs/>
        </w:rPr>
        <w:t>N</w:t>
      </w:r>
      <w:r w:rsidRPr="00EC1999">
        <w:rPr>
          <w:iCs/>
        </w:rPr>
        <w:t>odokļu līmenis svinu nesaturošam benzīnam Latvijā ir par 0,06 </w:t>
      </w:r>
      <w:proofErr w:type="spellStart"/>
      <w:r w:rsidRPr="00F92BF9">
        <w:rPr>
          <w:i/>
          <w:iCs/>
        </w:rPr>
        <w:t>euro</w:t>
      </w:r>
      <w:proofErr w:type="spellEnd"/>
      <w:r w:rsidRPr="00EC1999">
        <w:rPr>
          <w:iCs/>
        </w:rPr>
        <w:t xml:space="preserve"> zemāks nekā Igaunijā, bet par 0,05 </w:t>
      </w:r>
      <w:proofErr w:type="spellStart"/>
      <w:r w:rsidRPr="00F92BF9">
        <w:rPr>
          <w:i/>
          <w:iCs/>
        </w:rPr>
        <w:t>euro</w:t>
      </w:r>
      <w:proofErr w:type="spellEnd"/>
      <w:r w:rsidRPr="00EC1999">
        <w:rPr>
          <w:iCs/>
        </w:rPr>
        <w:t xml:space="preserve"> augstāks nekā Lietuvā. </w:t>
      </w:r>
    </w:p>
    <w:p w:rsidR="00FD36B6" w:rsidRPr="0082676B" w:rsidRDefault="00FD36B6" w:rsidP="00FD36B6">
      <w:pPr>
        <w:tabs>
          <w:tab w:val="left" w:pos="709"/>
        </w:tabs>
        <w:ind w:firstLine="0"/>
        <w:rPr>
          <w:szCs w:val="28"/>
          <w:lang w:eastAsia="lv-LV"/>
        </w:rPr>
      </w:pPr>
      <w:r>
        <w:rPr>
          <w:szCs w:val="26"/>
        </w:rPr>
        <w:tab/>
        <w:t>V</w:t>
      </w:r>
      <w:r w:rsidRPr="00792761">
        <w:rPr>
          <w:szCs w:val="26"/>
        </w:rPr>
        <w:t>isizteiktākais dīzeļdegvielas patēriņa kritums sākās 2020.</w:t>
      </w:r>
      <w:r w:rsidR="00C01314">
        <w:rPr>
          <w:szCs w:val="26"/>
        </w:rPr>
        <w:t xml:space="preserve"> </w:t>
      </w:r>
      <w:r w:rsidRPr="00792761">
        <w:rPr>
          <w:szCs w:val="26"/>
        </w:rPr>
        <w:t>gada martā, ko ietekmēja būtiskā autotransporta plūsmas intensitātes samazināšanās Covid-19 ietekmē</w:t>
      </w:r>
      <w:r w:rsidRPr="00F508A8">
        <w:rPr>
          <w:szCs w:val="24"/>
        </w:rPr>
        <w:t xml:space="preserve">. Covid-19 izraisītās krīzes ietekmē </w:t>
      </w:r>
      <w:r w:rsidRPr="00F508A8">
        <w:rPr>
          <w:iCs/>
          <w:szCs w:val="24"/>
        </w:rPr>
        <w:t xml:space="preserve">patēriņš samazinājās vairākās tautsaimniecības nozarēs, kā arī privātajā sektorā. </w:t>
      </w:r>
      <w:r w:rsidRPr="00F508A8">
        <w:rPr>
          <w:szCs w:val="24"/>
        </w:rPr>
        <w:t>Piemēram, saskaņā ar VAS “Latvijas Valsts ceļi” sniegto informāciju</w:t>
      </w:r>
      <w:r w:rsidRPr="00792761">
        <w:rPr>
          <w:szCs w:val="26"/>
        </w:rPr>
        <w:t xml:space="preserve"> no 2020.</w:t>
      </w:r>
      <w:r w:rsidR="00C01314">
        <w:rPr>
          <w:szCs w:val="26"/>
        </w:rPr>
        <w:t xml:space="preserve"> </w:t>
      </w:r>
      <w:r w:rsidRPr="00792761">
        <w:rPr>
          <w:szCs w:val="26"/>
        </w:rPr>
        <w:t>gada 15.</w:t>
      </w:r>
      <w:r w:rsidR="00C01314">
        <w:rPr>
          <w:szCs w:val="26"/>
        </w:rPr>
        <w:t xml:space="preserve"> </w:t>
      </w:r>
      <w:r w:rsidRPr="00792761">
        <w:rPr>
          <w:szCs w:val="26"/>
        </w:rPr>
        <w:t>marta līdz 14.</w:t>
      </w:r>
      <w:r w:rsidR="00C01314">
        <w:rPr>
          <w:szCs w:val="26"/>
        </w:rPr>
        <w:t xml:space="preserve"> </w:t>
      </w:r>
      <w:r w:rsidRPr="00792761">
        <w:rPr>
          <w:szCs w:val="26"/>
        </w:rPr>
        <w:t xml:space="preserve">aprīlim vidējā diennakts satiksmes intensitāte uz valsts galvenajiem autoceļiem bija vidēji par 26% mazāka nekā tādā pašā laika periodā pērn. Vieglā transporta intensitātes </w:t>
      </w:r>
      <w:r w:rsidRPr="00883FCE">
        <w:rPr>
          <w:szCs w:val="26"/>
        </w:rPr>
        <w:t xml:space="preserve">samazinājums šajā periodā ir bijis 29%, bet kravas transporta – 14 procenti. </w:t>
      </w:r>
      <w:r w:rsidRPr="0082676B">
        <w:rPr>
          <w:szCs w:val="28"/>
          <w:lang w:eastAsia="lv-LV"/>
        </w:rPr>
        <w:t>Jāatzīmē, ka tika samazināts arī pasažieru pārvadājumu reisu skaits.</w:t>
      </w:r>
    </w:p>
    <w:p w:rsidR="00FD36B6" w:rsidRPr="00477D51" w:rsidRDefault="00FD36B6" w:rsidP="00FD36B6">
      <w:pPr>
        <w:rPr>
          <w:szCs w:val="24"/>
        </w:rPr>
      </w:pPr>
      <w:r w:rsidRPr="0082676B">
        <w:t>Degvielas patēriņa kritumu atspoguļo arī transportlīdzekļu skaita pieauguma tempa palēnināšanās. Saskaņā ar Ceļu satiksmes drošības direkcijas informāciju 2020.</w:t>
      </w:r>
      <w:r w:rsidR="00C01314">
        <w:t xml:space="preserve"> </w:t>
      </w:r>
      <w:r w:rsidRPr="0082676B">
        <w:t>gada 1.</w:t>
      </w:r>
      <w:r w:rsidR="00C01314">
        <w:t xml:space="preserve"> </w:t>
      </w:r>
      <w:r w:rsidRPr="0082676B">
        <w:t>jūlijā, salīdzinot ar 2019.</w:t>
      </w:r>
      <w:r w:rsidR="00C01314">
        <w:t xml:space="preserve"> </w:t>
      </w:r>
      <w:r w:rsidRPr="0082676B">
        <w:t>gada 1.</w:t>
      </w:r>
      <w:r w:rsidR="00C01314">
        <w:t xml:space="preserve"> </w:t>
      </w:r>
      <w:r w:rsidRPr="0082676B">
        <w:t xml:space="preserve">jūliju, kopējais reģistrēto transportlīdzekļu skaits palielinājies par 0,5%, </w:t>
      </w:r>
      <w:r w:rsidRPr="0082676B">
        <w:rPr>
          <w:szCs w:val="24"/>
        </w:rPr>
        <w:t>t</w:t>
      </w:r>
      <w:r w:rsidR="00C01314">
        <w:rPr>
          <w:szCs w:val="24"/>
        </w:rPr>
        <w:t xml:space="preserve">ai </w:t>
      </w:r>
      <w:r w:rsidRPr="0082676B">
        <w:rPr>
          <w:szCs w:val="24"/>
        </w:rPr>
        <w:t>sk</w:t>
      </w:r>
      <w:r w:rsidR="00C01314">
        <w:rPr>
          <w:szCs w:val="24"/>
        </w:rPr>
        <w:t>aitā</w:t>
      </w:r>
      <w:r w:rsidRPr="0082676B">
        <w:rPr>
          <w:szCs w:val="24"/>
        </w:rPr>
        <w:t xml:space="preserve"> transportlīdzekļu, kas patērē dīzeļdegvielu, īpatsvars </w:t>
      </w:r>
      <w:r w:rsidRPr="00F92BF9">
        <w:rPr>
          <w:szCs w:val="24"/>
        </w:rPr>
        <w:t xml:space="preserve">kopējā transportlīdzekļu skaitā ir pieaudzis </w:t>
      </w:r>
      <w:r w:rsidR="00C01314">
        <w:rPr>
          <w:szCs w:val="24"/>
        </w:rPr>
        <w:t xml:space="preserve">no </w:t>
      </w:r>
      <w:r w:rsidRPr="00F92BF9">
        <w:rPr>
          <w:szCs w:val="24"/>
        </w:rPr>
        <w:t xml:space="preserve">64,3% līdz 66,2% un to skaits </w:t>
      </w:r>
      <w:r w:rsidR="00C01314">
        <w:rPr>
          <w:szCs w:val="24"/>
        </w:rPr>
        <w:t>ir</w:t>
      </w:r>
      <w:r w:rsidRPr="00F92BF9">
        <w:rPr>
          <w:szCs w:val="24"/>
        </w:rPr>
        <w:t xml:space="preserve"> 549 277, benzīnu patērējošo transportlīdzekļu īpatsvars ir samazinājies no 29,3% līdz 27,8% un to skaits ir 231 102. Sašķidrinātās naftas gāzes patērējošo transportlīdzekļu īpatsvars samazinājies par 0</w:t>
      </w:r>
      <w:r w:rsidRPr="00477D51">
        <w:rPr>
          <w:szCs w:val="24"/>
        </w:rPr>
        <w:t xml:space="preserve">,4 procentpunktiem. </w:t>
      </w:r>
    </w:p>
    <w:p w:rsidR="00FD36B6" w:rsidRPr="00792761" w:rsidRDefault="00FD36B6" w:rsidP="00C01314">
      <w:pPr>
        <w:rPr>
          <w:highlight w:val="yellow"/>
        </w:rPr>
      </w:pPr>
      <w:r w:rsidRPr="00477D51">
        <w:rPr>
          <w:szCs w:val="26"/>
        </w:rPr>
        <w:lastRenderedPageBreak/>
        <w:t>Akcīzes nodokļa likmju paaugstināšana degvielai un minimālā biodegvielas piejaukuma daudzuma noteikšana 2020.</w:t>
      </w:r>
      <w:r w:rsidR="004F4C22">
        <w:rPr>
          <w:szCs w:val="26"/>
        </w:rPr>
        <w:t xml:space="preserve"> </w:t>
      </w:r>
      <w:r w:rsidRPr="00477D51">
        <w:rPr>
          <w:szCs w:val="26"/>
        </w:rPr>
        <w:t xml:space="preserve">gadā nebija vienīgās normatīvo aktu izmaiņas, kas attiecināmās naftas produktiem. </w:t>
      </w:r>
      <w:r w:rsidRPr="00477D51">
        <w:t>Saskaņā ar 2020.</w:t>
      </w:r>
      <w:r w:rsidR="004F4C22">
        <w:t xml:space="preserve"> </w:t>
      </w:r>
      <w:r w:rsidRPr="00477D51">
        <w:t>gada 6.</w:t>
      </w:r>
      <w:r w:rsidR="004F4C22">
        <w:t xml:space="preserve"> </w:t>
      </w:r>
      <w:r w:rsidRPr="00477D51">
        <w:t>februār</w:t>
      </w:r>
      <w:r w:rsidR="004F4C22">
        <w:t>ī</w:t>
      </w:r>
      <w:r w:rsidRPr="00477D51">
        <w:t xml:space="preserve"> pieņemtajiem</w:t>
      </w:r>
      <w:r w:rsidRPr="00635EC0">
        <w:t xml:space="preserve"> grozījumiem likumā “Par akcīzes nodokli”</w:t>
      </w:r>
      <w:r>
        <w:t xml:space="preserve"> </w:t>
      </w:r>
      <w:r w:rsidRPr="00B24543">
        <w:t>ar 2020.</w:t>
      </w:r>
      <w:r w:rsidR="004F4C22">
        <w:t xml:space="preserve"> </w:t>
      </w:r>
      <w:r w:rsidRPr="00B24543">
        <w:t>gada 1.</w:t>
      </w:r>
      <w:r w:rsidR="004F4C22">
        <w:t xml:space="preserve"> </w:t>
      </w:r>
      <w:r w:rsidRPr="00B24543">
        <w:t xml:space="preserve">maiju nodrošināta vienota pieeja dīzeļdegvielas iegādē </w:t>
      </w:r>
      <w:r w:rsidRPr="00792761">
        <w:t>attiecībā uz zvejniekiem. Piekrastes zvejniekiem saglabāta iepriekš normatīvajos aktos noteiktā kārtība – iespēja ostu teritorijās iegādāties no akcīzes nodokļa atbrīvotu dīzeļdegvielu izmantošanai zvejas kuģos piekrastes ūdeņos. Savukārt tiem piekrastes un iekšējo ūdeņu zvejniekiem, kuri nevar rast iespēju ostu teritorijās iegādāties no akcīzes nodokļa atbrīvotu dīzeļdegvielu izmantošanai zvejas kuģos, paredzēta samazinātas akcīzes nodokļa likmes piemērošana marķētai dīzeļdegvielai izmantošanai zvejas kuģos piekrastes un iekšējos ūdeņos, vienlaikus ieviešot akcīzes nodokļa atmaksu piekrastes ūdeņu zvejniekiem par to zvejas kuģos izmantoto marķēto dīzeļdegvielu ar s</w:t>
      </w:r>
      <w:r>
        <w:t>amazinātu akcīzes nodokļa likmi.</w:t>
      </w:r>
    </w:p>
    <w:p w:rsidR="00FD36B6" w:rsidRPr="007C3A62" w:rsidRDefault="00FD36B6" w:rsidP="00FD36B6">
      <w:pPr>
        <w:spacing w:before="120"/>
      </w:pPr>
      <w:r w:rsidRPr="00F508A8">
        <w:t xml:space="preserve">Nodokļu ieņēmumus ietekmēja arī piešķirtie nodokļu samaksas termiņa pagarinājumi līdz trim gadiem saskaņā ar likumā “Par valsts apdraudējuma un tā seku novēršanas un pārvarēšanas pasākumiem sakarā ar Covid-19 izplatību”, ja termiņa kavējums radies Covid-19 izplatības dēļ. </w:t>
      </w:r>
      <w:r>
        <w:t xml:space="preserve">Saskaņā ar </w:t>
      </w:r>
      <w:r w:rsidR="004F4C22">
        <w:t>VID</w:t>
      </w:r>
      <w:r>
        <w:t xml:space="preserve"> sniegto informāciju 10.</w:t>
      </w:r>
      <w:r w:rsidR="004F4C22">
        <w:t xml:space="preserve"> </w:t>
      </w:r>
      <w:r>
        <w:t xml:space="preserve">jūnijā naftas produktiem Covid-19 sakarā piešķirto termiņu pagarinājumu summa bija 1,9 milj. </w:t>
      </w:r>
      <w:proofErr w:type="spellStart"/>
      <w:r w:rsidRPr="00F92BF9">
        <w:rPr>
          <w:bCs/>
          <w:i/>
          <w:szCs w:val="24"/>
        </w:rPr>
        <w:t>euro</w:t>
      </w:r>
      <w:proofErr w:type="spellEnd"/>
      <w:r>
        <w:t xml:space="preserve">, bet vēl nesamaksātā summa veidoja 1,6 milj. </w:t>
      </w:r>
      <w:proofErr w:type="spellStart"/>
      <w:r w:rsidRPr="00F92BF9">
        <w:rPr>
          <w:bCs/>
          <w:i/>
          <w:szCs w:val="24"/>
        </w:rPr>
        <w:t>euro</w:t>
      </w:r>
      <w:proofErr w:type="spellEnd"/>
      <w:r>
        <w:t>.</w:t>
      </w:r>
    </w:p>
    <w:p w:rsidR="00FD36B6" w:rsidRPr="00E27CFD" w:rsidRDefault="00FD36B6" w:rsidP="00FD36B6">
      <w:pPr>
        <w:spacing w:before="120"/>
      </w:pPr>
      <w:r w:rsidRPr="00A11887">
        <w:t>Ņemot vērā iepriekš uzskaitītos faktorus, akcīzes nodokļa no naftas produktiem ieņēmumi 2020.</w:t>
      </w:r>
      <w:r w:rsidR="004F4C22">
        <w:t xml:space="preserve"> </w:t>
      </w:r>
      <w:r w:rsidRPr="00A11887">
        <w:t xml:space="preserve">gadam prognozēti </w:t>
      </w:r>
      <w:r>
        <w:t>544,1</w:t>
      </w:r>
      <w:r w:rsidRPr="00A11887">
        <w:t xml:space="preserve"> milj. </w:t>
      </w:r>
      <w:proofErr w:type="spellStart"/>
      <w:r w:rsidRPr="00F92BF9">
        <w:rPr>
          <w:bCs/>
          <w:i/>
          <w:szCs w:val="24"/>
        </w:rPr>
        <w:t>euro</w:t>
      </w:r>
      <w:proofErr w:type="spellEnd"/>
      <w:r w:rsidRPr="00A11887">
        <w:t xml:space="preserve"> apmērā, kas ir par 88,5 milj. </w:t>
      </w:r>
      <w:proofErr w:type="spellStart"/>
      <w:r w:rsidRPr="00F92BF9">
        <w:rPr>
          <w:bCs/>
          <w:i/>
          <w:szCs w:val="24"/>
        </w:rPr>
        <w:t>euro</w:t>
      </w:r>
      <w:proofErr w:type="spellEnd"/>
      <w:r w:rsidRPr="00A11887">
        <w:t xml:space="preserve"> jeb par 14,0% mazāk nekā plānots. </w:t>
      </w:r>
    </w:p>
    <w:p w:rsidR="00FD36B6" w:rsidRPr="00E27CFD" w:rsidRDefault="00FD36B6" w:rsidP="00FD36B6">
      <w:r w:rsidRPr="00E27CFD">
        <w:t>Sagatavojot 2021.</w:t>
      </w:r>
      <w:r w:rsidR="004F4C22">
        <w:t xml:space="preserve"> </w:t>
      </w:r>
      <w:r w:rsidRPr="00E27CFD">
        <w:t>gada akcīzes nodokļa naftas produktiem ieņēmumu plānu, tika ņemtas vērā prognozētās iepriekš minēto makroekonomisko rādītāju izmaiņas, jaunā 2020.</w:t>
      </w:r>
      <w:r w:rsidR="004F4C22">
        <w:t> </w:t>
      </w:r>
      <w:r w:rsidRPr="00E27CFD">
        <w:t>gada prognozētā bāze, prognozētā apliekamo objektu patēriņa dinamika</w:t>
      </w:r>
      <w:r>
        <w:t>, piešķirtie termiņu pagarinājumi</w:t>
      </w:r>
      <w:r w:rsidRPr="00E27CFD">
        <w:t xml:space="preserve"> un akcīzes nodokļa politika Baltijas valstīs. </w:t>
      </w:r>
    </w:p>
    <w:p w:rsidR="00FD36B6" w:rsidRPr="00E27CFD" w:rsidRDefault="00FD36B6" w:rsidP="00FD36B6">
      <w:r>
        <w:t>Tā kā Igaunijā akcīzes nodokļa dīzeļdegvielai likmes samazinājums ir noteikts līdz 2022.</w:t>
      </w:r>
      <w:r w:rsidR="004F4C22">
        <w:t xml:space="preserve"> </w:t>
      </w:r>
      <w:r>
        <w:t>gada 30.</w:t>
      </w:r>
      <w:r w:rsidR="004F4C22">
        <w:t xml:space="preserve"> </w:t>
      </w:r>
      <w:r>
        <w:t>aprīlim, prognozēts, ka 2022.</w:t>
      </w:r>
      <w:r w:rsidR="004F4C22">
        <w:t xml:space="preserve"> </w:t>
      </w:r>
      <w:r>
        <w:t>gada otrajā pusē pakāpeniski atjaunosies dīzeļdegvielas tirdzniecība Igaunijas-Latvijas pierobežā, jo nodokļu daļa dīzeļdegvielas cenā Latvijā būs par 0,</w:t>
      </w:r>
      <w:r w:rsidRPr="00E27CFD">
        <w:t>09 </w:t>
      </w:r>
      <w:proofErr w:type="spellStart"/>
      <w:r w:rsidRPr="00F92BF9">
        <w:rPr>
          <w:bCs/>
          <w:i/>
          <w:szCs w:val="24"/>
        </w:rPr>
        <w:t>euro</w:t>
      </w:r>
      <w:proofErr w:type="spellEnd"/>
      <w:r w:rsidRPr="00E27CFD">
        <w:t xml:space="preserve"> zemāka nekā Igaunijā.</w:t>
      </w:r>
    </w:p>
    <w:p w:rsidR="00FD36B6" w:rsidRPr="00E27CFD" w:rsidRDefault="00FD36B6" w:rsidP="00FD36B6">
      <w:r w:rsidRPr="00E27CFD">
        <w:t>Tāpat prognozēs ņemts vērā, ka 2021.</w:t>
      </w:r>
      <w:r w:rsidR="004F4C22">
        <w:t xml:space="preserve"> </w:t>
      </w:r>
      <w:r w:rsidRPr="00E27CFD">
        <w:t>gadā tiks atmaksāta daļa no 2020.</w:t>
      </w:r>
      <w:r w:rsidR="004F4C22">
        <w:t xml:space="preserve"> </w:t>
      </w:r>
      <w:r w:rsidRPr="00E27CFD">
        <w:t>gadā Covid-19 sakarā piešķirtajiem termiņu pagarin</w:t>
      </w:r>
      <w:r>
        <w:t xml:space="preserve">ājumiem – aptuveni 0,4 milj. </w:t>
      </w:r>
      <w:proofErr w:type="spellStart"/>
      <w:r w:rsidRPr="00F92BF9">
        <w:rPr>
          <w:bCs/>
          <w:i/>
          <w:szCs w:val="24"/>
        </w:rPr>
        <w:t>euro</w:t>
      </w:r>
      <w:proofErr w:type="spellEnd"/>
      <w:r>
        <w:rPr>
          <w:bCs/>
          <w:i/>
          <w:szCs w:val="24"/>
        </w:rPr>
        <w:t xml:space="preserve"> </w:t>
      </w:r>
      <w:r w:rsidRPr="002D1449">
        <w:rPr>
          <w:bCs/>
          <w:szCs w:val="24"/>
        </w:rPr>
        <w:t>apmērā</w:t>
      </w:r>
      <w:r>
        <w:t xml:space="preserve">. </w:t>
      </w:r>
    </w:p>
    <w:p w:rsidR="00FD36B6" w:rsidRPr="004F4C22" w:rsidRDefault="00FD36B6" w:rsidP="004F4C22">
      <w:pPr>
        <w:rPr>
          <w:szCs w:val="24"/>
        </w:rPr>
      </w:pPr>
      <w:r w:rsidRPr="00E27CFD">
        <w:t xml:space="preserve">Ņemot vērā iepriekš minētos faktorus, likumprojektā </w:t>
      </w:r>
      <w:r w:rsidR="004F4C22">
        <w:t>“</w:t>
      </w:r>
      <w:r w:rsidRPr="00192D81">
        <w:t>Par valsts budžetu 2021.</w:t>
      </w:r>
      <w:r w:rsidR="004F4C22">
        <w:t xml:space="preserve"> </w:t>
      </w:r>
      <w:r w:rsidRPr="00192D81">
        <w:t>gadam” akcīzes nodokļa naftas produktiem ieņēmumi tiek plānoti 567,9 milj. </w:t>
      </w:r>
      <w:proofErr w:type="spellStart"/>
      <w:r w:rsidRPr="00F92BF9">
        <w:rPr>
          <w:i/>
        </w:rPr>
        <w:t>euro</w:t>
      </w:r>
      <w:proofErr w:type="spellEnd"/>
      <w:r w:rsidRPr="00192D81">
        <w:t xml:space="preserve"> apmērā, kas ir par 23,8 </w:t>
      </w:r>
      <w:r w:rsidRPr="00192D81">
        <w:rPr>
          <w:szCs w:val="24"/>
        </w:rPr>
        <w:t>milj. </w:t>
      </w:r>
      <w:proofErr w:type="spellStart"/>
      <w:r w:rsidRPr="00F92BF9">
        <w:rPr>
          <w:i/>
          <w:szCs w:val="24"/>
        </w:rPr>
        <w:t>euro</w:t>
      </w:r>
      <w:proofErr w:type="spellEnd"/>
      <w:r w:rsidRPr="00192D81">
        <w:rPr>
          <w:szCs w:val="24"/>
        </w:rPr>
        <w:t xml:space="preserve"> jeb 4,4% vairāk nekā prognozēts 2020.</w:t>
      </w:r>
      <w:r w:rsidR="004F4C22">
        <w:rPr>
          <w:szCs w:val="24"/>
        </w:rPr>
        <w:t xml:space="preserve"> </w:t>
      </w:r>
      <w:r w:rsidRPr="00192D81">
        <w:rPr>
          <w:szCs w:val="24"/>
        </w:rPr>
        <w:t xml:space="preserve">gadam. </w:t>
      </w:r>
    </w:p>
    <w:p w:rsidR="00FD36B6" w:rsidRPr="006C2397" w:rsidRDefault="00FD36B6" w:rsidP="004F4C22">
      <w:pPr>
        <w:spacing w:after="240"/>
        <w:ind w:firstLine="0"/>
        <w:rPr>
          <w:u w:val="single"/>
        </w:rPr>
      </w:pPr>
      <w:r w:rsidRPr="006C2397">
        <w:rPr>
          <w:u w:val="single"/>
        </w:rPr>
        <w:t>Akcīzes nodoklis alkoholiskajiem dzērieniem un alum</w:t>
      </w:r>
    </w:p>
    <w:p w:rsidR="00FD36B6" w:rsidRPr="00FD03F7" w:rsidRDefault="00FD36B6" w:rsidP="00FD36B6">
      <w:r w:rsidRPr="006C2397">
        <w:t>2020.</w:t>
      </w:r>
      <w:r w:rsidR="004F4C22">
        <w:t xml:space="preserve"> </w:t>
      </w:r>
      <w:r w:rsidRPr="006C2397">
        <w:t>gada sešos mēnešos akcīzes nodokļa alkoholiskajiem dzērieniem (neskaitot alu) ieņēmumi bija 88,0 milj. </w:t>
      </w:r>
      <w:proofErr w:type="spellStart"/>
      <w:r w:rsidRPr="00F92BF9">
        <w:rPr>
          <w:bCs/>
          <w:i/>
          <w:szCs w:val="24"/>
        </w:rPr>
        <w:t>euro</w:t>
      </w:r>
      <w:proofErr w:type="spellEnd"/>
      <w:r w:rsidRPr="006C2397">
        <w:rPr>
          <w:i/>
        </w:rPr>
        <w:t xml:space="preserve">. </w:t>
      </w:r>
      <w:r w:rsidRPr="006C2397">
        <w:t>Salīdzinot ar 2019.</w:t>
      </w:r>
      <w:r w:rsidR="004F4C22">
        <w:t xml:space="preserve"> </w:t>
      </w:r>
      <w:r w:rsidRPr="006C2397">
        <w:t>gada sešiem mēnešiem, akcīzes nodokļa ieņēmumi no alkoholiskajiem dzērieniem samazinājušies par 15,0 milj. </w:t>
      </w:r>
      <w:proofErr w:type="spellStart"/>
      <w:r w:rsidRPr="00F92BF9">
        <w:rPr>
          <w:i/>
        </w:rPr>
        <w:t>euro</w:t>
      </w:r>
      <w:proofErr w:type="spellEnd"/>
      <w:r w:rsidRPr="006C2397">
        <w:t xml:space="preserve"> jeb par 14,6 procentiem. Savukārt salīdzinājumā ar plānoto iekasēts par 21,8 milj. </w:t>
      </w:r>
      <w:proofErr w:type="spellStart"/>
      <w:r w:rsidRPr="00F92BF9">
        <w:rPr>
          <w:bCs/>
          <w:i/>
          <w:szCs w:val="24"/>
        </w:rPr>
        <w:t>euro</w:t>
      </w:r>
      <w:proofErr w:type="spellEnd"/>
      <w:r w:rsidRPr="006C2397">
        <w:t xml:space="preserve"> jeb 19,9% mazāk</w:t>
      </w:r>
      <w:r w:rsidRPr="00FD03F7">
        <w:t>.</w:t>
      </w:r>
    </w:p>
    <w:p w:rsidR="00FD36B6" w:rsidRDefault="00FD36B6" w:rsidP="00FD36B6">
      <w:r w:rsidRPr="00FD03F7">
        <w:t xml:space="preserve">Saskaņā ar </w:t>
      </w:r>
      <w:r w:rsidR="004F4C22" w:rsidRPr="00FD03F7">
        <w:t>VID</w:t>
      </w:r>
      <w:r w:rsidRPr="00FD03F7">
        <w:t xml:space="preserve"> informāciju 2020.</w:t>
      </w:r>
      <w:r w:rsidR="004F4C22" w:rsidRPr="00FD03F7">
        <w:t xml:space="preserve"> </w:t>
      </w:r>
      <w:r w:rsidRPr="00FD03F7">
        <w:t xml:space="preserve">gada </w:t>
      </w:r>
      <w:r w:rsidR="00FD03F7">
        <w:t>piecos</w:t>
      </w:r>
      <w:r w:rsidRPr="00FD03F7">
        <w:t xml:space="preserve"> mēnešos un 2019.</w:t>
      </w:r>
      <w:r w:rsidR="004F4C22" w:rsidRPr="00FD03F7">
        <w:t xml:space="preserve"> </w:t>
      </w:r>
      <w:r w:rsidRPr="00FD03F7">
        <w:t>gada decembrī, salīdzinot ar 2019. un 2018.</w:t>
      </w:r>
      <w:r w:rsidR="004F4C22" w:rsidRPr="00FD03F7">
        <w:t xml:space="preserve"> </w:t>
      </w:r>
      <w:r w:rsidRPr="00FD03F7">
        <w:t xml:space="preserve">gada attiecīgo periodu, patēriņam nodots par 8,8% mazāk alkoholisko dzērienu </w:t>
      </w:r>
      <w:r w:rsidRPr="00FD03F7">
        <w:rPr>
          <w:szCs w:val="24"/>
          <w:lang w:eastAsia="lv-LV"/>
        </w:rPr>
        <w:t>(neskaitot alu)</w:t>
      </w:r>
      <w:r w:rsidRPr="00FD03F7">
        <w:t>. Pārējo alkoholisko dzērienu patēriņš samazinājies par 2,9%, vīna un raudzēto dzērienu patēriņš samazinājies par 10,6% un starpproduktu patēriņš samazinājies par 20,8 procentiem (skat. 3.</w:t>
      </w:r>
      <w:r w:rsidR="00FD03F7">
        <w:t>2</w:t>
      </w:r>
      <w:r w:rsidRPr="00FD03F7">
        <w:t>. attēlu).</w:t>
      </w:r>
      <w:r w:rsidRPr="006C2397">
        <w:t xml:space="preserve"> </w:t>
      </w:r>
    </w:p>
    <w:p w:rsidR="00B45267" w:rsidRDefault="00B45267" w:rsidP="00FD36B6"/>
    <w:p w:rsidR="00B45267" w:rsidRDefault="00B45267" w:rsidP="00B45267">
      <w:pPr>
        <w:spacing w:after="240"/>
        <w:ind w:firstLine="0"/>
        <w:jc w:val="center"/>
        <w:rPr>
          <w:b/>
        </w:rPr>
      </w:pPr>
      <w:r w:rsidRPr="00B45267">
        <w:rPr>
          <w:b/>
          <w:i/>
        </w:rPr>
        <w:lastRenderedPageBreak/>
        <w:t>3.2.</w:t>
      </w:r>
      <w:r w:rsidR="004D65F6">
        <w:rPr>
          <w:b/>
          <w:i/>
        </w:rPr>
        <w:t xml:space="preserve"> </w:t>
      </w:r>
      <w:r w:rsidRPr="00B45267">
        <w:rPr>
          <w:b/>
          <w:i/>
        </w:rPr>
        <w:t>attēls</w:t>
      </w:r>
      <w:r w:rsidRPr="00B45267">
        <w:rPr>
          <w:b/>
        </w:rPr>
        <w:t xml:space="preserve"> Alkoholisko dzērienu patēriņš attiecīgā gada piecos mēnešos un iepriekšējā gada decembrī, dekalitri</w:t>
      </w:r>
      <w:r>
        <w:rPr>
          <w:rStyle w:val="FootnoteReference"/>
          <w:b/>
        </w:rPr>
        <w:footnoteReference w:id="4"/>
      </w:r>
    </w:p>
    <w:p w:rsidR="00FD36B6" w:rsidRPr="00A06FC6" w:rsidRDefault="00FD36B6" w:rsidP="00B45267">
      <w:pPr>
        <w:spacing w:after="240"/>
        <w:ind w:firstLine="0"/>
        <w:jc w:val="center"/>
        <w:rPr>
          <w:color w:val="FF0000"/>
          <w:szCs w:val="24"/>
        </w:rPr>
      </w:pPr>
      <w:r>
        <w:rPr>
          <w:noProof/>
          <w:lang w:eastAsia="lv-LV"/>
        </w:rPr>
        <w:drawing>
          <wp:inline distT="0" distB="0" distL="0" distR="0" wp14:anchorId="66CC876D" wp14:editId="4F744407">
            <wp:extent cx="5760085" cy="2759075"/>
            <wp:effectExtent l="0" t="0" r="12065"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36B6" w:rsidRPr="00471580" w:rsidRDefault="00FD36B6" w:rsidP="00FD36B6">
      <w:pPr>
        <w:rPr>
          <w:b/>
          <w:i/>
        </w:rPr>
      </w:pPr>
      <w:r w:rsidRPr="006C2397">
        <w:t>Sešu mēnešu ieņēmumus ietekmēja arī iepriekšējos gados pieņemtās likumdošanas izmaiņas</w:t>
      </w:r>
      <w:r w:rsidRPr="00471580">
        <w:t>. Saskaņā ar 2017.</w:t>
      </w:r>
      <w:r w:rsidR="00D027BD">
        <w:t xml:space="preserve"> </w:t>
      </w:r>
      <w:r w:rsidRPr="00471580">
        <w:t>gada 27.</w:t>
      </w:r>
      <w:r w:rsidR="00D027BD">
        <w:t xml:space="preserve"> </w:t>
      </w:r>
      <w:r w:rsidRPr="00471580">
        <w:t>jūlijā Saeimā p</w:t>
      </w:r>
      <w:r w:rsidR="00D027BD">
        <w:t>ieņemtajiem grozījumiem likumā “</w:t>
      </w:r>
      <w:r w:rsidRPr="00471580">
        <w:t>Par akcīzes nodokli”</w:t>
      </w:r>
      <w:r w:rsidRPr="00471580">
        <w:rPr>
          <w:szCs w:val="24"/>
        </w:rPr>
        <w:t xml:space="preserve"> ar 2019.</w:t>
      </w:r>
      <w:r w:rsidR="00D027BD">
        <w:rPr>
          <w:szCs w:val="24"/>
        </w:rPr>
        <w:t xml:space="preserve"> </w:t>
      </w:r>
      <w:r w:rsidRPr="00471580">
        <w:rPr>
          <w:szCs w:val="24"/>
        </w:rPr>
        <w:t>gada 1.</w:t>
      </w:r>
      <w:r w:rsidR="00D027BD">
        <w:rPr>
          <w:szCs w:val="24"/>
        </w:rPr>
        <w:t xml:space="preserve"> </w:t>
      </w:r>
      <w:r w:rsidRPr="00471580">
        <w:rPr>
          <w:szCs w:val="24"/>
        </w:rPr>
        <w:t>martu</w:t>
      </w:r>
      <w:r w:rsidRPr="00471580">
        <w:t xml:space="preserve"> </w:t>
      </w:r>
      <w:r w:rsidRPr="00471580">
        <w:rPr>
          <w:szCs w:val="24"/>
        </w:rPr>
        <w:t xml:space="preserve">tika paaugstinātas akcīzes nodokļa likmes visiem alkoholisko dzērienu veidiem, izņemot raudzētos dzērienus ar absolūtā spirta saturu zem 6 tilpumprocentiem. </w:t>
      </w:r>
    </w:p>
    <w:p w:rsidR="00FD36B6" w:rsidRPr="00471580" w:rsidRDefault="00FD36B6" w:rsidP="00FD36B6">
      <w:r w:rsidRPr="00471580">
        <w:t xml:space="preserve">Alkoholisko dzērienu patēriņu ietekmēja ne vien </w:t>
      </w:r>
      <w:r>
        <w:t xml:space="preserve">likmju izmaiņas Latvijā, </w:t>
      </w:r>
      <w:r w:rsidRPr="00471580">
        <w:t>bet arī akcīzes nodokļa alkoholiskajiem dzērieniem politika Igaunijā. Būtisko akcīzes nodokļa likmju atšķirību dēļ 2017. un 2018.</w:t>
      </w:r>
      <w:r w:rsidR="00FD03F7">
        <w:t xml:space="preserve"> </w:t>
      </w:r>
      <w:r w:rsidRPr="00471580">
        <w:t>gadā attīstījās alkoholisko dzērienu un alus tirdzniecība Latvijas – Igaunijas pierobežā. Savukārt 2019.</w:t>
      </w:r>
      <w:r w:rsidR="00FD03F7">
        <w:t xml:space="preserve"> </w:t>
      </w:r>
      <w:r w:rsidRPr="00471580">
        <w:t>gada 13.</w:t>
      </w:r>
      <w:r w:rsidR="00FD03F7">
        <w:t xml:space="preserve"> </w:t>
      </w:r>
      <w:r w:rsidRPr="00471580">
        <w:t xml:space="preserve">jūnijā Igaunijas valdība nolēma par 25% samazināt akcīzes nodokļa likmes pārējiem alkoholiskajiem dzērieniem, </w:t>
      </w:r>
      <w:r w:rsidRPr="00471580">
        <w:rPr>
          <w:szCs w:val="24"/>
        </w:rPr>
        <w:t>raudzētajiem dzērieniem ar absolūtā spirta saturu zem 6 tilpumprocentiem un alum.</w:t>
      </w:r>
    </w:p>
    <w:p w:rsidR="00FD36B6" w:rsidRPr="00FD03F7" w:rsidRDefault="00FD36B6" w:rsidP="00FD36B6">
      <w:pPr>
        <w:rPr>
          <w:szCs w:val="24"/>
        </w:rPr>
      </w:pPr>
      <w:r w:rsidRPr="00471580">
        <w:t>Ņemot vērā to, ka Igaunijas parlamenta lēmums par 25% samazināt akcīzes nodokļa likmes atsevišķiem alkoholisko dzērienu veidiem pasliktinātu Latvijas konkurētspēju ar kaimiņvalstīm un negatīvi ietekmētu alkoholisko dzērienu apriti Latvijā, it īpaši Latvijas – Igaunijas pierobežā, Latvijai saglabājot iepriekš plānotās akcīzes nodokļa likmes, 2019.</w:t>
      </w:r>
      <w:r w:rsidR="00FD03F7">
        <w:t xml:space="preserve"> </w:t>
      </w:r>
      <w:r w:rsidRPr="00471580">
        <w:t>gada 8.</w:t>
      </w:r>
      <w:r w:rsidR="00FD03F7">
        <w:t xml:space="preserve"> </w:t>
      </w:r>
      <w:r w:rsidRPr="00471580">
        <w:t>jūlijā Saeima pieņēma grozījumus likumā “Par akcīzes nodokli”, akcīzes nodokļa likmi pārējiem alkoholiskajiem dzērieniem laika periodā no 2019.</w:t>
      </w:r>
      <w:r w:rsidR="00FD03F7">
        <w:t xml:space="preserve"> </w:t>
      </w:r>
      <w:r w:rsidRPr="00471580">
        <w:t>gada 1.</w:t>
      </w:r>
      <w:r w:rsidR="00FD03F7">
        <w:t xml:space="preserve"> </w:t>
      </w:r>
      <w:r w:rsidRPr="00471580">
        <w:t>augusta līdz 2020.</w:t>
      </w:r>
      <w:r w:rsidR="00FD03F7">
        <w:t xml:space="preserve"> </w:t>
      </w:r>
      <w:r w:rsidRPr="00471580">
        <w:t>gada 29.</w:t>
      </w:r>
      <w:r w:rsidR="00FD03F7">
        <w:t> </w:t>
      </w:r>
      <w:r w:rsidRPr="00471580">
        <w:t>februārim samazinot līdz 1</w:t>
      </w:r>
      <w:r w:rsidR="00FD03F7">
        <w:t xml:space="preserve"> </w:t>
      </w:r>
      <w:r w:rsidRPr="00471580">
        <w:t xml:space="preserve">564 </w:t>
      </w:r>
      <w:proofErr w:type="spellStart"/>
      <w:r w:rsidRPr="00F92BF9">
        <w:rPr>
          <w:i/>
        </w:rPr>
        <w:t>euro</w:t>
      </w:r>
      <w:proofErr w:type="spellEnd"/>
      <w:r w:rsidRPr="00471580">
        <w:t xml:space="preserve"> par 100 litriem absolūtā spirta </w:t>
      </w:r>
      <w:r w:rsidRPr="002D1449">
        <w:rPr>
          <w:szCs w:val="24"/>
        </w:rPr>
        <w:t xml:space="preserve">(skat. </w:t>
      </w:r>
      <w:r w:rsidRPr="00FD03F7">
        <w:rPr>
          <w:szCs w:val="24"/>
        </w:rPr>
        <w:t>3.9.tabulu).</w:t>
      </w:r>
    </w:p>
    <w:p w:rsidR="00FD36B6" w:rsidRPr="00FD03F7" w:rsidRDefault="00FD36B6" w:rsidP="002B5338">
      <w:pPr>
        <w:spacing w:before="240" w:after="0"/>
        <w:ind w:firstLine="0"/>
        <w:jc w:val="center"/>
        <w:rPr>
          <w:b/>
        </w:rPr>
      </w:pPr>
      <w:r w:rsidRPr="00FD03F7">
        <w:rPr>
          <w:b/>
          <w:i/>
        </w:rPr>
        <w:t>3.9.</w:t>
      </w:r>
      <w:r w:rsidR="004D65F6">
        <w:rPr>
          <w:b/>
          <w:i/>
        </w:rPr>
        <w:t xml:space="preserve"> </w:t>
      </w:r>
      <w:r w:rsidRPr="00FD03F7">
        <w:rPr>
          <w:b/>
          <w:i/>
        </w:rPr>
        <w:t>tabula</w:t>
      </w:r>
      <w:r w:rsidRPr="00471580">
        <w:t xml:space="preserve"> </w:t>
      </w:r>
      <w:r w:rsidRPr="00FD03F7">
        <w:rPr>
          <w:b/>
        </w:rPr>
        <w:t xml:space="preserve">Akcīzes nodokļa likmes alkoholiskajiem dzērieniem </w:t>
      </w:r>
    </w:p>
    <w:p w:rsidR="00FD36B6" w:rsidRPr="00FD03F7" w:rsidRDefault="00D54AB0" w:rsidP="002B5338">
      <w:pPr>
        <w:jc w:val="center"/>
        <w:rPr>
          <w:b/>
        </w:rPr>
      </w:pPr>
      <w:r>
        <w:rPr>
          <w:b/>
        </w:rPr>
        <w:t>Baltijas valstīs 2018.-</w:t>
      </w:r>
      <w:r w:rsidR="00FD36B6" w:rsidRPr="00FD03F7">
        <w:rPr>
          <w:b/>
        </w:rPr>
        <w:t>2021.gadā</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1589"/>
        <w:gridCol w:w="1591"/>
        <w:gridCol w:w="1589"/>
        <w:gridCol w:w="1589"/>
      </w:tblGrid>
      <w:tr w:rsidR="00FD36B6" w:rsidRPr="002B5338" w:rsidTr="002B5338">
        <w:trPr>
          <w:trHeight w:val="232"/>
          <w:tblHeader/>
          <w:jc w:val="center"/>
        </w:trPr>
        <w:tc>
          <w:tcPr>
            <w:tcW w:w="2774" w:type="dxa"/>
            <w:shd w:val="clear" w:color="auto" w:fill="D9D9D9" w:themeFill="background1" w:themeFillShade="D9"/>
            <w:noWrap/>
            <w:hideMark/>
          </w:tcPr>
          <w:p w:rsidR="00FD36B6" w:rsidRPr="002B5338" w:rsidRDefault="00FD36B6" w:rsidP="00FD36B6">
            <w:pPr>
              <w:spacing w:after="0"/>
              <w:ind w:firstLine="0"/>
              <w:jc w:val="center"/>
              <w:rPr>
                <w:b/>
                <w:color w:val="000000"/>
                <w:sz w:val="18"/>
                <w:szCs w:val="18"/>
                <w:lang w:eastAsia="lv-LV"/>
              </w:rPr>
            </w:pPr>
            <w:r w:rsidRPr="002B5338">
              <w:rPr>
                <w:b/>
                <w:color w:val="000000"/>
                <w:sz w:val="18"/>
                <w:szCs w:val="18"/>
                <w:lang w:eastAsia="lv-LV"/>
              </w:rPr>
              <w:t>Alkoholiskā dzēriena veids</w:t>
            </w:r>
          </w:p>
        </w:tc>
        <w:tc>
          <w:tcPr>
            <w:tcW w:w="1589" w:type="dxa"/>
            <w:shd w:val="clear" w:color="auto" w:fill="D9D9D9" w:themeFill="background1" w:themeFillShade="D9"/>
            <w:noWrap/>
            <w:vAlign w:val="center"/>
            <w:hideMark/>
          </w:tcPr>
          <w:p w:rsidR="00FD36B6" w:rsidRPr="002B5338" w:rsidRDefault="00FD36B6" w:rsidP="00FD36B6">
            <w:pPr>
              <w:spacing w:after="0"/>
              <w:ind w:firstLine="0"/>
              <w:jc w:val="center"/>
              <w:rPr>
                <w:b/>
                <w:bCs/>
                <w:sz w:val="18"/>
                <w:szCs w:val="18"/>
                <w:lang w:eastAsia="lv-LV"/>
              </w:rPr>
            </w:pPr>
            <w:r w:rsidRPr="002B5338">
              <w:rPr>
                <w:b/>
                <w:bCs/>
                <w:sz w:val="18"/>
                <w:szCs w:val="18"/>
                <w:lang w:eastAsia="lv-LV"/>
              </w:rPr>
              <w:t>2018</w:t>
            </w:r>
          </w:p>
        </w:tc>
        <w:tc>
          <w:tcPr>
            <w:tcW w:w="1591" w:type="dxa"/>
            <w:shd w:val="clear" w:color="auto" w:fill="D9D9D9" w:themeFill="background1" w:themeFillShade="D9"/>
            <w:noWrap/>
            <w:hideMark/>
          </w:tcPr>
          <w:p w:rsidR="00FD36B6" w:rsidRPr="002B5338" w:rsidRDefault="00FD36B6" w:rsidP="00FD36B6">
            <w:pPr>
              <w:spacing w:after="0"/>
              <w:ind w:firstLine="0"/>
              <w:jc w:val="center"/>
              <w:rPr>
                <w:b/>
                <w:bCs/>
                <w:sz w:val="18"/>
                <w:szCs w:val="18"/>
                <w:lang w:eastAsia="lv-LV"/>
              </w:rPr>
            </w:pPr>
            <w:r w:rsidRPr="002B5338">
              <w:rPr>
                <w:b/>
                <w:bCs/>
                <w:sz w:val="18"/>
                <w:szCs w:val="18"/>
                <w:lang w:eastAsia="lv-LV"/>
              </w:rPr>
              <w:t>2019</w:t>
            </w:r>
          </w:p>
        </w:tc>
        <w:tc>
          <w:tcPr>
            <w:tcW w:w="1589" w:type="dxa"/>
            <w:shd w:val="clear" w:color="auto" w:fill="D9D9D9" w:themeFill="background1" w:themeFillShade="D9"/>
          </w:tcPr>
          <w:p w:rsidR="00FD36B6" w:rsidRPr="002B5338" w:rsidRDefault="00FD36B6" w:rsidP="00FD36B6">
            <w:pPr>
              <w:spacing w:after="0"/>
              <w:ind w:firstLine="0"/>
              <w:jc w:val="center"/>
              <w:rPr>
                <w:b/>
                <w:bCs/>
                <w:sz w:val="18"/>
                <w:szCs w:val="18"/>
                <w:lang w:eastAsia="lv-LV"/>
              </w:rPr>
            </w:pPr>
            <w:r w:rsidRPr="002B5338">
              <w:rPr>
                <w:b/>
                <w:bCs/>
                <w:sz w:val="18"/>
                <w:szCs w:val="18"/>
                <w:lang w:eastAsia="lv-LV"/>
              </w:rPr>
              <w:t>2020</w:t>
            </w:r>
          </w:p>
        </w:tc>
        <w:tc>
          <w:tcPr>
            <w:tcW w:w="1589" w:type="dxa"/>
            <w:shd w:val="clear" w:color="auto" w:fill="D9D9D9" w:themeFill="background1" w:themeFillShade="D9"/>
          </w:tcPr>
          <w:p w:rsidR="00FD36B6" w:rsidRPr="002B5338" w:rsidRDefault="00FD36B6" w:rsidP="00FD36B6">
            <w:pPr>
              <w:spacing w:after="0"/>
              <w:ind w:firstLine="0"/>
              <w:jc w:val="center"/>
              <w:rPr>
                <w:b/>
                <w:bCs/>
                <w:sz w:val="18"/>
                <w:szCs w:val="18"/>
                <w:lang w:eastAsia="lv-LV"/>
              </w:rPr>
            </w:pPr>
            <w:r w:rsidRPr="002B5338">
              <w:rPr>
                <w:b/>
                <w:bCs/>
                <w:sz w:val="18"/>
                <w:szCs w:val="18"/>
                <w:lang w:eastAsia="lv-LV"/>
              </w:rPr>
              <w:t>2021</w:t>
            </w:r>
          </w:p>
        </w:tc>
      </w:tr>
      <w:tr w:rsidR="00FD36B6" w:rsidRPr="002B5338" w:rsidTr="002B5338">
        <w:trPr>
          <w:trHeight w:val="232"/>
          <w:jc w:val="center"/>
        </w:trPr>
        <w:tc>
          <w:tcPr>
            <w:tcW w:w="5954" w:type="dxa"/>
            <w:gridSpan w:val="3"/>
            <w:shd w:val="clear" w:color="auto" w:fill="F2F2F2" w:themeFill="background1" w:themeFillShade="F2"/>
            <w:noWrap/>
            <w:vAlign w:val="center"/>
          </w:tcPr>
          <w:p w:rsidR="00FD36B6" w:rsidRPr="002B5338" w:rsidRDefault="00FD36B6" w:rsidP="00FD36B6">
            <w:pPr>
              <w:spacing w:after="0"/>
              <w:ind w:firstLine="0"/>
              <w:jc w:val="left"/>
              <w:rPr>
                <w:b/>
                <w:bCs/>
                <w:sz w:val="18"/>
                <w:szCs w:val="18"/>
                <w:lang w:eastAsia="lv-LV"/>
              </w:rPr>
            </w:pPr>
            <w:r w:rsidRPr="002B5338">
              <w:rPr>
                <w:b/>
                <w:color w:val="000000"/>
                <w:sz w:val="18"/>
                <w:szCs w:val="18"/>
                <w:lang w:eastAsia="lv-LV"/>
              </w:rPr>
              <w:t>Raudzētie dzērieni ar absolūtā spirta saturu zem 6 tilpumprocentiem</w:t>
            </w:r>
            <w:r w:rsidRPr="002B5338">
              <w:rPr>
                <w:color w:val="000000"/>
                <w:sz w:val="18"/>
                <w:szCs w:val="18"/>
                <w:lang w:eastAsia="lv-LV"/>
              </w:rPr>
              <w:t xml:space="preserve">, </w:t>
            </w:r>
            <w:proofErr w:type="spellStart"/>
            <w:r w:rsidRPr="002B5338">
              <w:rPr>
                <w:i/>
                <w:color w:val="000000"/>
                <w:sz w:val="18"/>
                <w:szCs w:val="18"/>
                <w:lang w:eastAsia="lv-LV"/>
              </w:rPr>
              <w:t>euro</w:t>
            </w:r>
            <w:proofErr w:type="spellEnd"/>
            <w:r w:rsidRPr="002B5338">
              <w:rPr>
                <w:color w:val="000000"/>
                <w:sz w:val="18"/>
                <w:szCs w:val="18"/>
                <w:lang w:eastAsia="lv-LV"/>
              </w:rPr>
              <w:t>/100 l</w:t>
            </w:r>
          </w:p>
        </w:tc>
        <w:tc>
          <w:tcPr>
            <w:tcW w:w="1589" w:type="dxa"/>
            <w:shd w:val="clear" w:color="auto" w:fill="F2F2F2" w:themeFill="background1" w:themeFillShade="F2"/>
          </w:tcPr>
          <w:p w:rsidR="00FD36B6" w:rsidRPr="002B5338" w:rsidRDefault="00FD36B6" w:rsidP="00FD36B6">
            <w:pPr>
              <w:spacing w:after="0"/>
              <w:ind w:firstLine="0"/>
              <w:jc w:val="left"/>
              <w:rPr>
                <w:b/>
                <w:color w:val="000000"/>
                <w:sz w:val="18"/>
                <w:szCs w:val="18"/>
                <w:lang w:eastAsia="lv-LV"/>
              </w:rPr>
            </w:pPr>
          </w:p>
        </w:tc>
        <w:tc>
          <w:tcPr>
            <w:tcW w:w="1589" w:type="dxa"/>
            <w:shd w:val="clear" w:color="auto" w:fill="F2F2F2" w:themeFill="background1" w:themeFillShade="F2"/>
          </w:tcPr>
          <w:p w:rsidR="00FD36B6" w:rsidRPr="002B5338" w:rsidRDefault="00FD36B6" w:rsidP="00FD36B6">
            <w:pPr>
              <w:spacing w:after="0"/>
              <w:ind w:firstLine="0"/>
              <w:jc w:val="left"/>
              <w:rPr>
                <w:b/>
                <w:color w:val="000000"/>
                <w:sz w:val="18"/>
                <w:szCs w:val="18"/>
                <w:lang w:eastAsia="lv-LV"/>
              </w:rPr>
            </w:pPr>
          </w:p>
        </w:tc>
      </w:tr>
      <w:tr w:rsidR="00FD36B6" w:rsidRPr="002B5338" w:rsidTr="002B5338">
        <w:trPr>
          <w:trHeight w:val="232"/>
          <w:jc w:val="center"/>
        </w:trPr>
        <w:tc>
          <w:tcPr>
            <w:tcW w:w="2774" w:type="dxa"/>
            <w:shd w:val="clear" w:color="auto" w:fill="auto"/>
            <w:noWrap/>
            <w:vAlign w:val="center"/>
          </w:tcPr>
          <w:p w:rsidR="00FD36B6" w:rsidRPr="002B5338" w:rsidRDefault="00FD36B6" w:rsidP="00FD36B6">
            <w:pPr>
              <w:spacing w:after="0"/>
              <w:ind w:firstLine="1305"/>
              <w:rPr>
                <w:b/>
                <w:color w:val="000000"/>
                <w:sz w:val="18"/>
                <w:szCs w:val="18"/>
                <w:lang w:eastAsia="lv-LV"/>
              </w:rPr>
            </w:pPr>
            <w:r w:rsidRPr="002B5338">
              <w:rPr>
                <w:b/>
                <w:color w:val="000000"/>
                <w:sz w:val="18"/>
                <w:szCs w:val="18"/>
                <w:lang w:eastAsia="lv-LV"/>
              </w:rPr>
              <w:t>Latvija</w:t>
            </w:r>
          </w:p>
        </w:tc>
        <w:tc>
          <w:tcPr>
            <w:tcW w:w="1589" w:type="dxa"/>
            <w:shd w:val="clear" w:color="auto" w:fill="auto"/>
            <w:noWrap/>
            <w:vAlign w:val="center"/>
          </w:tcPr>
          <w:p w:rsidR="00FD36B6" w:rsidRPr="002B5338" w:rsidRDefault="00FD36B6" w:rsidP="00FD36B6">
            <w:pPr>
              <w:spacing w:after="0"/>
              <w:ind w:firstLine="0"/>
              <w:jc w:val="center"/>
              <w:rPr>
                <w:b/>
                <w:bCs/>
                <w:sz w:val="18"/>
                <w:szCs w:val="18"/>
                <w:lang w:eastAsia="lv-LV"/>
              </w:rPr>
            </w:pPr>
            <w:r w:rsidRPr="002B5338">
              <w:rPr>
                <w:b/>
                <w:bCs/>
                <w:sz w:val="18"/>
                <w:szCs w:val="18"/>
                <w:lang w:eastAsia="lv-LV"/>
              </w:rPr>
              <w:t>64,00</w:t>
            </w:r>
          </w:p>
        </w:tc>
        <w:tc>
          <w:tcPr>
            <w:tcW w:w="1591" w:type="dxa"/>
            <w:shd w:val="clear" w:color="auto" w:fill="auto"/>
            <w:noWrap/>
          </w:tcPr>
          <w:p w:rsidR="00FD36B6" w:rsidRPr="002B5338" w:rsidRDefault="00FD36B6" w:rsidP="00FD36B6">
            <w:pPr>
              <w:spacing w:after="0"/>
              <w:ind w:firstLine="0"/>
              <w:jc w:val="center"/>
              <w:rPr>
                <w:b/>
                <w:bCs/>
                <w:sz w:val="18"/>
                <w:szCs w:val="18"/>
                <w:lang w:eastAsia="lv-LV"/>
              </w:rPr>
            </w:pPr>
            <w:r w:rsidRPr="002B5338">
              <w:rPr>
                <w:b/>
                <w:bCs/>
                <w:sz w:val="18"/>
                <w:szCs w:val="18"/>
                <w:lang w:eastAsia="lv-LV"/>
              </w:rPr>
              <w:t>64,00</w:t>
            </w:r>
          </w:p>
        </w:tc>
        <w:tc>
          <w:tcPr>
            <w:tcW w:w="1589" w:type="dxa"/>
          </w:tcPr>
          <w:p w:rsidR="00FD36B6" w:rsidRPr="002B5338" w:rsidRDefault="00FD36B6" w:rsidP="00FD36B6">
            <w:pPr>
              <w:spacing w:after="0"/>
              <w:ind w:firstLine="0"/>
              <w:jc w:val="center"/>
              <w:rPr>
                <w:b/>
                <w:bCs/>
                <w:sz w:val="18"/>
                <w:szCs w:val="18"/>
                <w:lang w:eastAsia="lv-LV"/>
              </w:rPr>
            </w:pPr>
            <w:r w:rsidRPr="002B5338">
              <w:rPr>
                <w:b/>
                <w:bCs/>
                <w:sz w:val="18"/>
                <w:szCs w:val="18"/>
                <w:lang w:eastAsia="lv-LV"/>
              </w:rPr>
              <w:t>64,00</w:t>
            </w:r>
          </w:p>
        </w:tc>
        <w:tc>
          <w:tcPr>
            <w:tcW w:w="1589" w:type="dxa"/>
          </w:tcPr>
          <w:p w:rsidR="00FD36B6" w:rsidRPr="002B5338" w:rsidRDefault="00FD36B6" w:rsidP="00FD36B6">
            <w:pPr>
              <w:spacing w:after="0"/>
              <w:ind w:firstLine="0"/>
              <w:jc w:val="center"/>
              <w:rPr>
                <w:b/>
                <w:bCs/>
                <w:sz w:val="18"/>
                <w:szCs w:val="18"/>
                <w:lang w:eastAsia="lv-LV"/>
              </w:rPr>
            </w:pPr>
            <w:r w:rsidRPr="002B5338">
              <w:rPr>
                <w:b/>
                <w:bCs/>
                <w:sz w:val="18"/>
                <w:szCs w:val="18"/>
                <w:lang w:eastAsia="lv-LV"/>
              </w:rPr>
              <w:t>64,00</w:t>
            </w:r>
          </w:p>
        </w:tc>
      </w:tr>
      <w:tr w:rsidR="00FD36B6" w:rsidRPr="002B5338" w:rsidTr="002B5338">
        <w:trPr>
          <w:trHeight w:val="232"/>
          <w:jc w:val="center"/>
        </w:trPr>
        <w:tc>
          <w:tcPr>
            <w:tcW w:w="2774" w:type="dxa"/>
            <w:shd w:val="clear" w:color="auto" w:fill="auto"/>
            <w:noWrap/>
            <w:vAlign w:val="bottom"/>
          </w:tcPr>
          <w:p w:rsidR="00FD36B6" w:rsidRPr="002B5338" w:rsidRDefault="00FD36B6" w:rsidP="00FD36B6">
            <w:pPr>
              <w:spacing w:after="0"/>
              <w:ind w:firstLine="1305"/>
              <w:rPr>
                <w:color w:val="000000"/>
                <w:sz w:val="18"/>
                <w:szCs w:val="18"/>
                <w:lang w:eastAsia="lv-LV"/>
              </w:rPr>
            </w:pPr>
            <w:r w:rsidRPr="002B5338">
              <w:rPr>
                <w:color w:val="000000"/>
                <w:sz w:val="18"/>
                <w:szCs w:val="18"/>
                <w:lang w:eastAsia="lv-LV"/>
              </w:rPr>
              <w:t>Lietuva*</w:t>
            </w:r>
          </w:p>
        </w:tc>
        <w:tc>
          <w:tcPr>
            <w:tcW w:w="1589" w:type="dxa"/>
            <w:shd w:val="clear" w:color="auto" w:fill="auto"/>
            <w:noWrap/>
            <w:vAlign w:val="center"/>
          </w:tcPr>
          <w:p w:rsidR="00FD36B6" w:rsidRPr="002B5338" w:rsidRDefault="00FD36B6" w:rsidP="00FD36B6">
            <w:pPr>
              <w:spacing w:after="0"/>
              <w:ind w:firstLine="0"/>
              <w:jc w:val="center"/>
              <w:rPr>
                <w:bCs/>
                <w:sz w:val="18"/>
                <w:szCs w:val="18"/>
                <w:lang w:eastAsia="lv-LV"/>
              </w:rPr>
            </w:pPr>
            <w:r w:rsidRPr="002B5338">
              <w:rPr>
                <w:bCs/>
                <w:sz w:val="18"/>
                <w:szCs w:val="18"/>
                <w:lang w:eastAsia="lv-LV"/>
              </w:rPr>
              <w:t>65,46</w:t>
            </w:r>
          </w:p>
        </w:tc>
        <w:tc>
          <w:tcPr>
            <w:tcW w:w="1591" w:type="dxa"/>
            <w:shd w:val="clear" w:color="auto" w:fill="auto"/>
            <w:noWrap/>
          </w:tcPr>
          <w:p w:rsidR="00FD36B6" w:rsidRPr="002B5338" w:rsidRDefault="00FD36B6" w:rsidP="00FD36B6">
            <w:pPr>
              <w:spacing w:after="0"/>
              <w:ind w:firstLine="0"/>
              <w:jc w:val="center"/>
              <w:rPr>
                <w:bCs/>
                <w:sz w:val="18"/>
                <w:szCs w:val="18"/>
                <w:lang w:eastAsia="lv-LV"/>
              </w:rPr>
            </w:pPr>
            <w:r w:rsidRPr="002B5338">
              <w:rPr>
                <w:bCs/>
                <w:sz w:val="18"/>
                <w:szCs w:val="18"/>
                <w:lang w:eastAsia="lv-LV"/>
              </w:rPr>
              <w:t>65,46</w:t>
            </w:r>
          </w:p>
        </w:tc>
        <w:tc>
          <w:tcPr>
            <w:tcW w:w="1589" w:type="dxa"/>
          </w:tcPr>
          <w:p w:rsidR="00FD36B6" w:rsidRPr="002B5338" w:rsidRDefault="00FD36B6" w:rsidP="00FD36B6">
            <w:pPr>
              <w:spacing w:after="0"/>
              <w:ind w:firstLine="0"/>
              <w:jc w:val="center"/>
              <w:rPr>
                <w:bCs/>
                <w:sz w:val="18"/>
                <w:szCs w:val="18"/>
                <w:lang w:eastAsia="lv-LV"/>
              </w:rPr>
            </w:pPr>
            <w:r w:rsidRPr="002B5338">
              <w:rPr>
                <w:bCs/>
                <w:sz w:val="18"/>
                <w:szCs w:val="18"/>
                <w:lang w:eastAsia="lv-LV"/>
              </w:rPr>
              <w:t>65,46</w:t>
            </w:r>
          </w:p>
        </w:tc>
        <w:tc>
          <w:tcPr>
            <w:tcW w:w="1589" w:type="dxa"/>
          </w:tcPr>
          <w:p w:rsidR="00FD36B6" w:rsidRPr="002B5338" w:rsidRDefault="00FD36B6" w:rsidP="00FD36B6">
            <w:pPr>
              <w:spacing w:after="0"/>
              <w:ind w:firstLine="0"/>
              <w:jc w:val="center"/>
              <w:rPr>
                <w:bCs/>
                <w:sz w:val="18"/>
                <w:szCs w:val="18"/>
                <w:lang w:eastAsia="lv-LV"/>
              </w:rPr>
            </w:pPr>
            <w:r w:rsidRPr="002B5338">
              <w:rPr>
                <w:bCs/>
                <w:sz w:val="18"/>
                <w:szCs w:val="18"/>
                <w:lang w:eastAsia="lv-LV"/>
              </w:rPr>
              <w:t>65,46</w:t>
            </w:r>
          </w:p>
        </w:tc>
      </w:tr>
      <w:tr w:rsidR="00FD36B6" w:rsidRPr="002B5338" w:rsidTr="002B5338">
        <w:trPr>
          <w:trHeight w:val="232"/>
          <w:jc w:val="center"/>
        </w:trPr>
        <w:tc>
          <w:tcPr>
            <w:tcW w:w="2774" w:type="dxa"/>
            <w:shd w:val="clear" w:color="auto" w:fill="auto"/>
            <w:noWrap/>
            <w:vAlign w:val="bottom"/>
          </w:tcPr>
          <w:p w:rsidR="00FD36B6" w:rsidRPr="002B5338" w:rsidRDefault="00FD36B6" w:rsidP="00FD36B6">
            <w:pPr>
              <w:spacing w:after="0"/>
              <w:ind w:firstLine="1305"/>
              <w:rPr>
                <w:color w:val="000000"/>
                <w:sz w:val="18"/>
                <w:szCs w:val="18"/>
                <w:lang w:eastAsia="lv-LV"/>
              </w:rPr>
            </w:pPr>
            <w:r w:rsidRPr="002B5338">
              <w:rPr>
                <w:color w:val="000000"/>
                <w:sz w:val="18"/>
                <w:szCs w:val="18"/>
                <w:lang w:eastAsia="lv-LV"/>
              </w:rPr>
              <w:t>Igaunija**</w:t>
            </w:r>
          </w:p>
        </w:tc>
        <w:tc>
          <w:tcPr>
            <w:tcW w:w="1589" w:type="dxa"/>
            <w:shd w:val="clear" w:color="auto" w:fill="auto"/>
            <w:noWrap/>
            <w:vAlign w:val="center"/>
          </w:tcPr>
          <w:p w:rsidR="00FD36B6" w:rsidRPr="002B5338" w:rsidRDefault="00FD36B6" w:rsidP="00FD36B6">
            <w:pPr>
              <w:spacing w:after="0"/>
              <w:ind w:firstLine="0"/>
              <w:jc w:val="center"/>
              <w:rPr>
                <w:bCs/>
                <w:sz w:val="18"/>
                <w:szCs w:val="18"/>
                <w:lang w:eastAsia="lv-LV"/>
              </w:rPr>
            </w:pPr>
            <w:r w:rsidRPr="002B5338">
              <w:rPr>
                <w:bCs/>
                <w:sz w:val="18"/>
                <w:szCs w:val="18"/>
                <w:lang w:eastAsia="lv-LV"/>
              </w:rPr>
              <w:t>77,44 / 84,41</w:t>
            </w:r>
          </w:p>
        </w:tc>
        <w:tc>
          <w:tcPr>
            <w:tcW w:w="1591" w:type="dxa"/>
            <w:shd w:val="clear" w:color="auto" w:fill="auto"/>
            <w:noWrap/>
          </w:tcPr>
          <w:p w:rsidR="00FD36B6" w:rsidRPr="002B5338" w:rsidRDefault="00FD36B6" w:rsidP="00FD36B6">
            <w:pPr>
              <w:spacing w:after="0"/>
              <w:ind w:firstLine="0"/>
              <w:jc w:val="center"/>
              <w:rPr>
                <w:bCs/>
                <w:sz w:val="18"/>
                <w:szCs w:val="18"/>
                <w:lang w:eastAsia="lv-LV"/>
              </w:rPr>
            </w:pPr>
            <w:r w:rsidRPr="002B5338">
              <w:rPr>
                <w:bCs/>
                <w:sz w:val="18"/>
                <w:szCs w:val="18"/>
                <w:lang w:eastAsia="lv-LV"/>
              </w:rPr>
              <w:t>84,41 / 63,35</w:t>
            </w:r>
          </w:p>
        </w:tc>
        <w:tc>
          <w:tcPr>
            <w:tcW w:w="1589" w:type="dxa"/>
          </w:tcPr>
          <w:p w:rsidR="00FD36B6" w:rsidRPr="002B5338" w:rsidRDefault="00FD36B6" w:rsidP="00FD36B6">
            <w:pPr>
              <w:spacing w:after="0"/>
              <w:ind w:firstLine="0"/>
              <w:jc w:val="center"/>
              <w:rPr>
                <w:bCs/>
                <w:sz w:val="18"/>
                <w:szCs w:val="18"/>
                <w:lang w:eastAsia="lv-LV"/>
              </w:rPr>
            </w:pPr>
            <w:r w:rsidRPr="002B5338">
              <w:rPr>
                <w:bCs/>
                <w:sz w:val="18"/>
                <w:szCs w:val="18"/>
                <w:lang w:eastAsia="lv-LV"/>
              </w:rPr>
              <w:t>63,35</w:t>
            </w:r>
          </w:p>
        </w:tc>
        <w:tc>
          <w:tcPr>
            <w:tcW w:w="1589" w:type="dxa"/>
          </w:tcPr>
          <w:p w:rsidR="00FD36B6" w:rsidRPr="002B5338" w:rsidRDefault="00FD36B6" w:rsidP="00FD36B6">
            <w:pPr>
              <w:spacing w:after="0"/>
              <w:ind w:firstLine="0"/>
              <w:jc w:val="center"/>
              <w:rPr>
                <w:bCs/>
                <w:sz w:val="18"/>
                <w:szCs w:val="18"/>
                <w:lang w:eastAsia="lv-LV"/>
              </w:rPr>
            </w:pPr>
            <w:r w:rsidRPr="002B5338">
              <w:rPr>
                <w:bCs/>
                <w:sz w:val="18"/>
                <w:szCs w:val="18"/>
                <w:lang w:eastAsia="lv-LV"/>
              </w:rPr>
              <w:t>63,35</w:t>
            </w:r>
          </w:p>
        </w:tc>
      </w:tr>
      <w:tr w:rsidR="00FD36B6" w:rsidRPr="002B5338" w:rsidTr="002B5338">
        <w:trPr>
          <w:trHeight w:val="232"/>
          <w:jc w:val="center"/>
        </w:trPr>
        <w:tc>
          <w:tcPr>
            <w:tcW w:w="7543" w:type="dxa"/>
            <w:gridSpan w:val="4"/>
            <w:shd w:val="clear" w:color="auto" w:fill="F2F2F2" w:themeFill="background1" w:themeFillShade="F2"/>
            <w:noWrap/>
            <w:vAlign w:val="center"/>
            <w:hideMark/>
          </w:tcPr>
          <w:p w:rsidR="00FD36B6" w:rsidRPr="002B5338" w:rsidRDefault="00FD36B6" w:rsidP="00FD36B6">
            <w:pPr>
              <w:spacing w:after="0"/>
              <w:ind w:firstLine="0"/>
              <w:jc w:val="left"/>
              <w:rPr>
                <w:b/>
                <w:color w:val="000000"/>
                <w:sz w:val="18"/>
                <w:szCs w:val="18"/>
                <w:shd w:val="clear" w:color="auto" w:fill="D9D9D9" w:themeFill="background1" w:themeFillShade="D9"/>
                <w:lang w:eastAsia="lv-LV"/>
              </w:rPr>
            </w:pPr>
            <w:r w:rsidRPr="002B5338">
              <w:rPr>
                <w:b/>
                <w:color w:val="000000"/>
                <w:sz w:val="18"/>
                <w:szCs w:val="18"/>
                <w:shd w:val="clear" w:color="auto" w:fill="D9D9D9" w:themeFill="background1" w:themeFillShade="D9"/>
                <w:lang w:eastAsia="lv-LV"/>
              </w:rPr>
              <w:t>Vīns un raudzētie dzērieni ar absolūtā spirta saturu virs 6 tilpumprocentiem</w:t>
            </w:r>
            <w:r w:rsidRPr="002B5338">
              <w:rPr>
                <w:color w:val="000000"/>
                <w:sz w:val="18"/>
                <w:szCs w:val="18"/>
                <w:shd w:val="clear" w:color="auto" w:fill="D9D9D9" w:themeFill="background1" w:themeFillShade="D9"/>
                <w:lang w:eastAsia="lv-LV"/>
              </w:rPr>
              <w:t xml:space="preserve">, </w:t>
            </w:r>
            <w:proofErr w:type="spellStart"/>
            <w:r w:rsidRPr="002B5338">
              <w:rPr>
                <w:i/>
                <w:color w:val="000000"/>
                <w:sz w:val="18"/>
                <w:szCs w:val="18"/>
                <w:shd w:val="clear" w:color="auto" w:fill="D9D9D9" w:themeFill="background1" w:themeFillShade="D9"/>
                <w:lang w:eastAsia="lv-LV"/>
              </w:rPr>
              <w:t>euro</w:t>
            </w:r>
            <w:proofErr w:type="spellEnd"/>
            <w:r w:rsidRPr="002B5338">
              <w:rPr>
                <w:color w:val="000000"/>
                <w:sz w:val="18"/>
                <w:szCs w:val="18"/>
                <w:lang w:eastAsia="lv-LV"/>
              </w:rPr>
              <w:t>/100 l</w:t>
            </w:r>
          </w:p>
        </w:tc>
        <w:tc>
          <w:tcPr>
            <w:tcW w:w="1589" w:type="dxa"/>
            <w:shd w:val="clear" w:color="auto" w:fill="F2F2F2" w:themeFill="background1" w:themeFillShade="F2"/>
          </w:tcPr>
          <w:p w:rsidR="00FD36B6" w:rsidRPr="002B5338" w:rsidRDefault="00FD36B6" w:rsidP="00FD36B6">
            <w:pPr>
              <w:spacing w:after="0"/>
              <w:ind w:firstLine="0"/>
              <w:jc w:val="left"/>
              <w:rPr>
                <w:b/>
                <w:color w:val="000000"/>
                <w:sz w:val="18"/>
                <w:szCs w:val="18"/>
                <w:shd w:val="clear" w:color="auto" w:fill="D9D9D9" w:themeFill="background1" w:themeFillShade="D9"/>
                <w:lang w:eastAsia="lv-LV"/>
              </w:rPr>
            </w:pPr>
          </w:p>
        </w:tc>
      </w:tr>
      <w:tr w:rsidR="00FD36B6" w:rsidRPr="002B5338" w:rsidTr="002B5338">
        <w:trPr>
          <w:trHeight w:val="222"/>
          <w:jc w:val="center"/>
        </w:trPr>
        <w:tc>
          <w:tcPr>
            <w:tcW w:w="2774" w:type="dxa"/>
            <w:shd w:val="clear" w:color="auto" w:fill="auto"/>
            <w:noWrap/>
            <w:hideMark/>
          </w:tcPr>
          <w:p w:rsidR="00FD36B6" w:rsidRPr="002B5338" w:rsidRDefault="00FD36B6" w:rsidP="00FD36B6">
            <w:pPr>
              <w:spacing w:after="0"/>
              <w:ind w:firstLine="1305"/>
              <w:rPr>
                <w:b/>
                <w:color w:val="000000"/>
                <w:sz w:val="18"/>
                <w:szCs w:val="18"/>
                <w:lang w:eastAsia="lv-LV"/>
              </w:rPr>
            </w:pPr>
            <w:r w:rsidRPr="002B5338">
              <w:rPr>
                <w:b/>
                <w:color w:val="000000"/>
                <w:sz w:val="18"/>
                <w:szCs w:val="18"/>
                <w:lang w:eastAsia="lv-LV"/>
              </w:rPr>
              <w:t>Latvija***</w:t>
            </w:r>
          </w:p>
        </w:tc>
        <w:tc>
          <w:tcPr>
            <w:tcW w:w="1589" w:type="dxa"/>
            <w:shd w:val="clear" w:color="auto" w:fill="auto"/>
            <w:noWrap/>
            <w:vAlign w:val="center"/>
            <w:hideMark/>
          </w:tcPr>
          <w:p w:rsidR="00FD36B6" w:rsidRPr="002B5338" w:rsidRDefault="00FD36B6" w:rsidP="00FD36B6">
            <w:pPr>
              <w:spacing w:after="0"/>
              <w:ind w:firstLine="0"/>
              <w:jc w:val="center"/>
              <w:rPr>
                <w:b/>
                <w:bCs/>
                <w:iCs/>
                <w:sz w:val="18"/>
                <w:szCs w:val="18"/>
                <w:lang w:eastAsia="lv-LV"/>
              </w:rPr>
            </w:pPr>
            <w:r w:rsidRPr="002B5338">
              <w:rPr>
                <w:b/>
                <w:bCs/>
                <w:iCs/>
                <w:sz w:val="18"/>
                <w:szCs w:val="18"/>
                <w:lang w:eastAsia="lv-LV"/>
              </w:rPr>
              <w:t>78,00 / 92,00</w:t>
            </w:r>
          </w:p>
        </w:tc>
        <w:tc>
          <w:tcPr>
            <w:tcW w:w="1591" w:type="dxa"/>
            <w:shd w:val="clear" w:color="auto" w:fill="auto"/>
            <w:noWrap/>
          </w:tcPr>
          <w:p w:rsidR="00FD36B6" w:rsidRPr="002B5338" w:rsidRDefault="00FD36B6" w:rsidP="00FD36B6">
            <w:pPr>
              <w:spacing w:after="0"/>
              <w:ind w:firstLine="0"/>
              <w:jc w:val="center"/>
              <w:rPr>
                <w:b/>
                <w:bCs/>
                <w:iCs/>
                <w:sz w:val="18"/>
                <w:szCs w:val="18"/>
                <w:lang w:eastAsia="lv-LV"/>
              </w:rPr>
            </w:pPr>
            <w:r w:rsidRPr="002B5338">
              <w:rPr>
                <w:b/>
                <w:bCs/>
                <w:iCs/>
                <w:sz w:val="18"/>
                <w:szCs w:val="18"/>
                <w:lang w:eastAsia="lv-LV"/>
              </w:rPr>
              <w:t>92,00 / 101,00</w:t>
            </w:r>
          </w:p>
        </w:tc>
        <w:tc>
          <w:tcPr>
            <w:tcW w:w="1589" w:type="dxa"/>
          </w:tcPr>
          <w:p w:rsidR="00FD36B6" w:rsidRPr="002B5338" w:rsidRDefault="00FD36B6" w:rsidP="00FD36B6">
            <w:pPr>
              <w:spacing w:after="0"/>
              <w:ind w:firstLine="0"/>
              <w:jc w:val="center"/>
              <w:rPr>
                <w:b/>
                <w:bCs/>
                <w:iCs/>
                <w:sz w:val="18"/>
                <w:szCs w:val="18"/>
                <w:lang w:eastAsia="lv-LV"/>
              </w:rPr>
            </w:pPr>
            <w:r w:rsidRPr="002B5338">
              <w:rPr>
                <w:b/>
                <w:bCs/>
                <w:iCs/>
                <w:sz w:val="18"/>
                <w:szCs w:val="18"/>
                <w:lang w:eastAsia="lv-LV"/>
              </w:rPr>
              <w:t>101,00 / 106,00</w:t>
            </w:r>
          </w:p>
        </w:tc>
        <w:tc>
          <w:tcPr>
            <w:tcW w:w="1589" w:type="dxa"/>
          </w:tcPr>
          <w:p w:rsidR="00FD36B6" w:rsidRPr="002B5338" w:rsidRDefault="00FD36B6" w:rsidP="00FD36B6">
            <w:pPr>
              <w:spacing w:after="0"/>
              <w:ind w:firstLine="0"/>
              <w:jc w:val="center"/>
              <w:rPr>
                <w:b/>
                <w:bCs/>
                <w:iCs/>
                <w:sz w:val="18"/>
                <w:szCs w:val="18"/>
                <w:lang w:eastAsia="lv-LV"/>
              </w:rPr>
            </w:pPr>
            <w:r w:rsidRPr="002B5338">
              <w:rPr>
                <w:b/>
                <w:bCs/>
                <w:iCs/>
                <w:sz w:val="18"/>
                <w:szCs w:val="18"/>
                <w:lang w:eastAsia="lv-LV"/>
              </w:rPr>
              <w:t>111,00</w:t>
            </w:r>
          </w:p>
        </w:tc>
      </w:tr>
      <w:tr w:rsidR="00FD36B6" w:rsidRPr="002B5338" w:rsidTr="002B5338">
        <w:trPr>
          <w:trHeight w:val="60"/>
          <w:jc w:val="center"/>
        </w:trPr>
        <w:tc>
          <w:tcPr>
            <w:tcW w:w="2774" w:type="dxa"/>
            <w:shd w:val="clear" w:color="auto" w:fill="auto"/>
            <w:noWrap/>
            <w:vAlign w:val="bottom"/>
            <w:hideMark/>
          </w:tcPr>
          <w:p w:rsidR="00FD36B6" w:rsidRPr="002B5338" w:rsidRDefault="00FD36B6" w:rsidP="00FD36B6">
            <w:pPr>
              <w:spacing w:after="0"/>
              <w:ind w:firstLine="1305"/>
              <w:rPr>
                <w:color w:val="000000"/>
                <w:sz w:val="18"/>
                <w:szCs w:val="18"/>
                <w:lang w:eastAsia="lv-LV"/>
              </w:rPr>
            </w:pPr>
            <w:r w:rsidRPr="002B5338">
              <w:rPr>
                <w:color w:val="000000"/>
                <w:sz w:val="18"/>
                <w:szCs w:val="18"/>
                <w:lang w:eastAsia="lv-LV"/>
              </w:rPr>
              <w:t>Lietuva*</w:t>
            </w:r>
          </w:p>
        </w:tc>
        <w:tc>
          <w:tcPr>
            <w:tcW w:w="1589" w:type="dxa"/>
            <w:shd w:val="clear" w:color="auto" w:fill="auto"/>
            <w:noWrap/>
            <w:vAlign w:val="center"/>
            <w:hideMark/>
          </w:tcPr>
          <w:p w:rsidR="00FD36B6" w:rsidRPr="002B5338" w:rsidRDefault="00FD36B6" w:rsidP="00FD36B6">
            <w:pPr>
              <w:spacing w:after="0"/>
              <w:ind w:firstLine="0"/>
              <w:jc w:val="center"/>
              <w:rPr>
                <w:color w:val="000000"/>
                <w:sz w:val="18"/>
                <w:szCs w:val="18"/>
                <w:lang w:eastAsia="lv-LV"/>
              </w:rPr>
            </w:pPr>
            <w:r w:rsidRPr="002B5338">
              <w:rPr>
                <w:bCs/>
                <w:sz w:val="18"/>
                <w:szCs w:val="18"/>
                <w:lang w:eastAsia="lv-LV"/>
              </w:rPr>
              <w:t>164,67</w:t>
            </w:r>
          </w:p>
        </w:tc>
        <w:tc>
          <w:tcPr>
            <w:tcW w:w="1591" w:type="dxa"/>
            <w:shd w:val="clear" w:color="auto" w:fill="auto"/>
            <w:noWrap/>
            <w:vAlign w:val="center"/>
          </w:tcPr>
          <w:p w:rsidR="00FD36B6" w:rsidRPr="002B5338" w:rsidRDefault="00FD36B6" w:rsidP="00FD36B6">
            <w:pPr>
              <w:spacing w:after="0"/>
              <w:ind w:firstLine="0"/>
              <w:jc w:val="center"/>
              <w:rPr>
                <w:bCs/>
                <w:sz w:val="18"/>
                <w:szCs w:val="18"/>
                <w:lang w:eastAsia="lv-LV"/>
              </w:rPr>
            </w:pPr>
            <w:r w:rsidRPr="002B5338">
              <w:rPr>
                <w:bCs/>
                <w:sz w:val="18"/>
                <w:szCs w:val="18"/>
                <w:lang w:eastAsia="lv-LV"/>
              </w:rPr>
              <w:t>164,67</w:t>
            </w:r>
          </w:p>
        </w:tc>
        <w:tc>
          <w:tcPr>
            <w:tcW w:w="1589" w:type="dxa"/>
            <w:vAlign w:val="center"/>
          </w:tcPr>
          <w:p w:rsidR="00FD36B6" w:rsidRPr="002B5338" w:rsidRDefault="00FD36B6" w:rsidP="00FD36B6">
            <w:pPr>
              <w:spacing w:after="0"/>
              <w:ind w:firstLine="0"/>
              <w:jc w:val="center"/>
              <w:rPr>
                <w:bCs/>
                <w:sz w:val="18"/>
                <w:szCs w:val="18"/>
                <w:lang w:eastAsia="lv-LV"/>
              </w:rPr>
            </w:pPr>
            <w:r w:rsidRPr="002B5338">
              <w:rPr>
                <w:bCs/>
                <w:sz w:val="18"/>
                <w:szCs w:val="18"/>
                <w:lang w:eastAsia="lv-LV"/>
              </w:rPr>
              <w:t>164,67</w:t>
            </w:r>
          </w:p>
        </w:tc>
        <w:tc>
          <w:tcPr>
            <w:tcW w:w="1589" w:type="dxa"/>
            <w:vAlign w:val="center"/>
          </w:tcPr>
          <w:p w:rsidR="00FD36B6" w:rsidRPr="002B5338" w:rsidRDefault="00FD36B6" w:rsidP="00FD36B6">
            <w:pPr>
              <w:spacing w:after="0"/>
              <w:ind w:firstLine="0"/>
              <w:jc w:val="center"/>
              <w:rPr>
                <w:bCs/>
                <w:sz w:val="18"/>
                <w:szCs w:val="18"/>
                <w:lang w:eastAsia="lv-LV"/>
              </w:rPr>
            </w:pPr>
            <w:r w:rsidRPr="002B5338">
              <w:rPr>
                <w:bCs/>
                <w:sz w:val="18"/>
                <w:szCs w:val="18"/>
                <w:lang w:eastAsia="lv-LV"/>
              </w:rPr>
              <w:t>164,67</w:t>
            </w:r>
          </w:p>
        </w:tc>
      </w:tr>
      <w:tr w:rsidR="00FD36B6" w:rsidRPr="002B5338" w:rsidTr="002B5338">
        <w:trPr>
          <w:trHeight w:val="232"/>
          <w:jc w:val="center"/>
        </w:trPr>
        <w:tc>
          <w:tcPr>
            <w:tcW w:w="2774" w:type="dxa"/>
            <w:shd w:val="clear" w:color="auto" w:fill="auto"/>
            <w:noWrap/>
            <w:vAlign w:val="bottom"/>
            <w:hideMark/>
          </w:tcPr>
          <w:p w:rsidR="00FD36B6" w:rsidRPr="002B5338" w:rsidRDefault="00FD36B6" w:rsidP="00FD36B6">
            <w:pPr>
              <w:spacing w:after="0"/>
              <w:ind w:firstLine="1305"/>
              <w:rPr>
                <w:color w:val="000000"/>
                <w:sz w:val="18"/>
                <w:szCs w:val="18"/>
                <w:lang w:eastAsia="lv-LV"/>
              </w:rPr>
            </w:pPr>
            <w:r w:rsidRPr="002B5338">
              <w:rPr>
                <w:color w:val="000000"/>
                <w:sz w:val="18"/>
                <w:szCs w:val="18"/>
                <w:lang w:eastAsia="lv-LV"/>
              </w:rPr>
              <w:lastRenderedPageBreak/>
              <w:t>Igaunija**</w:t>
            </w:r>
          </w:p>
        </w:tc>
        <w:tc>
          <w:tcPr>
            <w:tcW w:w="1589" w:type="dxa"/>
            <w:shd w:val="clear" w:color="auto" w:fill="auto"/>
            <w:noWrap/>
            <w:vAlign w:val="center"/>
            <w:hideMark/>
          </w:tcPr>
          <w:p w:rsidR="00FD36B6" w:rsidRPr="002B5338" w:rsidRDefault="00FD36B6" w:rsidP="00FD36B6">
            <w:pPr>
              <w:spacing w:after="0"/>
              <w:ind w:firstLine="0"/>
              <w:jc w:val="center"/>
              <w:rPr>
                <w:bCs/>
                <w:sz w:val="18"/>
                <w:szCs w:val="18"/>
                <w:lang w:eastAsia="lv-LV"/>
              </w:rPr>
            </w:pPr>
            <w:r w:rsidRPr="002B5338">
              <w:rPr>
                <w:bCs/>
                <w:sz w:val="18"/>
                <w:szCs w:val="18"/>
                <w:lang w:eastAsia="lv-LV"/>
              </w:rPr>
              <w:t>123,18 / 147,82</w:t>
            </w:r>
          </w:p>
        </w:tc>
        <w:tc>
          <w:tcPr>
            <w:tcW w:w="1591" w:type="dxa"/>
            <w:shd w:val="clear" w:color="auto" w:fill="auto"/>
            <w:noWrap/>
            <w:vAlign w:val="center"/>
          </w:tcPr>
          <w:p w:rsidR="00FD36B6" w:rsidRPr="002B5338" w:rsidRDefault="00FD36B6" w:rsidP="00FD36B6">
            <w:pPr>
              <w:spacing w:after="0"/>
              <w:ind w:firstLine="0"/>
              <w:jc w:val="center"/>
              <w:rPr>
                <w:bCs/>
                <w:sz w:val="18"/>
                <w:szCs w:val="18"/>
                <w:lang w:eastAsia="lv-LV"/>
              </w:rPr>
            </w:pPr>
            <w:r w:rsidRPr="002B5338">
              <w:rPr>
                <w:bCs/>
                <w:sz w:val="18"/>
                <w:szCs w:val="18"/>
                <w:lang w:eastAsia="lv-LV"/>
              </w:rPr>
              <w:t>147,82</w:t>
            </w:r>
          </w:p>
        </w:tc>
        <w:tc>
          <w:tcPr>
            <w:tcW w:w="1589" w:type="dxa"/>
            <w:vAlign w:val="center"/>
          </w:tcPr>
          <w:p w:rsidR="00FD36B6" w:rsidRPr="002B5338" w:rsidRDefault="00FD36B6" w:rsidP="00FD36B6">
            <w:pPr>
              <w:spacing w:after="0"/>
              <w:ind w:firstLine="0"/>
              <w:jc w:val="center"/>
              <w:rPr>
                <w:bCs/>
                <w:sz w:val="18"/>
                <w:szCs w:val="18"/>
                <w:lang w:eastAsia="lv-LV"/>
              </w:rPr>
            </w:pPr>
            <w:r w:rsidRPr="002B5338">
              <w:rPr>
                <w:bCs/>
                <w:sz w:val="18"/>
                <w:szCs w:val="18"/>
                <w:lang w:eastAsia="lv-LV"/>
              </w:rPr>
              <w:t>147,82</w:t>
            </w:r>
          </w:p>
        </w:tc>
        <w:tc>
          <w:tcPr>
            <w:tcW w:w="1589" w:type="dxa"/>
            <w:vAlign w:val="center"/>
          </w:tcPr>
          <w:p w:rsidR="00FD36B6" w:rsidRPr="002B5338" w:rsidRDefault="00FD36B6" w:rsidP="00FD36B6">
            <w:pPr>
              <w:spacing w:after="0"/>
              <w:ind w:firstLine="0"/>
              <w:jc w:val="center"/>
              <w:rPr>
                <w:bCs/>
                <w:sz w:val="18"/>
                <w:szCs w:val="18"/>
                <w:lang w:eastAsia="lv-LV"/>
              </w:rPr>
            </w:pPr>
            <w:r w:rsidRPr="002B5338">
              <w:rPr>
                <w:bCs/>
                <w:sz w:val="18"/>
                <w:szCs w:val="18"/>
                <w:lang w:eastAsia="lv-LV"/>
              </w:rPr>
              <w:t>147,82</w:t>
            </w:r>
          </w:p>
        </w:tc>
      </w:tr>
      <w:tr w:rsidR="00FD36B6" w:rsidRPr="002B5338" w:rsidTr="002B5338">
        <w:trPr>
          <w:trHeight w:val="232"/>
          <w:jc w:val="center"/>
        </w:trPr>
        <w:tc>
          <w:tcPr>
            <w:tcW w:w="7543" w:type="dxa"/>
            <w:gridSpan w:val="4"/>
            <w:shd w:val="clear" w:color="auto" w:fill="F2F2F2" w:themeFill="background1" w:themeFillShade="F2"/>
            <w:noWrap/>
            <w:vAlign w:val="center"/>
            <w:hideMark/>
          </w:tcPr>
          <w:p w:rsidR="00FD36B6" w:rsidRPr="002B5338" w:rsidRDefault="00FD36B6" w:rsidP="00FD36B6">
            <w:pPr>
              <w:spacing w:after="0"/>
              <w:ind w:firstLine="0"/>
              <w:jc w:val="left"/>
              <w:rPr>
                <w:b/>
                <w:color w:val="000000"/>
                <w:sz w:val="18"/>
                <w:szCs w:val="18"/>
                <w:lang w:eastAsia="lv-LV"/>
              </w:rPr>
            </w:pPr>
            <w:r w:rsidRPr="002B5338">
              <w:rPr>
                <w:b/>
                <w:color w:val="000000"/>
                <w:sz w:val="18"/>
                <w:szCs w:val="18"/>
                <w:lang w:eastAsia="lv-LV"/>
              </w:rPr>
              <w:t>Starpprodukti ar absolūtā spirta saturu līdz 15 tilpumprocentiem,</w:t>
            </w:r>
            <w:r w:rsidRPr="002B5338">
              <w:rPr>
                <w:color w:val="000000"/>
                <w:sz w:val="18"/>
                <w:szCs w:val="18"/>
                <w:lang w:eastAsia="lv-LV"/>
              </w:rPr>
              <w:t xml:space="preserve"> </w:t>
            </w:r>
            <w:proofErr w:type="spellStart"/>
            <w:r w:rsidRPr="002B5338">
              <w:rPr>
                <w:i/>
                <w:color w:val="000000"/>
                <w:sz w:val="18"/>
                <w:szCs w:val="18"/>
                <w:lang w:eastAsia="lv-LV"/>
              </w:rPr>
              <w:t>euro</w:t>
            </w:r>
            <w:proofErr w:type="spellEnd"/>
            <w:r w:rsidRPr="002B5338">
              <w:rPr>
                <w:color w:val="000000"/>
                <w:sz w:val="18"/>
                <w:szCs w:val="18"/>
                <w:lang w:eastAsia="lv-LV"/>
              </w:rPr>
              <w:t>/ 100 l</w:t>
            </w:r>
          </w:p>
        </w:tc>
        <w:tc>
          <w:tcPr>
            <w:tcW w:w="1589" w:type="dxa"/>
            <w:shd w:val="clear" w:color="auto" w:fill="F2F2F2" w:themeFill="background1" w:themeFillShade="F2"/>
          </w:tcPr>
          <w:p w:rsidR="00FD36B6" w:rsidRPr="002B5338" w:rsidRDefault="00FD36B6" w:rsidP="00FD36B6">
            <w:pPr>
              <w:spacing w:after="0"/>
              <w:ind w:firstLine="0"/>
              <w:jc w:val="left"/>
              <w:rPr>
                <w:b/>
                <w:color w:val="000000"/>
                <w:sz w:val="18"/>
                <w:szCs w:val="18"/>
                <w:lang w:eastAsia="lv-LV"/>
              </w:rPr>
            </w:pPr>
          </w:p>
        </w:tc>
      </w:tr>
      <w:tr w:rsidR="00FD36B6" w:rsidRPr="002B5338" w:rsidTr="002B5338">
        <w:trPr>
          <w:trHeight w:val="222"/>
          <w:jc w:val="center"/>
        </w:trPr>
        <w:tc>
          <w:tcPr>
            <w:tcW w:w="2774" w:type="dxa"/>
            <w:shd w:val="clear" w:color="auto" w:fill="auto"/>
            <w:noWrap/>
            <w:hideMark/>
          </w:tcPr>
          <w:p w:rsidR="00FD36B6" w:rsidRPr="002B5338" w:rsidRDefault="00FD36B6" w:rsidP="00FD36B6">
            <w:pPr>
              <w:spacing w:after="0"/>
              <w:ind w:firstLine="1305"/>
              <w:rPr>
                <w:b/>
                <w:color w:val="000000"/>
                <w:sz w:val="18"/>
                <w:szCs w:val="18"/>
                <w:lang w:eastAsia="lv-LV"/>
              </w:rPr>
            </w:pPr>
            <w:r w:rsidRPr="002B5338">
              <w:rPr>
                <w:b/>
                <w:color w:val="000000"/>
                <w:sz w:val="18"/>
                <w:szCs w:val="18"/>
                <w:lang w:eastAsia="lv-LV"/>
              </w:rPr>
              <w:t>Latvija***</w:t>
            </w:r>
          </w:p>
        </w:tc>
        <w:tc>
          <w:tcPr>
            <w:tcW w:w="1589" w:type="dxa"/>
            <w:shd w:val="clear" w:color="auto" w:fill="auto"/>
            <w:noWrap/>
            <w:vAlign w:val="center"/>
            <w:hideMark/>
          </w:tcPr>
          <w:p w:rsidR="00FD36B6" w:rsidRPr="002B5338" w:rsidRDefault="00FD36B6" w:rsidP="00FD36B6">
            <w:pPr>
              <w:spacing w:after="0"/>
              <w:ind w:firstLine="0"/>
              <w:jc w:val="center"/>
              <w:rPr>
                <w:b/>
                <w:bCs/>
                <w:iCs/>
                <w:sz w:val="18"/>
                <w:szCs w:val="18"/>
                <w:lang w:eastAsia="lv-LV"/>
              </w:rPr>
            </w:pPr>
            <w:r w:rsidRPr="002B5338">
              <w:rPr>
                <w:b/>
                <w:bCs/>
                <w:iCs/>
                <w:sz w:val="18"/>
                <w:szCs w:val="18"/>
                <w:lang w:eastAsia="lv-LV"/>
              </w:rPr>
              <w:t>78,00 / 92,00</w:t>
            </w:r>
          </w:p>
        </w:tc>
        <w:tc>
          <w:tcPr>
            <w:tcW w:w="1591" w:type="dxa"/>
            <w:shd w:val="clear" w:color="auto" w:fill="auto"/>
            <w:noWrap/>
            <w:vAlign w:val="center"/>
          </w:tcPr>
          <w:p w:rsidR="00FD36B6" w:rsidRPr="002B5338" w:rsidRDefault="00FD36B6" w:rsidP="00FD36B6">
            <w:pPr>
              <w:spacing w:after="0"/>
              <w:ind w:firstLine="0"/>
              <w:jc w:val="center"/>
              <w:rPr>
                <w:b/>
                <w:bCs/>
                <w:iCs/>
                <w:sz w:val="18"/>
                <w:szCs w:val="18"/>
                <w:lang w:eastAsia="lv-LV"/>
              </w:rPr>
            </w:pPr>
            <w:r w:rsidRPr="002B5338">
              <w:rPr>
                <w:b/>
                <w:bCs/>
                <w:iCs/>
                <w:sz w:val="18"/>
                <w:szCs w:val="18"/>
                <w:lang w:eastAsia="lv-LV"/>
              </w:rPr>
              <w:t>92,00 / 101,00</w:t>
            </w:r>
          </w:p>
        </w:tc>
        <w:tc>
          <w:tcPr>
            <w:tcW w:w="1589" w:type="dxa"/>
            <w:vAlign w:val="center"/>
          </w:tcPr>
          <w:p w:rsidR="00FD36B6" w:rsidRPr="002B5338" w:rsidRDefault="00FD36B6" w:rsidP="00FD36B6">
            <w:pPr>
              <w:spacing w:after="0"/>
              <w:ind w:firstLine="0"/>
              <w:jc w:val="center"/>
              <w:rPr>
                <w:b/>
                <w:bCs/>
                <w:iCs/>
                <w:sz w:val="18"/>
                <w:szCs w:val="18"/>
                <w:lang w:eastAsia="lv-LV"/>
              </w:rPr>
            </w:pPr>
            <w:r w:rsidRPr="002B5338">
              <w:rPr>
                <w:b/>
                <w:bCs/>
                <w:iCs/>
                <w:sz w:val="18"/>
                <w:szCs w:val="18"/>
                <w:lang w:eastAsia="lv-LV"/>
              </w:rPr>
              <w:t>101,00 / 106,00</w:t>
            </w:r>
          </w:p>
        </w:tc>
        <w:tc>
          <w:tcPr>
            <w:tcW w:w="1589" w:type="dxa"/>
          </w:tcPr>
          <w:p w:rsidR="00FD36B6" w:rsidRPr="002B5338" w:rsidRDefault="00FD36B6" w:rsidP="00FD36B6">
            <w:pPr>
              <w:spacing w:after="0"/>
              <w:ind w:firstLine="0"/>
              <w:jc w:val="center"/>
              <w:rPr>
                <w:b/>
                <w:bCs/>
                <w:iCs/>
                <w:sz w:val="18"/>
                <w:szCs w:val="18"/>
                <w:lang w:eastAsia="lv-LV"/>
              </w:rPr>
            </w:pPr>
            <w:r w:rsidRPr="002B5338">
              <w:rPr>
                <w:b/>
                <w:bCs/>
                <w:iCs/>
                <w:sz w:val="18"/>
                <w:szCs w:val="18"/>
                <w:lang w:eastAsia="lv-LV"/>
              </w:rPr>
              <w:t>111,00</w:t>
            </w:r>
          </w:p>
        </w:tc>
      </w:tr>
      <w:tr w:rsidR="00FD36B6" w:rsidRPr="002B5338" w:rsidTr="002B5338">
        <w:trPr>
          <w:trHeight w:val="222"/>
          <w:jc w:val="center"/>
        </w:trPr>
        <w:tc>
          <w:tcPr>
            <w:tcW w:w="2774" w:type="dxa"/>
            <w:shd w:val="clear" w:color="auto" w:fill="auto"/>
            <w:noWrap/>
            <w:vAlign w:val="bottom"/>
            <w:hideMark/>
          </w:tcPr>
          <w:p w:rsidR="00FD36B6" w:rsidRPr="002B5338" w:rsidRDefault="00FD36B6" w:rsidP="00FD36B6">
            <w:pPr>
              <w:spacing w:after="0"/>
              <w:ind w:firstLine="1305"/>
              <w:rPr>
                <w:color w:val="000000"/>
                <w:sz w:val="18"/>
                <w:szCs w:val="18"/>
                <w:lang w:eastAsia="lv-LV"/>
              </w:rPr>
            </w:pPr>
            <w:r w:rsidRPr="002B5338">
              <w:rPr>
                <w:color w:val="000000"/>
                <w:sz w:val="18"/>
                <w:szCs w:val="18"/>
                <w:lang w:eastAsia="lv-LV"/>
              </w:rPr>
              <w:t>Lietuva</w:t>
            </w:r>
          </w:p>
        </w:tc>
        <w:tc>
          <w:tcPr>
            <w:tcW w:w="1589" w:type="dxa"/>
            <w:shd w:val="clear" w:color="auto" w:fill="auto"/>
            <w:noWrap/>
            <w:vAlign w:val="center"/>
            <w:hideMark/>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185,82</w:t>
            </w:r>
          </w:p>
        </w:tc>
        <w:tc>
          <w:tcPr>
            <w:tcW w:w="1591" w:type="dxa"/>
            <w:shd w:val="clear" w:color="auto" w:fill="auto"/>
            <w:noWrap/>
            <w:vAlign w:val="center"/>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185,82</w:t>
            </w:r>
          </w:p>
        </w:tc>
        <w:tc>
          <w:tcPr>
            <w:tcW w:w="1589" w:type="dxa"/>
            <w:vAlign w:val="center"/>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185,82</w:t>
            </w:r>
          </w:p>
        </w:tc>
        <w:tc>
          <w:tcPr>
            <w:tcW w:w="1589" w:type="dxa"/>
            <w:vAlign w:val="center"/>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185,82</w:t>
            </w:r>
          </w:p>
        </w:tc>
      </w:tr>
      <w:tr w:rsidR="00FD36B6" w:rsidRPr="002B5338" w:rsidTr="002B5338">
        <w:trPr>
          <w:trHeight w:val="232"/>
          <w:jc w:val="center"/>
        </w:trPr>
        <w:tc>
          <w:tcPr>
            <w:tcW w:w="2774" w:type="dxa"/>
            <w:shd w:val="clear" w:color="auto" w:fill="auto"/>
            <w:noWrap/>
            <w:vAlign w:val="bottom"/>
            <w:hideMark/>
          </w:tcPr>
          <w:p w:rsidR="00FD36B6" w:rsidRPr="002B5338" w:rsidRDefault="00FD36B6" w:rsidP="00FD36B6">
            <w:pPr>
              <w:spacing w:after="0"/>
              <w:ind w:firstLine="1305"/>
              <w:rPr>
                <w:color w:val="000000"/>
                <w:sz w:val="18"/>
                <w:szCs w:val="18"/>
                <w:lang w:eastAsia="lv-LV"/>
              </w:rPr>
            </w:pPr>
            <w:r w:rsidRPr="002B5338">
              <w:rPr>
                <w:color w:val="000000"/>
                <w:sz w:val="18"/>
                <w:szCs w:val="18"/>
                <w:lang w:eastAsia="lv-LV"/>
              </w:rPr>
              <w:t>Igaunija**</w:t>
            </w:r>
          </w:p>
        </w:tc>
        <w:tc>
          <w:tcPr>
            <w:tcW w:w="1589" w:type="dxa"/>
            <w:shd w:val="clear" w:color="auto" w:fill="auto"/>
            <w:noWrap/>
            <w:vAlign w:val="center"/>
            <w:hideMark/>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263,03 / 289,33</w:t>
            </w:r>
          </w:p>
        </w:tc>
        <w:tc>
          <w:tcPr>
            <w:tcW w:w="1591" w:type="dxa"/>
            <w:shd w:val="clear" w:color="auto" w:fill="auto"/>
            <w:noWrap/>
            <w:vAlign w:val="center"/>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289,33</w:t>
            </w:r>
          </w:p>
        </w:tc>
        <w:tc>
          <w:tcPr>
            <w:tcW w:w="1589" w:type="dxa"/>
            <w:vAlign w:val="center"/>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289,33</w:t>
            </w:r>
          </w:p>
        </w:tc>
        <w:tc>
          <w:tcPr>
            <w:tcW w:w="1589" w:type="dxa"/>
            <w:vAlign w:val="center"/>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289,33</w:t>
            </w:r>
          </w:p>
        </w:tc>
      </w:tr>
      <w:tr w:rsidR="00FD36B6" w:rsidRPr="002B5338" w:rsidTr="002B5338">
        <w:trPr>
          <w:trHeight w:val="232"/>
          <w:jc w:val="center"/>
        </w:trPr>
        <w:tc>
          <w:tcPr>
            <w:tcW w:w="9132" w:type="dxa"/>
            <w:gridSpan w:val="5"/>
            <w:shd w:val="clear" w:color="auto" w:fill="F2F2F2" w:themeFill="background1" w:themeFillShade="F2"/>
            <w:noWrap/>
            <w:vAlign w:val="center"/>
            <w:hideMark/>
          </w:tcPr>
          <w:p w:rsidR="00FD36B6" w:rsidRPr="002B5338" w:rsidRDefault="00FD36B6" w:rsidP="00FD36B6">
            <w:pPr>
              <w:spacing w:after="0"/>
              <w:ind w:firstLine="0"/>
              <w:jc w:val="left"/>
              <w:rPr>
                <w:b/>
                <w:color w:val="000000"/>
                <w:sz w:val="18"/>
                <w:szCs w:val="18"/>
                <w:lang w:eastAsia="lv-LV"/>
              </w:rPr>
            </w:pPr>
            <w:r w:rsidRPr="002B5338">
              <w:rPr>
                <w:b/>
                <w:color w:val="000000"/>
                <w:sz w:val="18"/>
                <w:szCs w:val="18"/>
                <w:lang w:eastAsia="lv-LV"/>
              </w:rPr>
              <w:t>Starpprodukti ar absolūtā spirta saturu no 15 tilpumprocentiem līdz 22 tilpumprocentiem,</w:t>
            </w:r>
            <w:r w:rsidRPr="002B5338">
              <w:rPr>
                <w:color w:val="000000"/>
                <w:sz w:val="18"/>
                <w:szCs w:val="18"/>
                <w:lang w:eastAsia="lv-LV"/>
              </w:rPr>
              <w:t xml:space="preserve"> </w:t>
            </w:r>
            <w:proofErr w:type="spellStart"/>
            <w:r w:rsidRPr="002B5338">
              <w:rPr>
                <w:i/>
                <w:color w:val="000000"/>
                <w:sz w:val="18"/>
                <w:szCs w:val="18"/>
                <w:lang w:eastAsia="lv-LV"/>
              </w:rPr>
              <w:t>euro</w:t>
            </w:r>
            <w:proofErr w:type="spellEnd"/>
            <w:r w:rsidRPr="002B5338">
              <w:rPr>
                <w:color w:val="000000"/>
                <w:sz w:val="18"/>
                <w:szCs w:val="18"/>
                <w:lang w:eastAsia="lv-LV"/>
              </w:rPr>
              <w:t>/100 l</w:t>
            </w:r>
          </w:p>
        </w:tc>
      </w:tr>
      <w:tr w:rsidR="00FD36B6" w:rsidRPr="002B5338" w:rsidTr="002B5338">
        <w:trPr>
          <w:trHeight w:val="222"/>
          <w:jc w:val="center"/>
        </w:trPr>
        <w:tc>
          <w:tcPr>
            <w:tcW w:w="2774" w:type="dxa"/>
            <w:shd w:val="clear" w:color="auto" w:fill="auto"/>
            <w:noWrap/>
            <w:hideMark/>
          </w:tcPr>
          <w:p w:rsidR="00FD36B6" w:rsidRPr="002B5338" w:rsidRDefault="00FD36B6" w:rsidP="00FD36B6">
            <w:pPr>
              <w:spacing w:after="0"/>
              <w:ind w:firstLine="1305"/>
              <w:rPr>
                <w:b/>
                <w:color w:val="000000"/>
                <w:sz w:val="18"/>
                <w:szCs w:val="18"/>
                <w:lang w:eastAsia="lv-LV"/>
              </w:rPr>
            </w:pPr>
            <w:r w:rsidRPr="002B5338">
              <w:rPr>
                <w:b/>
                <w:color w:val="000000"/>
                <w:sz w:val="18"/>
                <w:szCs w:val="18"/>
                <w:lang w:eastAsia="lv-LV"/>
              </w:rPr>
              <w:t>Latvija***</w:t>
            </w:r>
          </w:p>
        </w:tc>
        <w:tc>
          <w:tcPr>
            <w:tcW w:w="1589" w:type="dxa"/>
            <w:shd w:val="clear" w:color="auto" w:fill="auto"/>
            <w:noWrap/>
            <w:vAlign w:val="center"/>
            <w:hideMark/>
          </w:tcPr>
          <w:p w:rsidR="00FD36B6" w:rsidRPr="002B5338" w:rsidRDefault="00FD36B6" w:rsidP="00FD36B6">
            <w:pPr>
              <w:spacing w:after="0"/>
              <w:ind w:firstLine="0"/>
              <w:jc w:val="center"/>
              <w:rPr>
                <w:b/>
                <w:bCs/>
                <w:iCs/>
                <w:sz w:val="18"/>
                <w:szCs w:val="18"/>
                <w:lang w:eastAsia="lv-LV"/>
              </w:rPr>
            </w:pPr>
            <w:r w:rsidRPr="002B5338">
              <w:rPr>
                <w:b/>
                <w:bCs/>
                <w:iCs/>
                <w:sz w:val="18"/>
                <w:szCs w:val="18"/>
                <w:lang w:eastAsia="lv-LV"/>
              </w:rPr>
              <w:t>130,00 / 150,00</w:t>
            </w:r>
          </w:p>
        </w:tc>
        <w:tc>
          <w:tcPr>
            <w:tcW w:w="1591" w:type="dxa"/>
            <w:shd w:val="clear" w:color="auto" w:fill="auto"/>
            <w:noWrap/>
            <w:vAlign w:val="center"/>
          </w:tcPr>
          <w:p w:rsidR="00FD36B6" w:rsidRPr="002B5338" w:rsidRDefault="00FD36B6" w:rsidP="00FD36B6">
            <w:pPr>
              <w:spacing w:after="0"/>
              <w:ind w:firstLine="0"/>
              <w:jc w:val="center"/>
              <w:rPr>
                <w:b/>
                <w:bCs/>
                <w:iCs/>
                <w:sz w:val="18"/>
                <w:szCs w:val="18"/>
                <w:lang w:eastAsia="lv-LV"/>
              </w:rPr>
            </w:pPr>
            <w:r w:rsidRPr="002B5338">
              <w:rPr>
                <w:b/>
                <w:bCs/>
                <w:iCs/>
                <w:sz w:val="18"/>
                <w:szCs w:val="18"/>
                <w:lang w:eastAsia="lv-LV"/>
              </w:rPr>
              <w:t>150,00 / 168,00</w:t>
            </w:r>
          </w:p>
        </w:tc>
        <w:tc>
          <w:tcPr>
            <w:tcW w:w="1589" w:type="dxa"/>
            <w:vAlign w:val="center"/>
          </w:tcPr>
          <w:p w:rsidR="00FD36B6" w:rsidRPr="002B5338" w:rsidRDefault="00FD36B6" w:rsidP="00FD36B6">
            <w:pPr>
              <w:spacing w:after="0"/>
              <w:ind w:firstLine="0"/>
              <w:jc w:val="center"/>
              <w:rPr>
                <w:b/>
                <w:bCs/>
                <w:iCs/>
                <w:sz w:val="18"/>
                <w:szCs w:val="18"/>
                <w:lang w:eastAsia="lv-LV"/>
              </w:rPr>
            </w:pPr>
            <w:r w:rsidRPr="002B5338">
              <w:rPr>
                <w:b/>
                <w:bCs/>
                <w:iCs/>
                <w:sz w:val="18"/>
                <w:szCs w:val="18"/>
                <w:lang w:eastAsia="lv-LV"/>
              </w:rPr>
              <w:t>168,00 / 176,00</w:t>
            </w:r>
          </w:p>
        </w:tc>
        <w:tc>
          <w:tcPr>
            <w:tcW w:w="1589" w:type="dxa"/>
          </w:tcPr>
          <w:p w:rsidR="00FD36B6" w:rsidRPr="002B5338" w:rsidRDefault="00FD36B6" w:rsidP="00FD36B6">
            <w:pPr>
              <w:spacing w:after="0"/>
              <w:ind w:firstLine="0"/>
              <w:jc w:val="center"/>
              <w:rPr>
                <w:b/>
                <w:bCs/>
                <w:iCs/>
                <w:sz w:val="18"/>
                <w:szCs w:val="18"/>
                <w:lang w:eastAsia="lv-LV"/>
              </w:rPr>
            </w:pPr>
            <w:r w:rsidRPr="002B5338">
              <w:rPr>
                <w:b/>
                <w:bCs/>
                <w:iCs/>
                <w:sz w:val="18"/>
                <w:szCs w:val="18"/>
                <w:lang w:eastAsia="lv-LV"/>
              </w:rPr>
              <w:t>185,00</w:t>
            </w:r>
          </w:p>
        </w:tc>
      </w:tr>
      <w:tr w:rsidR="00FD36B6" w:rsidRPr="002B5338" w:rsidTr="002B5338">
        <w:trPr>
          <w:trHeight w:val="222"/>
          <w:jc w:val="center"/>
        </w:trPr>
        <w:tc>
          <w:tcPr>
            <w:tcW w:w="2774" w:type="dxa"/>
            <w:shd w:val="clear" w:color="auto" w:fill="auto"/>
            <w:noWrap/>
            <w:vAlign w:val="bottom"/>
            <w:hideMark/>
          </w:tcPr>
          <w:p w:rsidR="00FD36B6" w:rsidRPr="002B5338" w:rsidRDefault="00FD36B6" w:rsidP="00FD36B6">
            <w:pPr>
              <w:spacing w:after="0"/>
              <w:ind w:firstLine="1305"/>
              <w:rPr>
                <w:color w:val="000000"/>
                <w:sz w:val="18"/>
                <w:szCs w:val="18"/>
                <w:lang w:eastAsia="lv-LV"/>
              </w:rPr>
            </w:pPr>
            <w:r w:rsidRPr="002B5338">
              <w:rPr>
                <w:color w:val="000000"/>
                <w:sz w:val="18"/>
                <w:szCs w:val="18"/>
                <w:lang w:eastAsia="lv-LV"/>
              </w:rPr>
              <w:t>Lietuva</w:t>
            </w:r>
          </w:p>
        </w:tc>
        <w:tc>
          <w:tcPr>
            <w:tcW w:w="1589" w:type="dxa"/>
            <w:shd w:val="clear" w:color="auto" w:fill="auto"/>
            <w:noWrap/>
            <w:vAlign w:val="center"/>
            <w:hideMark/>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264,52</w:t>
            </w:r>
          </w:p>
        </w:tc>
        <w:tc>
          <w:tcPr>
            <w:tcW w:w="1591" w:type="dxa"/>
            <w:shd w:val="clear" w:color="auto" w:fill="auto"/>
            <w:noWrap/>
            <w:vAlign w:val="center"/>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264,52</w:t>
            </w:r>
          </w:p>
        </w:tc>
        <w:tc>
          <w:tcPr>
            <w:tcW w:w="1589" w:type="dxa"/>
            <w:vAlign w:val="center"/>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264,52</w:t>
            </w:r>
          </w:p>
        </w:tc>
        <w:tc>
          <w:tcPr>
            <w:tcW w:w="1589" w:type="dxa"/>
            <w:vAlign w:val="center"/>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264,52</w:t>
            </w:r>
          </w:p>
        </w:tc>
      </w:tr>
      <w:tr w:rsidR="00FD36B6" w:rsidRPr="002B5338" w:rsidTr="002B5338">
        <w:trPr>
          <w:trHeight w:val="232"/>
          <w:jc w:val="center"/>
        </w:trPr>
        <w:tc>
          <w:tcPr>
            <w:tcW w:w="2774" w:type="dxa"/>
            <w:shd w:val="clear" w:color="auto" w:fill="auto"/>
            <w:noWrap/>
            <w:vAlign w:val="bottom"/>
            <w:hideMark/>
          </w:tcPr>
          <w:p w:rsidR="00FD36B6" w:rsidRPr="002B5338" w:rsidRDefault="00FD36B6" w:rsidP="00FD36B6">
            <w:pPr>
              <w:spacing w:after="0"/>
              <w:ind w:firstLine="1305"/>
              <w:rPr>
                <w:color w:val="000000"/>
                <w:sz w:val="18"/>
                <w:szCs w:val="18"/>
                <w:lang w:eastAsia="lv-LV"/>
              </w:rPr>
            </w:pPr>
            <w:r w:rsidRPr="002B5338">
              <w:rPr>
                <w:color w:val="000000"/>
                <w:sz w:val="18"/>
                <w:szCs w:val="18"/>
                <w:lang w:eastAsia="lv-LV"/>
              </w:rPr>
              <w:t>Igaunija**</w:t>
            </w:r>
          </w:p>
        </w:tc>
        <w:tc>
          <w:tcPr>
            <w:tcW w:w="1589" w:type="dxa"/>
            <w:shd w:val="clear" w:color="auto" w:fill="auto"/>
            <w:noWrap/>
            <w:vAlign w:val="center"/>
            <w:hideMark/>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263,03 / 289,33</w:t>
            </w:r>
          </w:p>
        </w:tc>
        <w:tc>
          <w:tcPr>
            <w:tcW w:w="1591" w:type="dxa"/>
            <w:shd w:val="clear" w:color="auto" w:fill="auto"/>
            <w:noWrap/>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289,33</w:t>
            </w:r>
          </w:p>
        </w:tc>
        <w:tc>
          <w:tcPr>
            <w:tcW w:w="1589" w:type="dxa"/>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289,33</w:t>
            </w:r>
          </w:p>
        </w:tc>
        <w:tc>
          <w:tcPr>
            <w:tcW w:w="1589" w:type="dxa"/>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289,33</w:t>
            </w:r>
          </w:p>
        </w:tc>
      </w:tr>
      <w:tr w:rsidR="00FD36B6" w:rsidRPr="002B5338" w:rsidTr="002B5338">
        <w:trPr>
          <w:trHeight w:val="232"/>
          <w:jc w:val="center"/>
        </w:trPr>
        <w:tc>
          <w:tcPr>
            <w:tcW w:w="5954" w:type="dxa"/>
            <w:gridSpan w:val="3"/>
            <w:shd w:val="clear" w:color="auto" w:fill="F2F2F2" w:themeFill="background1" w:themeFillShade="F2"/>
            <w:noWrap/>
            <w:vAlign w:val="center"/>
            <w:hideMark/>
          </w:tcPr>
          <w:p w:rsidR="00FD36B6" w:rsidRPr="002B5338" w:rsidRDefault="00FD36B6" w:rsidP="00FD36B6">
            <w:pPr>
              <w:spacing w:after="0"/>
              <w:ind w:firstLine="0"/>
              <w:jc w:val="left"/>
              <w:rPr>
                <w:b/>
                <w:bCs/>
                <w:sz w:val="18"/>
                <w:szCs w:val="18"/>
                <w:lang w:eastAsia="lv-LV"/>
              </w:rPr>
            </w:pPr>
            <w:r w:rsidRPr="002B5338">
              <w:rPr>
                <w:b/>
                <w:color w:val="000000"/>
                <w:sz w:val="18"/>
                <w:szCs w:val="18"/>
                <w:lang w:eastAsia="lv-LV"/>
              </w:rPr>
              <w:t>Pārējie alkoholiskie dzērieni</w:t>
            </w:r>
            <w:r w:rsidRPr="002B5338">
              <w:rPr>
                <w:color w:val="000000"/>
                <w:sz w:val="18"/>
                <w:szCs w:val="18"/>
                <w:lang w:eastAsia="lv-LV"/>
              </w:rPr>
              <w:t xml:space="preserve">, </w:t>
            </w:r>
            <w:proofErr w:type="spellStart"/>
            <w:r w:rsidRPr="002B5338">
              <w:rPr>
                <w:i/>
                <w:color w:val="000000"/>
                <w:sz w:val="18"/>
                <w:szCs w:val="18"/>
                <w:lang w:eastAsia="lv-LV"/>
              </w:rPr>
              <w:t>euro</w:t>
            </w:r>
            <w:proofErr w:type="spellEnd"/>
            <w:r w:rsidRPr="002B5338">
              <w:rPr>
                <w:color w:val="000000"/>
                <w:sz w:val="18"/>
                <w:szCs w:val="18"/>
                <w:lang w:eastAsia="lv-LV"/>
              </w:rPr>
              <w:t xml:space="preserve"> par 100 l absolūtā spirta</w:t>
            </w:r>
          </w:p>
        </w:tc>
        <w:tc>
          <w:tcPr>
            <w:tcW w:w="1589" w:type="dxa"/>
            <w:shd w:val="clear" w:color="auto" w:fill="F2F2F2" w:themeFill="background1" w:themeFillShade="F2"/>
          </w:tcPr>
          <w:p w:rsidR="00FD36B6" w:rsidRPr="002B5338" w:rsidRDefault="00FD36B6" w:rsidP="00FD36B6">
            <w:pPr>
              <w:spacing w:after="0"/>
              <w:ind w:firstLine="0"/>
              <w:jc w:val="left"/>
              <w:rPr>
                <w:b/>
                <w:color w:val="000000"/>
                <w:sz w:val="18"/>
                <w:szCs w:val="18"/>
                <w:lang w:eastAsia="lv-LV"/>
              </w:rPr>
            </w:pPr>
          </w:p>
        </w:tc>
        <w:tc>
          <w:tcPr>
            <w:tcW w:w="1589" w:type="dxa"/>
            <w:shd w:val="clear" w:color="auto" w:fill="F2F2F2" w:themeFill="background1" w:themeFillShade="F2"/>
          </w:tcPr>
          <w:p w:rsidR="00FD36B6" w:rsidRPr="002B5338" w:rsidRDefault="00FD36B6" w:rsidP="00FD36B6">
            <w:pPr>
              <w:spacing w:after="0"/>
              <w:ind w:firstLine="0"/>
              <w:jc w:val="left"/>
              <w:rPr>
                <w:b/>
                <w:color w:val="000000"/>
                <w:sz w:val="18"/>
                <w:szCs w:val="18"/>
                <w:lang w:eastAsia="lv-LV"/>
              </w:rPr>
            </w:pPr>
          </w:p>
        </w:tc>
      </w:tr>
      <w:tr w:rsidR="00FD36B6" w:rsidRPr="002B5338" w:rsidTr="002B5338">
        <w:trPr>
          <w:trHeight w:val="232"/>
          <w:jc w:val="center"/>
        </w:trPr>
        <w:tc>
          <w:tcPr>
            <w:tcW w:w="2774" w:type="dxa"/>
            <w:shd w:val="clear" w:color="auto" w:fill="auto"/>
            <w:noWrap/>
            <w:vAlign w:val="center"/>
            <w:hideMark/>
          </w:tcPr>
          <w:p w:rsidR="00FD36B6" w:rsidRPr="002B5338" w:rsidRDefault="00FD36B6" w:rsidP="00FD36B6">
            <w:pPr>
              <w:spacing w:after="0"/>
              <w:ind w:firstLine="1305"/>
              <w:jc w:val="left"/>
              <w:rPr>
                <w:b/>
                <w:color w:val="000000"/>
                <w:sz w:val="18"/>
                <w:szCs w:val="18"/>
                <w:lang w:eastAsia="lv-LV"/>
              </w:rPr>
            </w:pPr>
            <w:r w:rsidRPr="002B5338">
              <w:rPr>
                <w:b/>
                <w:color w:val="000000"/>
                <w:sz w:val="18"/>
                <w:szCs w:val="18"/>
                <w:lang w:eastAsia="lv-LV"/>
              </w:rPr>
              <w:t>Latvija***</w:t>
            </w:r>
          </w:p>
        </w:tc>
        <w:tc>
          <w:tcPr>
            <w:tcW w:w="1589" w:type="dxa"/>
            <w:shd w:val="clear" w:color="auto" w:fill="auto"/>
            <w:noWrap/>
            <w:vAlign w:val="center"/>
            <w:hideMark/>
          </w:tcPr>
          <w:p w:rsidR="00FD36B6" w:rsidRPr="002B5338" w:rsidRDefault="00FD36B6" w:rsidP="00FD36B6">
            <w:pPr>
              <w:spacing w:after="0"/>
              <w:ind w:firstLine="0"/>
              <w:jc w:val="center"/>
              <w:rPr>
                <w:b/>
                <w:bCs/>
                <w:iCs/>
                <w:sz w:val="18"/>
                <w:szCs w:val="18"/>
                <w:lang w:eastAsia="lv-LV"/>
              </w:rPr>
            </w:pPr>
            <w:r w:rsidRPr="002B5338">
              <w:rPr>
                <w:b/>
                <w:bCs/>
                <w:iCs/>
                <w:sz w:val="18"/>
                <w:szCs w:val="18"/>
                <w:lang w:eastAsia="lv-LV"/>
              </w:rPr>
              <w:t>1 450,00 / 1 670,00</w:t>
            </w:r>
          </w:p>
        </w:tc>
        <w:tc>
          <w:tcPr>
            <w:tcW w:w="1591" w:type="dxa"/>
            <w:shd w:val="clear" w:color="auto" w:fill="auto"/>
            <w:noWrap/>
            <w:vAlign w:val="center"/>
          </w:tcPr>
          <w:p w:rsidR="00FD36B6" w:rsidRPr="002B5338" w:rsidRDefault="00FD36B6" w:rsidP="00FD36B6">
            <w:pPr>
              <w:spacing w:after="0"/>
              <w:ind w:firstLine="0"/>
              <w:jc w:val="center"/>
              <w:rPr>
                <w:b/>
                <w:bCs/>
                <w:iCs/>
                <w:sz w:val="18"/>
                <w:szCs w:val="18"/>
                <w:lang w:eastAsia="lv-LV"/>
              </w:rPr>
            </w:pPr>
            <w:r w:rsidRPr="002B5338">
              <w:rPr>
                <w:b/>
                <w:bCs/>
                <w:iCs/>
                <w:sz w:val="18"/>
                <w:szCs w:val="18"/>
                <w:lang w:eastAsia="lv-LV"/>
              </w:rPr>
              <w:t>1 670,00 / 1 840,00/ 1 564,00</w:t>
            </w:r>
          </w:p>
        </w:tc>
        <w:tc>
          <w:tcPr>
            <w:tcW w:w="1589" w:type="dxa"/>
            <w:vAlign w:val="center"/>
          </w:tcPr>
          <w:p w:rsidR="00FD36B6" w:rsidRPr="002B5338" w:rsidRDefault="00FD36B6" w:rsidP="00FD36B6">
            <w:pPr>
              <w:spacing w:after="0"/>
              <w:ind w:firstLine="0"/>
              <w:jc w:val="center"/>
              <w:rPr>
                <w:b/>
                <w:bCs/>
                <w:iCs/>
                <w:sz w:val="18"/>
                <w:szCs w:val="18"/>
                <w:lang w:eastAsia="lv-LV"/>
              </w:rPr>
            </w:pPr>
            <w:r w:rsidRPr="002B5338">
              <w:rPr>
                <w:b/>
                <w:bCs/>
                <w:iCs/>
                <w:sz w:val="18"/>
                <w:szCs w:val="18"/>
                <w:lang w:eastAsia="lv-LV"/>
              </w:rPr>
              <w:t>1 564,00 / 1 642,00</w:t>
            </w:r>
          </w:p>
        </w:tc>
        <w:tc>
          <w:tcPr>
            <w:tcW w:w="1589" w:type="dxa"/>
            <w:vAlign w:val="center"/>
          </w:tcPr>
          <w:p w:rsidR="00FD36B6" w:rsidRPr="002B5338" w:rsidRDefault="00FD36B6" w:rsidP="00FD36B6">
            <w:pPr>
              <w:spacing w:after="0"/>
              <w:ind w:firstLine="0"/>
              <w:jc w:val="center"/>
              <w:rPr>
                <w:b/>
                <w:bCs/>
                <w:iCs/>
                <w:sz w:val="18"/>
                <w:szCs w:val="18"/>
                <w:lang w:eastAsia="lv-LV"/>
              </w:rPr>
            </w:pPr>
            <w:r w:rsidRPr="002B5338">
              <w:rPr>
                <w:b/>
                <w:bCs/>
                <w:iCs/>
                <w:sz w:val="18"/>
                <w:szCs w:val="18"/>
                <w:lang w:eastAsia="lv-LV"/>
              </w:rPr>
              <w:t>1 724,00</w:t>
            </w:r>
          </w:p>
        </w:tc>
      </w:tr>
      <w:tr w:rsidR="00FD36B6" w:rsidRPr="002B5338" w:rsidTr="002B5338">
        <w:trPr>
          <w:trHeight w:val="232"/>
          <w:jc w:val="center"/>
        </w:trPr>
        <w:tc>
          <w:tcPr>
            <w:tcW w:w="2774" w:type="dxa"/>
            <w:shd w:val="clear" w:color="auto" w:fill="auto"/>
            <w:noWrap/>
            <w:vAlign w:val="center"/>
            <w:hideMark/>
          </w:tcPr>
          <w:p w:rsidR="00FD36B6" w:rsidRPr="002B5338" w:rsidRDefault="00FD36B6" w:rsidP="00FD36B6">
            <w:pPr>
              <w:spacing w:after="0"/>
              <w:ind w:firstLine="1305"/>
              <w:jc w:val="left"/>
              <w:rPr>
                <w:color w:val="000000"/>
                <w:sz w:val="18"/>
                <w:szCs w:val="18"/>
                <w:lang w:eastAsia="lv-LV"/>
              </w:rPr>
            </w:pPr>
            <w:r w:rsidRPr="002B5338">
              <w:rPr>
                <w:color w:val="000000"/>
                <w:sz w:val="18"/>
                <w:szCs w:val="18"/>
                <w:lang w:eastAsia="lv-LV"/>
              </w:rPr>
              <w:t>Lietuva*</w:t>
            </w:r>
          </w:p>
        </w:tc>
        <w:tc>
          <w:tcPr>
            <w:tcW w:w="1589" w:type="dxa"/>
            <w:shd w:val="clear" w:color="auto" w:fill="auto"/>
            <w:noWrap/>
            <w:vAlign w:val="center"/>
            <w:hideMark/>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1 665,04</w:t>
            </w:r>
          </w:p>
        </w:tc>
        <w:tc>
          <w:tcPr>
            <w:tcW w:w="1591" w:type="dxa"/>
            <w:shd w:val="clear" w:color="auto" w:fill="auto"/>
            <w:noWrap/>
            <w:vAlign w:val="center"/>
          </w:tcPr>
          <w:p w:rsidR="00FD36B6" w:rsidRPr="002B5338" w:rsidRDefault="00FD425F" w:rsidP="00FD425F">
            <w:pPr>
              <w:spacing w:after="0"/>
              <w:ind w:firstLine="0"/>
              <w:jc w:val="center"/>
              <w:rPr>
                <w:color w:val="000000"/>
                <w:sz w:val="18"/>
                <w:szCs w:val="18"/>
                <w:lang w:eastAsia="lv-LV"/>
              </w:rPr>
            </w:pPr>
            <w:r w:rsidRPr="00FD425F">
              <w:rPr>
                <w:color w:val="000000"/>
                <w:sz w:val="18"/>
                <w:szCs w:val="18"/>
                <w:lang w:eastAsia="lv-LV"/>
              </w:rPr>
              <w:t xml:space="preserve">1 665,04/ </w:t>
            </w:r>
            <w:r w:rsidR="00FD36B6" w:rsidRPr="002B5338">
              <w:rPr>
                <w:color w:val="000000"/>
                <w:sz w:val="18"/>
                <w:szCs w:val="18"/>
                <w:lang w:eastAsia="lv-LV"/>
              </w:rPr>
              <w:t xml:space="preserve"> 1 832,00</w:t>
            </w:r>
          </w:p>
        </w:tc>
        <w:tc>
          <w:tcPr>
            <w:tcW w:w="1589" w:type="dxa"/>
            <w:vAlign w:val="center"/>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1 832,00</w:t>
            </w:r>
          </w:p>
        </w:tc>
        <w:tc>
          <w:tcPr>
            <w:tcW w:w="1589" w:type="dxa"/>
            <w:vAlign w:val="center"/>
          </w:tcPr>
          <w:p w:rsidR="00FD36B6" w:rsidRPr="002B5338" w:rsidRDefault="00FD36B6" w:rsidP="00FD36B6">
            <w:pPr>
              <w:spacing w:after="0"/>
              <w:ind w:firstLine="0"/>
              <w:jc w:val="center"/>
              <w:rPr>
                <w:color w:val="000000"/>
                <w:sz w:val="18"/>
                <w:szCs w:val="18"/>
                <w:lang w:eastAsia="lv-LV"/>
              </w:rPr>
            </w:pPr>
            <w:r w:rsidRPr="002B5338">
              <w:rPr>
                <w:color w:val="000000"/>
                <w:sz w:val="18"/>
                <w:szCs w:val="18"/>
                <w:lang w:eastAsia="lv-LV"/>
              </w:rPr>
              <w:t>1 832,00</w:t>
            </w:r>
          </w:p>
        </w:tc>
      </w:tr>
      <w:tr w:rsidR="00FD36B6" w:rsidRPr="002B5338" w:rsidTr="002B5338">
        <w:trPr>
          <w:trHeight w:val="232"/>
          <w:jc w:val="center"/>
        </w:trPr>
        <w:tc>
          <w:tcPr>
            <w:tcW w:w="2774" w:type="dxa"/>
            <w:shd w:val="clear" w:color="auto" w:fill="auto"/>
            <w:noWrap/>
            <w:vAlign w:val="center"/>
            <w:hideMark/>
          </w:tcPr>
          <w:p w:rsidR="00FD36B6" w:rsidRPr="002B5338" w:rsidRDefault="00FD36B6" w:rsidP="00FD36B6">
            <w:pPr>
              <w:spacing w:after="0"/>
              <w:ind w:firstLine="1305"/>
              <w:jc w:val="left"/>
              <w:rPr>
                <w:sz w:val="18"/>
                <w:szCs w:val="18"/>
                <w:lang w:eastAsia="lv-LV"/>
              </w:rPr>
            </w:pPr>
            <w:r w:rsidRPr="002B5338">
              <w:rPr>
                <w:sz w:val="18"/>
                <w:szCs w:val="18"/>
                <w:lang w:eastAsia="lv-LV"/>
              </w:rPr>
              <w:t>Igaunija**</w:t>
            </w:r>
          </w:p>
        </w:tc>
        <w:tc>
          <w:tcPr>
            <w:tcW w:w="1589" w:type="dxa"/>
            <w:shd w:val="clear" w:color="auto" w:fill="auto"/>
            <w:noWrap/>
            <w:vAlign w:val="center"/>
            <w:hideMark/>
          </w:tcPr>
          <w:p w:rsidR="00FD36B6" w:rsidRPr="002B5338" w:rsidRDefault="00FD36B6" w:rsidP="00FD36B6">
            <w:pPr>
              <w:spacing w:after="0"/>
              <w:ind w:firstLine="0"/>
              <w:jc w:val="center"/>
              <w:rPr>
                <w:sz w:val="18"/>
                <w:szCs w:val="18"/>
                <w:lang w:eastAsia="lv-LV"/>
              </w:rPr>
            </w:pPr>
            <w:r w:rsidRPr="002B5338">
              <w:rPr>
                <w:sz w:val="18"/>
                <w:szCs w:val="18"/>
                <w:lang w:eastAsia="lv-LV"/>
              </w:rPr>
              <w:t>2 389,00 / 2 508,00</w:t>
            </w:r>
          </w:p>
        </w:tc>
        <w:tc>
          <w:tcPr>
            <w:tcW w:w="1591" w:type="dxa"/>
            <w:shd w:val="clear" w:color="auto" w:fill="auto"/>
            <w:noWrap/>
            <w:vAlign w:val="center"/>
          </w:tcPr>
          <w:p w:rsidR="00FD36B6" w:rsidRPr="002B5338" w:rsidRDefault="00FD36B6" w:rsidP="00FD36B6">
            <w:pPr>
              <w:spacing w:after="0"/>
              <w:ind w:firstLine="0"/>
              <w:jc w:val="center"/>
              <w:rPr>
                <w:sz w:val="18"/>
                <w:szCs w:val="18"/>
                <w:lang w:eastAsia="lv-LV"/>
              </w:rPr>
            </w:pPr>
            <w:r w:rsidRPr="002B5338">
              <w:rPr>
                <w:sz w:val="18"/>
                <w:szCs w:val="18"/>
                <w:lang w:eastAsia="lv-LV"/>
              </w:rPr>
              <w:t>2 508,00/ 1 881,00</w:t>
            </w:r>
          </w:p>
        </w:tc>
        <w:tc>
          <w:tcPr>
            <w:tcW w:w="1589" w:type="dxa"/>
            <w:vAlign w:val="center"/>
          </w:tcPr>
          <w:p w:rsidR="00FD36B6" w:rsidRPr="002B5338" w:rsidRDefault="00FD36B6" w:rsidP="00FD36B6">
            <w:pPr>
              <w:spacing w:after="0"/>
              <w:ind w:firstLine="0"/>
              <w:jc w:val="center"/>
              <w:rPr>
                <w:sz w:val="18"/>
                <w:szCs w:val="18"/>
                <w:lang w:eastAsia="lv-LV"/>
              </w:rPr>
            </w:pPr>
            <w:r w:rsidRPr="002B5338">
              <w:rPr>
                <w:sz w:val="18"/>
                <w:szCs w:val="18"/>
                <w:lang w:eastAsia="lv-LV"/>
              </w:rPr>
              <w:t>1 881,00</w:t>
            </w:r>
          </w:p>
        </w:tc>
        <w:tc>
          <w:tcPr>
            <w:tcW w:w="1589" w:type="dxa"/>
            <w:vAlign w:val="center"/>
          </w:tcPr>
          <w:p w:rsidR="00FD36B6" w:rsidRPr="002B5338" w:rsidRDefault="00FD36B6" w:rsidP="00FD36B6">
            <w:pPr>
              <w:spacing w:after="0"/>
              <w:ind w:firstLine="0"/>
              <w:jc w:val="center"/>
              <w:rPr>
                <w:sz w:val="18"/>
                <w:szCs w:val="18"/>
                <w:lang w:eastAsia="lv-LV"/>
              </w:rPr>
            </w:pPr>
            <w:r w:rsidRPr="002B5338">
              <w:rPr>
                <w:sz w:val="18"/>
                <w:szCs w:val="18"/>
                <w:lang w:eastAsia="lv-LV"/>
              </w:rPr>
              <w:t>1 881,00</w:t>
            </w:r>
          </w:p>
        </w:tc>
      </w:tr>
    </w:tbl>
    <w:p w:rsidR="00FD36B6" w:rsidRPr="00DA22F5" w:rsidRDefault="00FD36B6" w:rsidP="00FD36B6">
      <w:pPr>
        <w:spacing w:after="0"/>
        <w:ind w:firstLine="0"/>
        <w:rPr>
          <w:i/>
          <w:sz w:val="20"/>
          <w:szCs w:val="24"/>
        </w:rPr>
      </w:pPr>
      <w:r w:rsidRPr="00DA22F5">
        <w:rPr>
          <w:i/>
          <w:sz w:val="20"/>
          <w:szCs w:val="24"/>
        </w:rPr>
        <w:t>* Lietuvā samazinātā likme tiek piemērota raudzētajiem dzērieniem un vīnam ar spirta saturu zem 8 tilpumprocentiem. Pārējiem alkoholiskajiem dzērieniem likme paaugstināta ar 01.03.2019.</w:t>
      </w:r>
    </w:p>
    <w:p w:rsidR="00FD36B6" w:rsidRPr="00DA22F5" w:rsidRDefault="00FD36B6" w:rsidP="00FD36B6">
      <w:pPr>
        <w:spacing w:after="0"/>
        <w:ind w:firstLine="0"/>
        <w:rPr>
          <w:i/>
          <w:sz w:val="20"/>
          <w:szCs w:val="24"/>
        </w:rPr>
      </w:pPr>
      <w:r w:rsidRPr="00DA22F5">
        <w:rPr>
          <w:i/>
          <w:sz w:val="20"/>
          <w:szCs w:val="24"/>
        </w:rPr>
        <w:t>** 2018.</w:t>
      </w:r>
      <w:r w:rsidR="002B5338">
        <w:rPr>
          <w:i/>
          <w:sz w:val="20"/>
          <w:szCs w:val="24"/>
        </w:rPr>
        <w:t xml:space="preserve"> </w:t>
      </w:r>
      <w:r w:rsidRPr="00DA22F5">
        <w:rPr>
          <w:i/>
          <w:sz w:val="20"/>
          <w:szCs w:val="24"/>
        </w:rPr>
        <w:t>gadā likmes Igaunijā paaugstinātas ar 01.02.2018.  2019.</w:t>
      </w:r>
      <w:r w:rsidR="002B5338">
        <w:rPr>
          <w:i/>
          <w:sz w:val="20"/>
          <w:szCs w:val="24"/>
        </w:rPr>
        <w:t xml:space="preserve"> </w:t>
      </w:r>
      <w:r w:rsidRPr="00DA22F5">
        <w:rPr>
          <w:i/>
          <w:sz w:val="20"/>
          <w:szCs w:val="24"/>
        </w:rPr>
        <w:t>gadā likmes raudzētajiem dzērieniem un vīnam ar absolūtā spirta saturu zem 6 tilpumprocentiem un pārējiem alkoholiskajiem dzērieniem samazinātas ar 01.07.2019.</w:t>
      </w:r>
    </w:p>
    <w:p w:rsidR="00FD36B6" w:rsidRPr="00DA22F5" w:rsidRDefault="00FD36B6" w:rsidP="00FD36B6">
      <w:pPr>
        <w:ind w:firstLine="0"/>
        <w:rPr>
          <w:i/>
          <w:sz w:val="20"/>
          <w:szCs w:val="24"/>
        </w:rPr>
      </w:pPr>
      <w:r w:rsidRPr="00DA22F5">
        <w:rPr>
          <w:i/>
          <w:sz w:val="20"/>
          <w:szCs w:val="24"/>
        </w:rPr>
        <w:t>*** Latvijā likmes paaugstinātas ar katra gada 1.</w:t>
      </w:r>
      <w:r w:rsidR="002B5338">
        <w:rPr>
          <w:i/>
          <w:sz w:val="20"/>
          <w:szCs w:val="24"/>
        </w:rPr>
        <w:t xml:space="preserve"> </w:t>
      </w:r>
      <w:r w:rsidRPr="00DA22F5">
        <w:rPr>
          <w:i/>
          <w:sz w:val="20"/>
          <w:szCs w:val="24"/>
        </w:rPr>
        <w:t>martu. Pārējiem alkoholiskajiem dzērieniem likme 2019.</w:t>
      </w:r>
      <w:r w:rsidR="002B5338">
        <w:rPr>
          <w:i/>
          <w:sz w:val="20"/>
          <w:szCs w:val="24"/>
        </w:rPr>
        <w:t xml:space="preserve"> </w:t>
      </w:r>
      <w:r w:rsidRPr="00DA22F5">
        <w:rPr>
          <w:i/>
          <w:sz w:val="20"/>
          <w:szCs w:val="24"/>
        </w:rPr>
        <w:t xml:space="preserve">gadā paaugstināta ar 01.03.2019., bet no 01.08.2019. līdz 29.02.2020. noteikta samazinātā likme 1 564,0 </w:t>
      </w:r>
      <w:proofErr w:type="spellStart"/>
      <w:r w:rsidRPr="00F92BF9">
        <w:rPr>
          <w:bCs/>
          <w:i/>
          <w:sz w:val="20"/>
          <w:szCs w:val="24"/>
        </w:rPr>
        <w:t>euro</w:t>
      </w:r>
      <w:proofErr w:type="spellEnd"/>
      <w:r w:rsidRPr="00DA22F5">
        <w:rPr>
          <w:i/>
          <w:sz w:val="20"/>
          <w:szCs w:val="24"/>
        </w:rPr>
        <w:t xml:space="preserve"> par 100 litriem absolūtā spirta. 2020. un 2021.</w:t>
      </w:r>
      <w:r w:rsidR="002B5338">
        <w:rPr>
          <w:i/>
          <w:sz w:val="20"/>
          <w:szCs w:val="24"/>
        </w:rPr>
        <w:t xml:space="preserve"> </w:t>
      </w:r>
      <w:r w:rsidRPr="00DA22F5">
        <w:rPr>
          <w:i/>
          <w:sz w:val="20"/>
          <w:szCs w:val="24"/>
        </w:rPr>
        <w:t xml:space="preserve">gadā likmes tiek paaugstinātas ar </w:t>
      </w:r>
      <w:r>
        <w:rPr>
          <w:i/>
          <w:sz w:val="20"/>
          <w:szCs w:val="24"/>
        </w:rPr>
        <w:t>1.</w:t>
      </w:r>
      <w:r w:rsidR="002B5338">
        <w:rPr>
          <w:i/>
          <w:sz w:val="20"/>
          <w:szCs w:val="24"/>
        </w:rPr>
        <w:t xml:space="preserve"> </w:t>
      </w:r>
      <w:r>
        <w:rPr>
          <w:i/>
          <w:sz w:val="20"/>
          <w:szCs w:val="24"/>
        </w:rPr>
        <w:t>martu</w:t>
      </w:r>
      <w:r w:rsidRPr="00DA22F5">
        <w:rPr>
          <w:i/>
          <w:sz w:val="20"/>
          <w:szCs w:val="24"/>
        </w:rPr>
        <w:t>.</w:t>
      </w:r>
    </w:p>
    <w:p w:rsidR="00FD36B6" w:rsidRPr="00956EC6" w:rsidRDefault="00FD36B6" w:rsidP="00FD36B6">
      <w:r w:rsidRPr="00DD4CB8">
        <w:t>Tā rezultātā Latvijā akcīzes nodoklis pārējiem alkoholiskajiem dzērieniem iepriekš minētajā laika periodā bija zemākais Baltijā. Līdz 2020.</w:t>
      </w:r>
      <w:r w:rsidR="002B5338">
        <w:t xml:space="preserve"> </w:t>
      </w:r>
      <w:r w:rsidRPr="00DD4CB8">
        <w:t>gada 29.</w:t>
      </w:r>
      <w:r w:rsidR="002B5338">
        <w:t xml:space="preserve"> </w:t>
      </w:r>
      <w:r w:rsidRPr="00DD4CB8">
        <w:t>februārim nodokļu daļas cenas atšķirība, ieskaitot pievienotās vērtības nodokli, salīdzinājumā ar Igauniju bija 1,46 </w:t>
      </w:r>
      <w:proofErr w:type="spellStart"/>
      <w:r w:rsidRPr="00F92BF9">
        <w:rPr>
          <w:bCs/>
          <w:i/>
          <w:szCs w:val="24"/>
        </w:rPr>
        <w:t>euro</w:t>
      </w:r>
      <w:proofErr w:type="spellEnd"/>
      <w:r w:rsidRPr="00DD4CB8">
        <w:t xml:space="preserve"> par litru stiprā alkoholiskā dzēriena (ar </w:t>
      </w:r>
      <w:r w:rsidRPr="00956EC6">
        <w:t xml:space="preserve">absolūtā spirta sastāvu 40 tilpumprocenti), bet salīdzinājumā ar Lietuvu atšķirība bija 1,30 </w:t>
      </w:r>
      <w:proofErr w:type="spellStart"/>
      <w:r w:rsidRPr="00956EC6">
        <w:rPr>
          <w:bCs/>
          <w:i/>
          <w:szCs w:val="24"/>
        </w:rPr>
        <w:t>euro</w:t>
      </w:r>
      <w:proofErr w:type="spellEnd"/>
      <w:r w:rsidRPr="00956EC6">
        <w:t>.</w:t>
      </w:r>
    </w:p>
    <w:p w:rsidR="00FD36B6" w:rsidRPr="00DA22F5" w:rsidRDefault="00FD36B6" w:rsidP="00FD36B6">
      <w:pPr>
        <w:rPr>
          <w:color w:val="000000"/>
          <w:szCs w:val="24"/>
        </w:rPr>
      </w:pPr>
      <w:r w:rsidRPr="00956EC6">
        <w:t>Lai sabalansētu akcīzes nodokļa alkoholiskajiem dzērieniem un alum mērķus – gūt ieņēmumus valsts budžetā un ierobežot šo veselībai kaitīgo produktu patēriņu, tajā pašā laikā neveicinot alkoholisko dzērienu nelegālo apriti,</w:t>
      </w:r>
      <w:r w:rsidRPr="00956EC6">
        <w:rPr>
          <w:szCs w:val="24"/>
        </w:rPr>
        <w:t xml:space="preserve"> Saeima 2020.</w:t>
      </w:r>
      <w:r w:rsidR="002B5338">
        <w:rPr>
          <w:szCs w:val="24"/>
        </w:rPr>
        <w:t xml:space="preserve"> </w:t>
      </w:r>
      <w:r w:rsidRPr="00956EC6">
        <w:rPr>
          <w:szCs w:val="24"/>
        </w:rPr>
        <w:t>gada 20.</w:t>
      </w:r>
      <w:r w:rsidR="002B5338">
        <w:rPr>
          <w:szCs w:val="24"/>
        </w:rPr>
        <w:t xml:space="preserve"> </w:t>
      </w:r>
      <w:r w:rsidRPr="00956EC6">
        <w:rPr>
          <w:szCs w:val="24"/>
        </w:rPr>
        <w:t>februārī nolēma iepriekš plānotā likmju paaugstinājuma (stiprajam alkoholam par 29,5%, pārējiem alkoholisko dzērienu veidiem un alum – par aptuveni 10%) ar 2020.</w:t>
      </w:r>
      <w:r w:rsidR="002B5338">
        <w:rPr>
          <w:szCs w:val="24"/>
        </w:rPr>
        <w:t xml:space="preserve"> </w:t>
      </w:r>
      <w:r w:rsidRPr="00956EC6">
        <w:rPr>
          <w:szCs w:val="24"/>
        </w:rPr>
        <w:t>gada 1.</w:t>
      </w:r>
      <w:r w:rsidR="002B5338">
        <w:rPr>
          <w:szCs w:val="24"/>
        </w:rPr>
        <w:t xml:space="preserve"> </w:t>
      </w:r>
      <w:r w:rsidRPr="00956EC6">
        <w:rPr>
          <w:szCs w:val="24"/>
        </w:rPr>
        <w:t xml:space="preserve">martu vietā noteikt pakāpenisku akcīzes nodokļa likmju paaugstināšanu – akcīzes nodokļa likmes </w:t>
      </w:r>
      <w:r>
        <w:rPr>
          <w:szCs w:val="24"/>
        </w:rPr>
        <w:t xml:space="preserve">visiem alkoholiskajiem dzērieniem, izņemot raudzētos dzērienus </w:t>
      </w:r>
      <w:r w:rsidRPr="00FE7D5B">
        <w:rPr>
          <w:szCs w:val="24"/>
        </w:rPr>
        <w:t>ar absolūtā spirta saturu līdz 6 tilpumprocentiem</w:t>
      </w:r>
      <w:r>
        <w:rPr>
          <w:szCs w:val="24"/>
        </w:rPr>
        <w:t>, un alum  2020. un 2021.</w:t>
      </w:r>
      <w:r w:rsidR="00DE1399">
        <w:rPr>
          <w:szCs w:val="24"/>
        </w:rPr>
        <w:t xml:space="preserve"> </w:t>
      </w:r>
      <w:r>
        <w:rPr>
          <w:szCs w:val="24"/>
        </w:rPr>
        <w:t xml:space="preserve">gadā paaugstināt vidēji par 5%. </w:t>
      </w:r>
      <w:r w:rsidRPr="002515C1">
        <w:rPr>
          <w:color w:val="000000"/>
          <w:szCs w:val="24"/>
        </w:rPr>
        <w:t xml:space="preserve">Visu </w:t>
      </w:r>
      <w:r w:rsidRPr="00337541">
        <w:rPr>
          <w:color w:val="000000"/>
          <w:szCs w:val="24"/>
        </w:rPr>
        <w:t xml:space="preserve">izmaiņu rezultāts attiecībā uz alkoholiskajiem dzērieniem </w:t>
      </w:r>
      <w:r>
        <w:rPr>
          <w:color w:val="000000"/>
          <w:szCs w:val="24"/>
        </w:rPr>
        <w:t xml:space="preserve">skat. iepriekš – </w:t>
      </w:r>
      <w:r w:rsidRPr="002B5338">
        <w:rPr>
          <w:color w:val="000000"/>
          <w:szCs w:val="24"/>
        </w:rPr>
        <w:t>3.9.</w:t>
      </w:r>
      <w:r w:rsidR="002B5338" w:rsidRPr="002B5338">
        <w:rPr>
          <w:color w:val="000000"/>
          <w:szCs w:val="24"/>
        </w:rPr>
        <w:t xml:space="preserve"> </w:t>
      </w:r>
      <w:r w:rsidRPr="002B5338">
        <w:rPr>
          <w:color w:val="000000"/>
          <w:szCs w:val="24"/>
        </w:rPr>
        <w:t>tabulā. Pēc</w:t>
      </w:r>
      <w:r>
        <w:rPr>
          <w:color w:val="000000"/>
          <w:szCs w:val="24"/>
        </w:rPr>
        <w:t xml:space="preserve"> minētajām izmaiņām nodokļu</w:t>
      </w:r>
      <w:r w:rsidRPr="00DA22F5">
        <w:t xml:space="preserve"> </w:t>
      </w:r>
      <w:r w:rsidRPr="00DD4CB8">
        <w:t>daļas cenas atšķirība</w:t>
      </w:r>
      <w:r>
        <w:t xml:space="preserve"> litram stiprā alkoholiskā dzēriena</w:t>
      </w:r>
      <w:r w:rsidRPr="00DD4CB8">
        <w:t xml:space="preserve">, ieskaitot </w:t>
      </w:r>
      <w:r w:rsidR="00DE1399">
        <w:t>PVN</w:t>
      </w:r>
      <w:r w:rsidRPr="00DD4CB8">
        <w:t>,</w:t>
      </w:r>
      <w:r>
        <w:t xml:space="preserve"> 2020.</w:t>
      </w:r>
      <w:r w:rsidR="00DE1399">
        <w:t xml:space="preserve"> </w:t>
      </w:r>
      <w:r>
        <w:t>gadā ir 1,08 </w:t>
      </w:r>
      <w:proofErr w:type="spellStart"/>
      <w:r w:rsidRPr="00F92BF9">
        <w:rPr>
          <w:bCs/>
          <w:i/>
          <w:szCs w:val="24"/>
        </w:rPr>
        <w:t>euro</w:t>
      </w:r>
      <w:proofErr w:type="spellEnd"/>
      <w:r>
        <w:t xml:space="preserve"> ar Igauniju un 1,85 </w:t>
      </w:r>
      <w:proofErr w:type="spellStart"/>
      <w:r w:rsidRPr="00F92BF9">
        <w:rPr>
          <w:bCs/>
          <w:i/>
          <w:szCs w:val="24"/>
        </w:rPr>
        <w:t>euro</w:t>
      </w:r>
      <w:proofErr w:type="spellEnd"/>
      <w:r>
        <w:t xml:space="preserve"> ar Lietuvu. </w:t>
      </w:r>
    </w:p>
    <w:p w:rsidR="00FD36B6" w:rsidRPr="00E27CFD" w:rsidRDefault="00FD36B6" w:rsidP="00FD36B6">
      <w:pPr>
        <w:rPr>
          <w:szCs w:val="24"/>
        </w:rPr>
      </w:pPr>
      <w:r>
        <w:t xml:space="preserve">Covid-19 izraisītā krīze, uz laiku noteiktais ārkārtējais stāvoklis valstī un </w:t>
      </w:r>
      <w:r w:rsidRPr="00CE3CED">
        <w:t>tā rezultātā sabiedrībā izraisītā</w:t>
      </w:r>
      <w:r>
        <w:t>s</w:t>
      </w:r>
      <w:r w:rsidRPr="00CE3CED">
        <w:t xml:space="preserve"> sociālekonomiskajā</w:t>
      </w:r>
      <w:r>
        <w:t>s</w:t>
      </w:r>
      <w:r w:rsidRPr="00CE3CED">
        <w:t xml:space="preserve"> problēm</w:t>
      </w:r>
      <w:r>
        <w:t xml:space="preserve">as negatīvi ietekmēja arī alkoholisko dzērienu patēriņu, </w:t>
      </w:r>
      <w:r w:rsidRPr="00CE3CED">
        <w:t>ko nespēja kompensēt pat ārkārtējās situācijas laikā atļautā alkohola distances tirdzniecība.</w:t>
      </w:r>
      <w:r>
        <w:t xml:space="preserve"> Covid-19 krīzes dēļ ne tikai samazinājās </w:t>
      </w:r>
      <w:r w:rsidRPr="00800A87">
        <w:rPr>
          <w:szCs w:val="24"/>
        </w:rPr>
        <w:t>tūrisma un socializēšanās iespējas,</w:t>
      </w:r>
      <w:r>
        <w:rPr>
          <w:szCs w:val="24"/>
        </w:rPr>
        <w:t xml:space="preserve"> ierobežoti publiskie pasākumi, bet arī uz laiku pilnībā tika pārtraukta tirdzniecība Igaunijas – Latvijas pierobežā, kas veido nozīmīgu kopējās alkoholisko dzērienu realizācijas tirgus daļu (2019.</w:t>
      </w:r>
      <w:r w:rsidR="00DE1399">
        <w:rPr>
          <w:szCs w:val="24"/>
        </w:rPr>
        <w:t xml:space="preserve"> </w:t>
      </w:r>
      <w:r>
        <w:rPr>
          <w:szCs w:val="24"/>
        </w:rPr>
        <w:t>gadā tā bija ~13,6%).</w:t>
      </w:r>
    </w:p>
    <w:p w:rsidR="00FD36B6" w:rsidRPr="00E27CFD" w:rsidRDefault="00FD36B6" w:rsidP="00FD36B6">
      <w:pPr>
        <w:tabs>
          <w:tab w:val="left" w:pos="709"/>
          <w:tab w:val="left" w:pos="6096"/>
        </w:tabs>
        <w:spacing w:before="120"/>
        <w:ind w:firstLine="0"/>
        <w:rPr>
          <w:szCs w:val="28"/>
          <w:lang w:eastAsia="lv-LV"/>
        </w:rPr>
      </w:pPr>
      <w:r w:rsidRPr="00E27CFD">
        <w:rPr>
          <w:szCs w:val="28"/>
          <w:lang w:eastAsia="lv-LV"/>
        </w:rPr>
        <w:tab/>
        <w:t xml:space="preserve">Turklāt saskaņā ar </w:t>
      </w:r>
      <w:r w:rsidR="00DE1399">
        <w:rPr>
          <w:szCs w:val="28"/>
          <w:lang w:eastAsia="lv-LV"/>
        </w:rPr>
        <w:t>VID</w:t>
      </w:r>
      <w:r w:rsidRPr="00E27CFD">
        <w:rPr>
          <w:szCs w:val="28"/>
          <w:lang w:eastAsia="lv-LV"/>
        </w:rPr>
        <w:t xml:space="preserve"> sniegto informāciju izņemtā nelegālā alkohola apjoms un struktūra kontekstā ar legālā patēriņa tendencēm, liecina, ka, visticamāk, ir aktivizējusies nelegāla alkoholisko dzērienu ražošana iekšzemē.</w:t>
      </w:r>
    </w:p>
    <w:p w:rsidR="00FD36B6" w:rsidRPr="00BC3BEC" w:rsidRDefault="00FD36B6" w:rsidP="00FD36B6">
      <w:pPr>
        <w:spacing w:before="120"/>
        <w:rPr>
          <w:b/>
          <w:szCs w:val="28"/>
          <w:u w:val="single"/>
          <w:lang w:eastAsia="lv-LV"/>
        </w:rPr>
      </w:pPr>
      <w:r w:rsidRPr="00BC3BEC">
        <w:rPr>
          <w:szCs w:val="28"/>
          <w:lang w:eastAsia="lv-LV"/>
        </w:rPr>
        <w:t>Papildus iepriekš minētajām akcīzes nodokļa likmju izmaiņām saskaņā ar 2020.</w:t>
      </w:r>
      <w:r w:rsidR="00DE1399">
        <w:rPr>
          <w:szCs w:val="28"/>
          <w:lang w:eastAsia="lv-LV"/>
        </w:rPr>
        <w:t xml:space="preserve"> </w:t>
      </w:r>
      <w:r w:rsidRPr="00BC3BEC">
        <w:rPr>
          <w:szCs w:val="28"/>
          <w:lang w:eastAsia="lv-LV"/>
        </w:rPr>
        <w:t>gada 6.</w:t>
      </w:r>
      <w:r w:rsidR="00DE1399">
        <w:rPr>
          <w:szCs w:val="28"/>
          <w:lang w:eastAsia="lv-LV"/>
        </w:rPr>
        <w:t> </w:t>
      </w:r>
      <w:r w:rsidRPr="00BC3BEC">
        <w:rPr>
          <w:szCs w:val="28"/>
          <w:lang w:eastAsia="lv-LV"/>
        </w:rPr>
        <w:t>februārī pieņemtajiem grozījumiem likumā “Par akcīzes nodokli” ar 2020.</w:t>
      </w:r>
      <w:r w:rsidR="00DE1399">
        <w:rPr>
          <w:szCs w:val="28"/>
          <w:lang w:eastAsia="lv-LV"/>
        </w:rPr>
        <w:t xml:space="preserve"> </w:t>
      </w:r>
      <w:r w:rsidRPr="00BC3BEC">
        <w:rPr>
          <w:szCs w:val="28"/>
          <w:lang w:eastAsia="lv-LV"/>
        </w:rPr>
        <w:t>gada 1.</w:t>
      </w:r>
      <w:r w:rsidR="00DE1399">
        <w:rPr>
          <w:szCs w:val="28"/>
          <w:lang w:eastAsia="lv-LV"/>
        </w:rPr>
        <w:t xml:space="preserve"> </w:t>
      </w:r>
      <w:r w:rsidRPr="00BC3BEC">
        <w:rPr>
          <w:szCs w:val="28"/>
          <w:lang w:eastAsia="lv-LV"/>
        </w:rPr>
        <w:t xml:space="preserve">maiju tika </w:t>
      </w:r>
      <w:r w:rsidRPr="00BC3BEC">
        <w:rPr>
          <w:szCs w:val="28"/>
          <w:lang w:eastAsia="lv-LV"/>
        </w:rPr>
        <w:lastRenderedPageBreak/>
        <w:t>precizēta starpproduktu definīcija, novēršot nekorektu akcīzes nodokļa likmes piemērošanu alkoholiskajiem kokteiļiem, tādā veidā izvairoties n</w:t>
      </w:r>
      <w:r>
        <w:rPr>
          <w:szCs w:val="28"/>
          <w:lang w:eastAsia="lv-LV"/>
        </w:rPr>
        <w:t xml:space="preserve">o nodokļa nomaksas pilnā apmērā. </w:t>
      </w:r>
    </w:p>
    <w:p w:rsidR="00FD36B6" w:rsidRPr="005D0C12" w:rsidRDefault="00FD36B6" w:rsidP="00FD36B6">
      <w:pPr>
        <w:spacing w:before="120"/>
      </w:pPr>
      <w:r>
        <w:t xml:space="preserve">No visiem termiņu pagarinājumiem, kas piešķirti </w:t>
      </w:r>
      <w:r w:rsidRPr="00F508A8">
        <w:t>saskaņā ar likumā “Par valsts apdraudējuma un tā seku novēršanas un pārvarēšanas pasākumiem sakarā ar Covid-19 izplatību”, ja termiņa kavējums radies Covid-19 izplatības dēļ</w:t>
      </w:r>
      <w:r>
        <w:t>, lielāko daļu veido tieši par akcīzes nodokli alkoholiskajiem dzērieniem.</w:t>
      </w:r>
      <w:r w:rsidRPr="00F508A8">
        <w:t xml:space="preserve"> </w:t>
      </w:r>
      <w:r>
        <w:t xml:space="preserve">Saskaņā ar </w:t>
      </w:r>
      <w:r w:rsidR="00DE1399">
        <w:t>VID</w:t>
      </w:r>
      <w:r>
        <w:t xml:space="preserve"> sniegto informāciju 10.</w:t>
      </w:r>
      <w:r w:rsidR="00DE1399">
        <w:t xml:space="preserve"> </w:t>
      </w:r>
      <w:r>
        <w:t xml:space="preserve">jūnijā Covid-19 sakarā piešķirto termiņu pagarinājumu summa par alkoholiskajiem dzērieniem bija 2,9 milj. </w:t>
      </w:r>
      <w:proofErr w:type="spellStart"/>
      <w:r w:rsidRPr="00F92BF9">
        <w:rPr>
          <w:bCs/>
          <w:i/>
          <w:szCs w:val="24"/>
        </w:rPr>
        <w:t>euro</w:t>
      </w:r>
      <w:proofErr w:type="spellEnd"/>
      <w:r>
        <w:t>, bet vēl nesamaksātā summa veidoja 2,4 milj. </w:t>
      </w:r>
      <w:proofErr w:type="spellStart"/>
      <w:r w:rsidRPr="00F92BF9">
        <w:rPr>
          <w:bCs/>
          <w:i/>
          <w:szCs w:val="24"/>
        </w:rPr>
        <w:t>euro</w:t>
      </w:r>
      <w:proofErr w:type="spellEnd"/>
      <w:r w:rsidRPr="005D0C12">
        <w:t>.</w:t>
      </w:r>
    </w:p>
    <w:p w:rsidR="00FD36B6" w:rsidRPr="005D0C12" w:rsidRDefault="00FD36B6" w:rsidP="00FD36B6">
      <w:r w:rsidRPr="005D0C12">
        <w:t>Ņemot vērā iepriekš minētos faktorus, akcīzes nodokļa alkoholiskajiem dzērieniem ieņēmumi 2020.</w:t>
      </w:r>
      <w:r w:rsidR="00DE1399">
        <w:t xml:space="preserve"> </w:t>
      </w:r>
      <w:r w:rsidRPr="005D0C12">
        <w:t xml:space="preserve">gadā prognozēti 184,4 milj. </w:t>
      </w:r>
      <w:proofErr w:type="spellStart"/>
      <w:r w:rsidRPr="00F92BF9">
        <w:rPr>
          <w:bCs/>
          <w:i/>
          <w:szCs w:val="24"/>
        </w:rPr>
        <w:t>euro</w:t>
      </w:r>
      <w:proofErr w:type="spellEnd"/>
      <w:r w:rsidRPr="005D0C12">
        <w:t xml:space="preserve"> apmērā, kas ir par 42,6 milj. </w:t>
      </w:r>
      <w:proofErr w:type="spellStart"/>
      <w:r w:rsidRPr="00F92BF9">
        <w:rPr>
          <w:bCs/>
          <w:i/>
          <w:szCs w:val="24"/>
        </w:rPr>
        <w:t>euro</w:t>
      </w:r>
      <w:proofErr w:type="spellEnd"/>
      <w:r w:rsidRPr="005D0C12">
        <w:t xml:space="preserve"> jeb par 18,8% mazāk nekā plānots. </w:t>
      </w:r>
    </w:p>
    <w:p w:rsidR="00FD36B6" w:rsidRPr="00E27CFD" w:rsidRDefault="00FD36B6" w:rsidP="00FD36B6">
      <w:pPr>
        <w:spacing w:before="120"/>
      </w:pPr>
      <w:r w:rsidRPr="005D0C12">
        <w:t>Sagatavojot 2021.</w:t>
      </w:r>
      <w:r w:rsidR="00DE1399">
        <w:t xml:space="preserve"> </w:t>
      </w:r>
      <w:r w:rsidRPr="00E27CFD">
        <w:t>gada akcīzes nodokļa alkoholiskajiem dzērieniem ieņēmumu plānu, tika ņemta vērā jaunā prognozētā 2020.</w:t>
      </w:r>
      <w:r w:rsidR="00DE1399">
        <w:t xml:space="preserve"> </w:t>
      </w:r>
      <w:r w:rsidRPr="00E27CFD">
        <w:t>gada bāze, 2017.–2020.</w:t>
      </w:r>
      <w:r w:rsidR="00DE1399">
        <w:t xml:space="preserve"> </w:t>
      </w:r>
      <w:r w:rsidRPr="00E27CFD">
        <w:t xml:space="preserve">gadā pieņemtie grozījumi normatīvajos aktos, </w:t>
      </w:r>
      <w:r>
        <w:t xml:space="preserve">piešķirtie termiņu pagarinājumi, </w:t>
      </w:r>
      <w:r w:rsidRPr="00E27CFD">
        <w:t xml:space="preserve">prognozētā apliekamo objektu patēriņa dinamika, ņemot vērā Igaunijas un Lietuvas nodokļu politiku attiecībā uz akcīzes nodokli alkoholiskajiem dzērieniem, un iepriekš minēto makroekonomisko rādītāju izmaiņas. </w:t>
      </w:r>
    </w:p>
    <w:p w:rsidR="00FD36B6" w:rsidRDefault="00FD36B6" w:rsidP="00FD36B6">
      <w:pPr>
        <w:tabs>
          <w:tab w:val="left" w:pos="1134"/>
        </w:tabs>
        <w:ind w:firstLine="851"/>
      </w:pPr>
      <w:r w:rsidRPr="00DE1399">
        <w:t>3.9.</w:t>
      </w:r>
      <w:r w:rsidR="00DE1399">
        <w:t xml:space="preserve"> </w:t>
      </w:r>
      <w:r w:rsidRPr="00DE1399">
        <w:t>tabulā atspoguļotas</w:t>
      </w:r>
      <w:r w:rsidRPr="00E27CFD">
        <w:t xml:space="preserve"> arī 2021.</w:t>
      </w:r>
      <w:r w:rsidR="00DE1399">
        <w:t xml:space="preserve"> </w:t>
      </w:r>
      <w:r w:rsidRPr="00E27CFD">
        <w:t>gadā plānotās akcīzes nodokļa likmju izmaiņas alkoholiskajiem dzērieniem.</w:t>
      </w:r>
      <w:r>
        <w:t xml:space="preserve"> </w:t>
      </w:r>
      <w:r w:rsidRPr="00E27CFD">
        <w:t xml:space="preserve">Saskaņā ar </w:t>
      </w:r>
      <w:r w:rsidRPr="00E27CFD">
        <w:rPr>
          <w:szCs w:val="24"/>
        </w:rPr>
        <w:t>2020.</w:t>
      </w:r>
      <w:r w:rsidR="00DE1399">
        <w:rPr>
          <w:szCs w:val="24"/>
        </w:rPr>
        <w:t xml:space="preserve"> </w:t>
      </w:r>
      <w:r w:rsidRPr="00E27CFD">
        <w:rPr>
          <w:szCs w:val="24"/>
        </w:rPr>
        <w:t>gada 20.</w:t>
      </w:r>
      <w:r w:rsidR="00DE1399">
        <w:rPr>
          <w:szCs w:val="24"/>
        </w:rPr>
        <w:t xml:space="preserve"> </w:t>
      </w:r>
      <w:r w:rsidRPr="00E27CFD">
        <w:rPr>
          <w:szCs w:val="24"/>
        </w:rPr>
        <w:t xml:space="preserve">februārī Saeimā pieņemtajiem grozījumiem likumā “Par akcīzes nodokli” ar </w:t>
      </w:r>
      <w:r>
        <w:rPr>
          <w:szCs w:val="24"/>
        </w:rPr>
        <w:t>2021.</w:t>
      </w:r>
      <w:r w:rsidR="00DE1399">
        <w:rPr>
          <w:szCs w:val="24"/>
        </w:rPr>
        <w:t xml:space="preserve"> </w:t>
      </w:r>
      <w:r>
        <w:rPr>
          <w:szCs w:val="24"/>
        </w:rPr>
        <w:t>gada 1.</w:t>
      </w:r>
      <w:r w:rsidR="00DE1399">
        <w:rPr>
          <w:szCs w:val="24"/>
        </w:rPr>
        <w:t xml:space="preserve"> </w:t>
      </w:r>
      <w:r>
        <w:rPr>
          <w:szCs w:val="24"/>
        </w:rPr>
        <w:t xml:space="preserve">martu visiem alkoholisko dzērienu veidiem </w:t>
      </w:r>
      <w:r>
        <w:t xml:space="preserve">(izņemot raudzētos dzērienus </w:t>
      </w:r>
      <w:r w:rsidRPr="00EB6A2F">
        <w:t>ar absolūtā spirta saturu līdz 6 tilpumprocentiem</w:t>
      </w:r>
      <w:r>
        <w:t>)</w:t>
      </w:r>
      <w:r>
        <w:rPr>
          <w:szCs w:val="24"/>
        </w:rPr>
        <w:t xml:space="preserve"> akcīzes nodokļa likmes tiks paaugstinātas par 5 </w:t>
      </w:r>
      <w:r w:rsidRPr="000E4EAC">
        <w:rPr>
          <w:szCs w:val="24"/>
        </w:rPr>
        <w:t>procentiem.</w:t>
      </w:r>
      <w:r w:rsidRPr="000E4EAC">
        <w:t xml:space="preserve"> </w:t>
      </w:r>
      <w:r w:rsidRPr="000E4EAC">
        <w:rPr>
          <w:szCs w:val="24"/>
        </w:rPr>
        <w:t xml:space="preserve">Pēc likmju </w:t>
      </w:r>
      <w:r w:rsidRPr="00E27CFD">
        <w:rPr>
          <w:szCs w:val="24"/>
        </w:rPr>
        <w:t xml:space="preserve">paaugstinājuma nodokļu daļas </w:t>
      </w:r>
      <w:r w:rsidRPr="00E27CFD">
        <w:t>cenu starpība litram stiprā alkoholiskā dzēriena ar Igauniju samazināsies līdz 0,68 </w:t>
      </w:r>
      <w:proofErr w:type="spellStart"/>
      <w:r w:rsidRPr="00F92BF9">
        <w:rPr>
          <w:bCs/>
          <w:i/>
          <w:szCs w:val="24"/>
        </w:rPr>
        <w:t>euro</w:t>
      </w:r>
      <w:proofErr w:type="spellEnd"/>
      <w:r w:rsidRPr="00E27CFD">
        <w:t>, bet ar Lietuvu – līdz 1,46 </w:t>
      </w:r>
      <w:proofErr w:type="spellStart"/>
      <w:r w:rsidRPr="00F92BF9">
        <w:rPr>
          <w:bCs/>
          <w:i/>
          <w:szCs w:val="24"/>
        </w:rPr>
        <w:t>euro</w:t>
      </w:r>
      <w:proofErr w:type="spellEnd"/>
      <w:r w:rsidRPr="00E27CFD">
        <w:t xml:space="preserve">. Prognozējams, ka šo izmaiņu rezultātā </w:t>
      </w:r>
      <w:r>
        <w:t xml:space="preserve">alkoholisko dzērienu </w:t>
      </w:r>
      <w:r w:rsidRPr="00E27CFD">
        <w:t>tirdzniecība pierobežā mazliet samazināsies, tomēr turpinās pastāvēt, jo Igaunijā cenu līmenis, neskaitot nodokļu daļu, alkoholiskajiem dzērieniem ir ievērojami augstāks nekā</w:t>
      </w:r>
      <w:r>
        <w:t xml:space="preserve"> Latvijā, bet ar Lietuvu nodokļu daļas starpība būs ievērojama</w:t>
      </w:r>
      <w:r w:rsidRPr="00E27CFD">
        <w:t>.</w:t>
      </w:r>
    </w:p>
    <w:p w:rsidR="00FD36B6" w:rsidRPr="00E27CFD" w:rsidRDefault="00FD36B6" w:rsidP="00FD36B6">
      <w:r w:rsidRPr="00E27CFD">
        <w:t>Tāpat prognozēs ņemts vērā, ka 2021.</w:t>
      </w:r>
      <w:r w:rsidR="00DE1399">
        <w:t xml:space="preserve"> </w:t>
      </w:r>
      <w:r w:rsidRPr="00E27CFD">
        <w:t>gadā tiks atmaksāta daļa no 2020.</w:t>
      </w:r>
      <w:r w:rsidR="00DE1399">
        <w:t xml:space="preserve"> </w:t>
      </w:r>
      <w:r w:rsidRPr="00E27CFD">
        <w:t>gadā Covid-19 sakarā piešķirtajiem termiņu pagarin</w:t>
      </w:r>
      <w:r>
        <w:t xml:space="preserve">ājumiem – aptuveni 0,6 milj. </w:t>
      </w:r>
      <w:proofErr w:type="spellStart"/>
      <w:r w:rsidRPr="00F92BF9">
        <w:rPr>
          <w:bCs/>
          <w:i/>
          <w:szCs w:val="24"/>
        </w:rPr>
        <w:t>euro</w:t>
      </w:r>
      <w:proofErr w:type="spellEnd"/>
      <w:r>
        <w:t xml:space="preserve">. </w:t>
      </w:r>
    </w:p>
    <w:p w:rsidR="00FD36B6" w:rsidRPr="00E27CFD" w:rsidRDefault="00FD36B6" w:rsidP="00FD36B6">
      <w:pPr>
        <w:rPr>
          <w:szCs w:val="24"/>
        </w:rPr>
      </w:pPr>
      <w:r w:rsidRPr="00E27CFD">
        <w:rPr>
          <w:szCs w:val="24"/>
        </w:rPr>
        <w:t>Ņemot vērā iepriekš minēto, 2021.</w:t>
      </w:r>
      <w:r w:rsidR="00DE1399">
        <w:rPr>
          <w:szCs w:val="24"/>
        </w:rPr>
        <w:t xml:space="preserve"> </w:t>
      </w:r>
      <w:r w:rsidRPr="00E27CFD">
        <w:rPr>
          <w:szCs w:val="24"/>
        </w:rPr>
        <w:t xml:space="preserve">gada akcīzes nodokļa no alkoholiskajiem dzērieniem ieņēmumi saskaņā ar </w:t>
      </w:r>
      <w:r w:rsidR="00DE1399">
        <w:t>likumprojektu “</w:t>
      </w:r>
      <w:r w:rsidRPr="00E27CFD">
        <w:t>Par valsts budžetu 2021.</w:t>
      </w:r>
      <w:r w:rsidR="00DE1399">
        <w:t xml:space="preserve"> </w:t>
      </w:r>
      <w:r w:rsidRPr="00E27CFD">
        <w:t xml:space="preserve">gadam” </w:t>
      </w:r>
      <w:r w:rsidRPr="00E27CFD">
        <w:rPr>
          <w:szCs w:val="24"/>
        </w:rPr>
        <w:t>plānoti 212,5 milj. </w:t>
      </w:r>
      <w:proofErr w:type="spellStart"/>
      <w:r w:rsidRPr="00F92BF9">
        <w:rPr>
          <w:i/>
          <w:szCs w:val="24"/>
        </w:rPr>
        <w:t>euro</w:t>
      </w:r>
      <w:proofErr w:type="spellEnd"/>
      <w:r w:rsidRPr="00E27CFD">
        <w:rPr>
          <w:szCs w:val="24"/>
        </w:rPr>
        <w:t xml:space="preserve"> apmērā, kas ir par </w:t>
      </w:r>
      <w:r>
        <w:rPr>
          <w:szCs w:val="24"/>
        </w:rPr>
        <w:t>28,1 </w:t>
      </w:r>
      <w:r w:rsidRPr="00E27CFD">
        <w:rPr>
          <w:szCs w:val="24"/>
        </w:rPr>
        <w:t>milj. </w:t>
      </w:r>
      <w:proofErr w:type="spellStart"/>
      <w:r w:rsidRPr="00F92BF9">
        <w:rPr>
          <w:i/>
          <w:szCs w:val="24"/>
        </w:rPr>
        <w:t>euro</w:t>
      </w:r>
      <w:proofErr w:type="spellEnd"/>
      <w:r w:rsidRPr="00E27CFD">
        <w:rPr>
          <w:szCs w:val="24"/>
        </w:rPr>
        <w:t xml:space="preserve"> jeb 15,2% vai</w:t>
      </w:r>
      <w:r>
        <w:rPr>
          <w:szCs w:val="24"/>
        </w:rPr>
        <w:t>rāk nekā prognozēts 2020.</w:t>
      </w:r>
      <w:r w:rsidR="00DE1399">
        <w:rPr>
          <w:szCs w:val="24"/>
        </w:rPr>
        <w:t xml:space="preserve"> </w:t>
      </w:r>
      <w:r>
        <w:rPr>
          <w:szCs w:val="24"/>
        </w:rPr>
        <w:t>gadam.</w:t>
      </w:r>
    </w:p>
    <w:p w:rsidR="00FD36B6" w:rsidRPr="002E5B1E" w:rsidRDefault="00FD36B6" w:rsidP="00FD36B6">
      <w:r w:rsidRPr="002E5B1E">
        <w:t>2020.</w:t>
      </w:r>
      <w:r w:rsidR="00DE1399">
        <w:t xml:space="preserve"> </w:t>
      </w:r>
      <w:r w:rsidRPr="002E5B1E">
        <w:t xml:space="preserve">gada sešos mēnešos akcīzes nodokļa ieņēmumi </w:t>
      </w:r>
      <w:r w:rsidR="00DE1399" w:rsidRPr="002E5B1E">
        <w:rPr>
          <w:b/>
        </w:rPr>
        <w:t>alum</w:t>
      </w:r>
      <w:r w:rsidR="00DE1399" w:rsidRPr="002E5B1E">
        <w:t xml:space="preserve"> </w:t>
      </w:r>
      <w:r w:rsidRPr="002E5B1E">
        <w:t>bija 22,6 milj. </w:t>
      </w:r>
      <w:proofErr w:type="spellStart"/>
      <w:r w:rsidRPr="00F92BF9">
        <w:rPr>
          <w:i/>
        </w:rPr>
        <w:t>euro</w:t>
      </w:r>
      <w:proofErr w:type="spellEnd"/>
      <w:r w:rsidRPr="002E5B1E">
        <w:t>, kas, salīdzinot ar 2019.</w:t>
      </w:r>
      <w:r w:rsidR="00DE1399">
        <w:t xml:space="preserve"> </w:t>
      </w:r>
      <w:r w:rsidRPr="002E5B1E">
        <w:t>gada sešiem mēnešiem, ir par 2,2 milj. </w:t>
      </w:r>
      <w:proofErr w:type="spellStart"/>
      <w:r w:rsidRPr="00F92BF9">
        <w:rPr>
          <w:i/>
        </w:rPr>
        <w:t>euro</w:t>
      </w:r>
      <w:proofErr w:type="spellEnd"/>
      <w:r w:rsidRPr="002E5B1E">
        <w:t xml:space="preserve"> jeb 8,9% </w:t>
      </w:r>
      <w:r>
        <w:t>mazāk</w:t>
      </w:r>
      <w:r w:rsidRPr="002E5B1E">
        <w:t xml:space="preserve">. Salīdzinot ar sešos mēnešos plānoto, iekasēts par 5,7 milj. </w:t>
      </w:r>
      <w:proofErr w:type="spellStart"/>
      <w:r w:rsidRPr="00F92BF9">
        <w:rPr>
          <w:bCs/>
          <w:i/>
          <w:szCs w:val="24"/>
        </w:rPr>
        <w:t>euro</w:t>
      </w:r>
      <w:proofErr w:type="spellEnd"/>
      <w:r w:rsidRPr="002E5B1E">
        <w:t xml:space="preserve"> jeb 20,0% mazāk. </w:t>
      </w:r>
    </w:p>
    <w:p w:rsidR="00FD36B6" w:rsidRPr="005F54FD" w:rsidRDefault="00FD36B6" w:rsidP="00FD36B6">
      <w:pPr>
        <w:rPr>
          <w:szCs w:val="24"/>
        </w:rPr>
      </w:pPr>
      <w:r w:rsidRPr="002E5B1E">
        <w:t xml:space="preserve">Tāpat kā attiecībā uz akcīzes nodokļa ieņēmumiem no alkoholiskajiem dzērieniem, arī nodokļa ieņēmumus no alus ietekmē Latvijas – Igaunijas pierobežā notiekošā alkoholisko dzērienu un alus tirdzniecība un akcīzes nodokļa likmju paaugstināšana. </w:t>
      </w:r>
      <w:r w:rsidRPr="00EE64BD">
        <w:t>Ar 2017.</w:t>
      </w:r>
      <w:r w:rsidR="00DE1399">
        <w:t xml:space="preserve"> </w:t>
      </w:r>
      <w:r w:rsidRPr="00EE64BD">
        <w:t>gada 27.</w:t>
      </w:r>
      <w:r w:rsidR="00DE1399">
        <w:t xml:space="preserve"> </w:t>
      </w:r>
      <w:r w:rsidRPr="00EE64BD">
        <w:t>jūlijā Saeimā p</w:t>
      </w:r>
      <w:r w:rsidR="00DE1399">
        <w:t>ieņemtajiem grozījumiem likumā “</w:t>
      </w:r>
      <w:r w:rsidRPr="00EE64BD">
        <w:t>Par akcīzes nodokli”</w:t>
      </w:r>
      <w:r w:rsidRPr="00EE64BD">
        <w:rPr>
          <w:szCs w:val="24"/>
        </w:rPr>
        <w:t xml:space="preserve"> ar 2019.</w:t>
      </w:r>
      <w:r w:rsidR="00DE1399">
        <w:rPr>
          <w:szCs w:val="24"/>
        </w:rPr>
        <w:t xml:space="preserve"> </w:t>
      </w:r>
      <w:r w:rsidRPr="00EE64BD">
        <w:rPr>
          <w:szCs w:val="24"/>
        </w:rPr>
        <w:t>gada 1.</w:t>
      </w:r>
      <w:r w:rsidR="00DE1399">
        <w:rPr>
          <w:szCs w:val="24"/>
        </w:rPr>
        <w:t xml:space="preserve"> </w:t>
      </w:r>
      <w:r w:rsidRPr="00EE64BD">
        <w:rPr>
          <w:szCs w:val="24"/>
        </w:rPr>
        <w:t>martu</w:t>
      </w:r>
      <w:r w:rsidRPr="00EE64BD">
        <w:t xml:space="preserve"> </w:t>
      </w:r>
      <w:r w:rsidRPr="00EE64BD">
        <w:rPr>
          <w:szCs w:val="24"/>
        </w:rPr>
        <w:t xml:space="preserve">akcīzes nodokļa likmes alum </w:t>
      </w:r>
      <w:r w:rsidRPr="00EE64BD">
        <w:rPr>
          <w:color w:val="000000"/>
          <w:szCs w:val="24"/>
        </w:rPr>
        <w:t>tika paaugstinātas līdz 7,4 </w:t>
      </w:r>
      <w:proofErr w:type="spellStart"/>
      <w:r w:rsidRPr="00F92BF9">
        <w:rPr>
          <w:i/>
          <w:color w:val="000000"/>
          <w:szCs w:val="24"/>
        </w:rPr>
        <w:t>euro</w:t>
      </w:r>
      <w:proofErr w:type="spellEnd"/>
      <w:r w:rsidRPr="00EE64BD">
        <w:rPr>
          <w:color w:val="000000"/>
          <w:szCs w:val="24"/>
        </w:rPr>
        <w:t xml:space="preserve"> </w:t>
      </w:r>
      <w:r w:rsidRPr="00EE64BD">
        <w:t xml:space="preserve">par katru absolūtā spirta tilpumprocentu par 100 litriem alus, bet minimālā likme </w:t>
      </w:r>
      <w:r w:rsidRPr="00EE64BD">
        <w:rPr>
          <w:color w:val="000000"/>
          <w:szCs w:val="24"/>
        </w:rPr>
        <w:t>–</w:t>
      </w:r>
      <w:r w:rsidRPr="00EE64BD">
        <w:t xml:space="preserve"> līdz 13,6 </w:t>
      </w:r>
      <w:proofErr w:type="spellStart"/>
      <w:r w:rsidRPr="00F92BF9">
        <w:rPr>
          <w:i/>
        </w:rPr>
        <w:t>euro</w:t>
      </w:r>
      <w:proofErr w:type="spellEnd"/>
      <w:r w:rsidRPr="00EE64BD">
        <w:t xml:space="preserve"> par 100 litriem alus. Savukārt saskaņā ar </w:t>
      </w:r>
      <w:r w:rsidRPr="005F54FD">
        <w:rPr>
          <w:szCs w:val="24"/>
        </w:rPr>
        <w:t>2020.</w:t>
      </w:r>
      <w:r w:rsidR="00DE1399">
        <w:rPr>
          <w:szCs w:val="24"/>
        </w:rPr>
        <w:t xml:space="preserve"> </w:t>
      </w:r>
      <w:r w:rsidRPr="005F54FD">
        <w:rPr>
          <w:szCs w:val="24"/>
        </w:rPr>
        <w:t>gada 20.</w:t>
      </w:r>
      <w:r w:rsidR="00DE1399">
        <w:rPr>
          <w:szCs w:val="24"/>
        </w:rPr>
        <w:t xml:space="preserve"> </w:t>
      </w:r>
      <w:r w:rsidRPr="005F54FD">
        <w:rPr>
          <w:szCs w:val="24"/>
        </w:rPr>
        <w:t>februārī Saeimā pieņemto lēmumu iepriekš plānotā likmju paaugstinājuma (par aptuveni 10%) ar 2020.</w:t>
      </w:r>
      <w:r w:rsidR="00DE1399">
        <w:rPr>
          <w:szCs w:val="24"/>
        </w:rPr>
        <w:t xml:space="preserve"> </w:t>
      </w:r>
      <w:r w:rsidRPr="005F54FD">
        <w:rPr>
          <w:szCs w:val="24"/>
        </w:rPr>
        <w:t>gada 1.</w:t>
      </w:r>
      <w:r w:rsidR="00DE1399">
        <w:rPr>
          <w:szCs w:val="24"/>
        </w:rPr>
        <w:t xml:space="preserve"> </w:t>
      </w:r>
      <w:r w:rsidRPr="005F54FD">
        <w:rPr>
          <w:szCs w:val="24"/>
        </w:rPr>
        <w:t>martu vietā tika noteikta pakāpenisk</w:t>
      </w:r>
      <w:r w:rsidR="00ED1869">
        <w:rPr>
          <w:szCs w:val="24"/>
        </w:rPr>
        <w:t>a</w:t>
      </w:r>
      <w:r w:rsidRPr="005F54FD">
        <w:rPr>
          <w:szCs w:val="24"/>
        </w:rPr>
        <w:t xml:space="preserve"> akcīzes nodokļa likmju paaugstināšan</w:t>
      </w:r>
      <w:r w:rsidR="00ED1869">
        <w:rPr>
          <w:szCs w:val="24"/>
        </w:rPr>
        <w:t>a</w:t>
      </w:r>
      <w:r w:rsidRPr="005F54FD">
        <w:rPr>
          <w:szCs w:val="24"/>
        </w:rPr>
        <w:t xml:space="preserve"> </w:t>
      </w:r>
      <w:r>
        <w:rPr>
          <w:szCs w:val="24"/>
        </w:rPr>
        <w:t>– 2020. un 2021.gadā paaugstinājums</w:t>
      </w:r>
      <w:r w:rsidRPr="005F54FD">
        <w:rPr>
          <w:szCs w:val="24"/>
        </w:rPr>
        <w:t xml:space="preserve"> vidēji par 5</w:t>
      </w:r>
      <w:r>
        <w:rPr>
          <w:szCs w:val="24"/>
        </w:rPr>
        <w:t> procentiem</w:t>
      </w:r>
      <w:r w:rsidRPr="005F54FD">
        <w:rPr>
          <w:szCs w:val="24"/>
        </w:rPr>
        <w:t xml:space="preserve">. </w:t>
      </w:r>
    </w:p>
    <w:p w:rsidR="00FD36B6" w:rsidRDefault="00FD36B6" w:rsidP="00FD36B6">
      <w:pPr>
        <w:rPr>
          <w:szCs w:val="24"/>
        </w:rPr>
      </w:pPr>
      <w:r w:rsidRPr="005F54FD">
        <w:rPr>
          <w:szCs w:val="24"/>
        </w:rPr>
        <w:t xml:space="preserve">Saskaņā ar </w:t>
      </w:r>
      <w:r w:rsidR="00ED1869">
        <w:rPr>
          <w:szCs w:val="24"/>
        </w:rPr>
        <w:t>VID</w:t>
      </w:r>
      <w:r w:rsidRPr="005F54FD">
        <w:rPr>
          <w:szCs w:val="24"/>
        </w:rPr>
        <w:t xml:space="preserve"> informāciju </w:t>
      </w:r>
      <w:r w:rsidRPr="005F54FD">
        <w:rPr>
          <w:szCs w:val="24"/>
          <w:lang w:eastAsia="lv-LV"/>
        </w:rPr>
        <w:t xml:space="preserve">alus produktu </w:t>
      </w:r>
      <w:r w:rsidRPr="005F54FD">
        <w:rPr>
          <w:szCs w:val="24"/>
        </w:rPr>
        <w:t>kopējais patēriņš 2020.</w:t>
      </w:r>
      <w:r w:rsidR="00ED1869">
        <w:rPr>
          <w:szCs w:val="24"/>
        </w:rPr>
        <w:t xml:space="preserve"> </w:t>
      </w:r>
      <w:r w:rsidRPr="005F54FD">
        <w:rPr>
          <w:szCs w:val="24"/>
        </w:rPr>
        <w:t>gada piecos mēnešos un 2019.</w:t>
      </w:r>
      <w:r w:rsidR="00ED1869">
        <w:rPr>
          <w:szCs w:val="24"/>
        </w:rPr>
        <w:t xml:space="preserve"> </w:t>
      </w:r>
      <w:r w:rsidRPr="005F54FD">
        <w:t>gada decembrī</w:t>
      </w:r>
      <w:r w:rsidRPr="005F54FD">
        <w:rPr>
          <w:szCs w:val="24"/>
        </w:rPr>
        <w:t xml:space="preserve"> salīdzinājumā ar 2019. un 2018.</w:t>
      </w:r>
      <w:r w:rsidR="00ED1869">
        <w:rPr>
          <w:szCs w:val="24"/>
        </w:rPr>
        <w:t xml:space="preserve"> </w:t>
      </w:r>
      <w:r w:rsidRPr="005F54FD">
        <w:rPr>
          <w:szCs w:val="24"/>
        </w:rPr>
        <w:t xml:space="preserve">gada atbilstošo periodu ir samazinājies par 12,6 procentiem. Alus patēriņa kritumu ietekmēja tie paši faktori, kas alkoholisko dzērienu patēriņu – gan Covid-19 izraisītā krīze, gan uz laiku pārtrauktā alus tirdzniecība pierobežā. </w:t>
      </w:r>
    </w:p>
    <w:p w:rsidR="00FD36B6" w:rsidRPr="00EE64BD" w:rsidRDefault="00FD36B6" w:rsidP="00FD36B6">
      <w:pPr>
        <w:rPr>
          <w:szCs w:val="24"/>
        </w:rPr>
      </w:pPr>
      <w:r w:rsidRPr="00EE64BD">
        <w:rPr>
          <w:szCs w:val="24"/>
        </w:rPr>
        <w:lastRenderedPageBreak/>
        <w:t>Akcīzes nodokļa ieņēmumus no alus ietekmē arī mazajās alus darītavās saražotā alus daudzuma pieauguma dinamika, jo tajās saražotajam alum (par pirmajiem 10 000 hektolitru kalendārajā gadā) tiek piešķirts akcīzes nodokļa atvieglojums 50% apmērā. Patstāvīgās mazās alus darītavas statuss 2020.</w:t>
      </w:r>
      <w:r w:rsidR="00ED1869">
        <w:rPr>
          <w:szCs w:val="24"/>
        </w:rPr>
        <w:t xml:space="preserve"> </w:t>
      </w:r>
      <w:r w:rsidRPr="00EE64BD">
        <w:rPr>
          <w:szCs w:val="24"/>
        </w:rPr>
        <w:t>gada jūnija beigās bija piešķirts 60 komersantiem. 2020.</w:t>
      </w:r>
      <w:r w:rsidR="00ED1869">
        <w:rPr>
          <w:szCs w:val="24"/>
        </w:rPr>
        <w:t xml:space="preserve"> </w:t>
      </w:r>
      <w:r w:rsidRPr="00EE64BD">
        <w:rPr>
          <w:szCs w:val="24"/>
        </w:rPr>
        <w:t>gada sešos mēnešos tajās saražoti 1,0 milj. dekalitri jeb 26% no visa Latvijā ražotā alus apjoma.</w:t>
      </w:r>
    </w:p>
    <w:p w:rsidR="00FD36B6" w:rsidRPr="005F54FD" w:rsidRDefault="00FD36B6" w:rsidP="00FD36B6">
      <w:r w:rsidRPr="005F54FD">
        <w:t>Ņemot vērā iepriekš minētos faktorus, akcīzes nodokļa alum ieņēmumi 2020.</w:t>
      </w:r>
      <w:r w:rsidR="00ED1869">
        <w:t xml:space="preserve"> </w:t>
      </w:r>
      <w:r w:rsidRPr="005F54FD">
        <w:t xml:space="preserve">gadam prognozēti 53,0 milj. </w:t>
      </w:r>
      <w:proofErr w:type="spellStart"/>
      <w:r w:rsidRPr="00F92BF9">
        <w:rPr>
          <w:bCs/>
          <w:i/>
          <w:szCs w:val="24"/>
        </w:rPr>
        <w:t>euro</w:t>
      </w:r>
      <w:proofErr w:type="spellEnd"/>
      <w:r w:rsidRPr="005F54FD">
        <w:t xml:space="preserve"> apmērā, kas ir par 10,2 milj. </w:t>
      </w:r>
      <w:proofErr w:type="spellStart"/>
      <w:r w:rsidRPr="00F92BF9">
        <w:rPr>
          <w:bCs/>
          <w:i/>
          <w:szCs w:val="24"/>
        </w:rPr>
        <w:t>euro</w:t>
      </w:r>
      <w:proofErr w:type="spellEnd"/>
      <w:r w:rsidRPr="005F54FD">
        <w:t xml:space="preserve"> jeb par 16,1% mazāk nekā plānots. </w:t>
      </w:r>
    </w:p>
    <w:p w:rsidR="00FD36B6" w:rsidRPr="00E27CFD" w:rsidRDefault="00FD36B6" w:rsidP="00FD36B6">
      <w:pPr>
        <w:spacing w:before="120"/>
      </w:pPr>
      <w:r w:rsidRPr="005F54FD">
        <w:t>Sagatavojot 2021.</w:t>
      </w:r>
      <w:r w:rsidR="00ED1869">
        <w:t xml:space="preserve"> </w:t>
      </w:r>
      <w:r w:rsidRPr="005F54FD">
        <w:t xml:space="preserve">gada akcīzes nodokļa alum ieņēmumu plānu, tika </w:t>
      </w:r>
      <w:r w:rsidRPr="00E27CFD">
        <w:t>ņemta vērā jaunā prognozētā 2020.</w:t>
      </w:r>
      <w:r w:rsidR="00ED1869">
        <w:t xml:space="preserve"> </w:t>
      </w:r>
      <w:r w:rsidRPr="00E27CFD">
        <w:t>gada bāze, 2017.-2020.</w:t>
      </w:r>
      <w:r w:rsidR="00ED1869">
        <w:t xml:space="preserve"> </w:t>
      </w:r>
      <w:r w:rsidRPr="00E27CFD">
        <w:t xml:space="preserve">gadā pieņemtie grozījumi normatīvajos aktos, prognozētā apliekamo objektu patēriņa dinamika, ņemot vērā Igaunijas un Lietuvas nodokļu politiku attiecībā uz akcīzes nodokli alkoholiskajiem dzērieniem un alum, un iepriekš minēto makroekonomisko rādītāju izmaiņas. </w:t>
      </w:r>
    </w:p>
    <w:p w:rsidR="00FD36B6" w:rsidRPr="00F72225" w:rsidRDefault="00FD36B6" w:rsidP="00FD36B6">
      <w:pPr>
        <w:rPr>
          <w:szCs w:val="24"/>
        </w:rPr>
      </w:pPr>
      <w:r w:rsidRPr="00E27CFD">
        <w:t xml:space="preserve">Saskaņā ar </w:t>
      </w:r>
      <w:r w:rsidRPr="00E27CFD">
        <w:rPr>
          <w:szCs w:val="24"/>
        </w:rPr>
        <w:t>2020.</w:t>
      </w:r>
      <w:r w:rsidR="00ED1869">
        <w:rPr>
          <w:szCs w:val="24"/>
        </w:rPr>
        <w:t xml:space="preserve"> </w:t>
      </w:r>
      <w:r w:rsidRPr="00E27CFD">
        <w:rPr>
          <w:szCs w:val="24"/>
        </w:rPr>
        <w:t>gada 20.</w:t>
      </w:r>
      <w:r w:rsidR="00ED1869">
        <w:rPr>
          <w:szCs w:val="24"/>
        </w:rPr>
        <w:t xml:space="preserve"> </w:t>
      </w:r>
      <w:r w:rsidRPr="00E27CFD">
        <w:rPr>
          <w:szCs w:val="24"/>
        </w:rPr>
        <w:t xml:space="preserve">februārī Saeimā pieņemtajiem grozījumiem </w:t>
      </w:r>
      <w:r>
        <w:rPr>
          <w:szCs w:val="24"/>
        </w:rPr>
        <w:t xml:space="preserve">likumā “Par akcīzes nodokli” </w:t>
      </w:r>
      <w:r w:rsidRPr="005F54FD">
        <w:rPr>
          <w:szCs w:val="24"/>
        </w:rPr>
        <w:t>ar 202</w:t>
      </w:r>
      <w:r>
        <w:rPr>
          <w:szCs w:val="24"/>
        </w:rPr>
        <w:t>1</w:t>
      </w:r>
      <w:r w:rsidRPr="005F54FD">
        <w:rPr>
          <w:szCs w:val="24"/>
        </w:rPr>
        <w:t>.</w:t>
      </w:r>
      <w:r w:rsidR="00ED1869">
        <w:rPr>
          <w:szCs w:val="24"/>
        </w:rPr>
        <w:t xml:space="preserve"> </w:t>
      </w:r>
      <w:r w:rsidRPr="005F54FD">
        <w:rPr>
          <w:szCs w:val="24"/>
        </w:rPr>
        <w:t>gada 1.</w:t>
      </w:r>
      <w:r w:rsidR="00ED1869">
        <w:rPr>
          <w:szCs w:val="24"/>
        </w:rPr>
        <w:t xml:space="preserve"> </w:t>
      </w:r>
      <w:r w:rsidRPr="005F54FD">
        <w:rPr>
          <w:szCs w:val="24"/>
        </w:rPr>
        <w:t xml:space="preserve">martu </w:t>
      </w:r>
      <w:r>
        <w:rPr>
          <w:szCs w:val="24"/>
        </w:rPr>
        <w:t>akcīzes nodokļa likme alum tiks paaugstināta no 7,8 </w:t>
      </w:r>
      <w:proofErr w:type="spellStart"/>
      <w:r w:rsidRPr="00F92BF9">
        <w:rPr>
          <w:bCs/>
          <w:i/>
          <w:szCs w:val="24"/>
        </w:rPr>
        <w:t>euro</w:t>
      </w:r>
      <w:proofErr w:type="spellEnd"/>
      <w:r>
        <w:rPr>
          <w:szCs w:val="24"/>
        </w:rPr>
        <w:t xml:space="preserve"> līdz 8,2 </w:t>
      </w:r>
      <w:proofErr w:type="spellStart"/>
      <w:r w:rsidRPr="00F92BF9">
        <w:rPr>
          <w:bCs/>
          <w:i/>
          <w:szCs w:val="24"/>
        </w:rPr>
        <w:t>euro</w:t>
      </w:r>
      <w:proofErr w:type="spellEnd"/>
      <w:r>
        <w:rPr>
          <w:szCs w:val="24"/>
        </w:rPr>
        <w:t xml:space="preserve"> par </w:t>
      </w:r>
      <w:r w:rsidRPr="005F54FD">
        <w:rPr>
          <w:szCs w:val="24"/>
        </w:rPr>
        <w:t xml:space="preserve">100 l par katru absolūtā spirta tilpumprocentu un minimālais līmenis no 14,4 </w:t>
      </w:r>
      <w:proofErr w:type="spellStart"/>
      <w:r w:rsidRPr="00F92BF9">
        <w:rPr>
          <w:bCs/>
          <w:i/>
          <w:szCs w:val="24"/>
        </w:rPr>
        <w:t>euro</w:t>
      </w:r>
      <w:proofErr w:type="spellEnd"/>
      <w:r w:rsidRPr="005F54FD">
        <w:rPr>
          <w:szCs w:val="24"/>
        </w:rPr>
        <w:t xml:space="preserve"> līdz 15,2 </w:t>
      </w:r>
      <w:proofErr w:type="spellStart"/>
      <w:r w:rsidRPr="00F92BF9">
        <w:rPr>
          <w:bCs/>
          <w:i/>
          <w:szCs w:val="24"/>
        </w:rPr>
        <w:t>euro</w:t>
      </w:r>
      <w:proofErr w:type="spellEnd"/>
      <w:r w:rsidRPr="005F54FD">
        <w:rPr>
          <w:szCs w:val="24"/>
        </w:rPr>
        <w:t xml:space="preserve"> par 100 litriem alus. </w:t>
      </w:r>
      <w:r w:rsidRPr="005F54FD">
        <w:t xml:space="preserve">Fiskālā ietekme iekļauta akcīzes nodokļa </w:t>
      </w:r>
      <w:r w:rsidRPr="00F72225">
        <w:t>ieņēmumu bāzes prognozēs</w:t>
      </w:r>
      <w:r w:rsidRPr="00F72225">
        <w:rPr>
          <w:szCs w:val="24"/>
        </w:rPr>
        <w:t>.</w:t>
      </w:r>
    </w:p>
    <w:p w:rsidR="00FD36B6" w:rsidRPr="00F72225" w:rsidRDefault="00FD36B6" w:rsidP="00FD36B6">
      <w:r w:rsidRPr="00ED1869">
        <w:t>3.10.</w:t>
      </w:r>
      <w:r w:rsidR="00ED1869">
        <w:t xml:space="preserve"> </w:t>
      </w:r>
      <w:r w:rsidRPr="00ED1869">
        <w:t>tabulā atspoguļotas akcīzes nodokļa alum likmes arī pārējās Baltijas valstīs. Kā jau iepriekš tika minēts, ar 2019.</w:t>
      </w:r>
      <w:r w:rsidR="00ED1869">
        <w:t xml:space="preserve"> </w:t>
      </w:r>
      <w:r w:rsidRPr="00ED1869">
        <w:t>gada 1.</w:t>
      </w:r>
      <w:r w:rsidR="00ED1869">
        <w:t xml:space="preserve"> </w:t>
      </w:r>
      <w:r w:rsidRPr="00ED1869">
        <w:t xml:space="preserve">jūliju Igaunijā tika samazināta akcīzes nodokļa likme alum līdz 12,7 </w:t>
      </w:r>
      <w:proofErr w:type="spellStart"/>
      <w:r w:rsidRPr="00ED1869">
        <w:rPr>
          <w:bCs/>
          <w:i/>
          <w:szCs w:val="24"/>
        </w:rPr>
        <w:t>euro</w:t>
      </w:r>
      <w:proofErr w:type="spellEnd"/>
      <w:r w:rsidRPr="00ED1869">
        <w:t xml:space="preserve"> par katru spirta tilpumprocentu.</w:t>
      </w:r>
      <w:r w:rsidRPr="00F72225">
        <w:t xml:space="preserve"> </w:t>
      </w:r>
    </w:p>
    <w:p w:rsidR="00FD36B6" w:rsidRPr="00324699" w:rsidRDefault="00FD36B6" w:rsidP="00FD36B6">
      <w:pPr>
        <w:rPr>
          <w:highlight w:val="yellow"/>
        </w:rPr>
      </w:pPr>
      <w:r w:rsidRPr="00F72225">
        <w:t>Tomēr, neskatoties uz likmju izmaiņām Latvijā un Igaunijā, joprojām saglabāsies pietiekami liela cenu atšķirība (nodokļu daļas cenas atšķirība, ieskaitot pievienotās vērtības nodokli, litram alus (ar absolūtā spirta saturu 5,2 tilpumprocenti) līdz 2021.</w:t>
      </w:r>
      <w:r w:rsidR="00ED1869">
        <w:t xml:space="preserve"> </w:t>
      </w:r>
      <w:r w:rsidRPr="00F72225">
        <w:t>gada 28.</w:t>
      </w:r>
      <w:r w:rsidR="00ED1869">
        <w:t xml:space="preserve"> </w:t>
      </w:r>
      <w:r w:rsidRPr="00F72225">
        <w:t xml:space="preserve">februārim būs 0,30 </w:t>
      </w:r>
      <w:proofErr w:type="spellStart"/>
      <w:r w:rsidRPr="00F92BF9">
        <w:rPr>
          <w:i/>
        </w:rPr>
        <w:t>euro</w:t>
      </w:r>
      <w:proofErr w:type="spellEnd"/>
      <w:r w:rsidRPr="00F72225">
        <w:t>, bet ar 2021.</w:t>
      </w:r>
      <w:r w:rsidR="00ED1869">
        <w:t xml:space="preserve"> </w:t>
      </w:r>
      <w:r w:rsidRPr="00F72225">
        <w:t>gada 1.</w:t>
      </w:r>
      <w:r w:rsidR="00ED1869">
        <w:t xml:space="preserve"> </w:t>
      </w:r>
      <w:r w:rsidRPr="00F72225">
        <w:t>martu tā būs 0,28 </w:t>
      </w:r>
      <w:proofErr w:type="spellStart"/>
      <w:r w:rsidRPr="00F92BF9">
        <w:rPr>
          <w:bCs/>
          <w:i/>
          <w:szCs w:val="24"/>
        </w:rPr>
        <w:t>euro</w:t>
      </w:r>
      <w:proofErr w:type="spellEnd"/>
      <w:r w:rsidRPr="00F72225">
        <w:t>). Līdz ar to prognozējams, ka alus tirdzniecīb</w:t>
      </w:r>
      <w:r>
        <w:t>u</w:t>
      </w:r>
      <w:r w:rsidRPr="00F72225">
        <w:t xml:space="preserve"> Igaunijas – Latvijas pierobežā </w:t>
      </w:r>
      <w:r>
        <w:t>tas praktiski neietekmēs</w:t>
      </w:r>
      <w:r w:rsidRPr="00F72225">
        <w:t>.</w:t>
      </w:r>
    </w:p>
    <w:p w:rsidR="00FD36B6" w:rsidRPr="00ED1869" w:rsidRDefault="00FD36B6" w:rsidP="00ED1869">
      <w:pPr>
        <w:spacing w:before="240"/>
        <w:ind w:firstLine="0"/>
        <w:jc w:val="center"/>
        <w:rPr>
          <w:b/>
        </w:rPr>
      </w:pPr>
      <w:r w:rsidRPr="00ED1869">
        <w:rPr>
          <w:b/>
          <w:i/>
        </w:rPr>
        <w:t>3.10.</w:t>
      </w:r>
      <w:r w:rsidR="004D65F6">
        <w:rPr>
          <w:b/>
          <w:i/>
        </w:rPr>
        <w:t xml:space="preserve"> </w:t>
      </w:r>
      <w:r w:rsidRPr="00ED1869">
        <w:rPr>
          <w:b/>
          <w:i/>
        </w:rPr>
        <w:t>tabula</w:t>
      </w:r>
      <w:r w:rsidRPr="00ED1869">
        <w:t xml:space="preserve"> </w:t>
      </w:r>
      <w:r w:rsidRPr="00ED1869">
        <w:rPr>
          <w:b/>
        </w:rPr>
        <w:t>Akcīzes nodokļa likmes alum Baltijas valstīs</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701"/>
        <w:gridCol w:w="1560"/>
        <w:gridCol w:w="1417"/>
        <w:gridCol w:w="1553"/>
      </w:tblGrid>
      <w:tr w:rsidR="00FD36B6" w:rsidRPr="00ED1869" w:rsidTr="00ED1869">
        <w:trPr>
          <w:trHeight w:val="252"/>
          <w:jc w:val="center"/>
        </w:trPr>
        <w:tc>
          <w:tcPr>
            <w:tcW w:w="2825" w:type="dxa"/>
            <w:shd w:val="clear" w:color="auto" w:fill="D9D9D9" w:themeFill="background1" w:themeFillShade="D9"/>
            <w:noWrap/>
            <w:vAlign w:val="bottom"/>
            <w:hideMark/>
          </w:tcPr>
          <w:p w:rsidR="00FD36B6" w:rsidRPr="00ED1869" w:rsidRDefault="00FD36B6" w:rsidP="00FD36B6">
            <w:pPr>
              <w:spacing w:after="0"/>
              <w:ind w:firstLine="0"/>
              <w:jc w:val="left"/>
              <w:rPr>
                <w:b/>
                <w:color w:val="000000"/>
                <w:sz w:val="18"/>
                <w:szCs w:val="18"/>
                <w:lang w:eastAsia="lv-LV"/>
              </w:rPr>
            </w:pPr>
          </w:p>
        </w:tc>
        <w:tc>
          <w:tcPr>
            <w:tcW w:w="1701" w:type="dxa"/>
            <w:shd w:val="clear" w:color="auto" w:fill="D9D9D9" w:themeFill="background1" w:themeFillShade="D9"/>
            <w:noWrap/>
            <w:vAlign w:val="center"/>
            <w:hideMark/>
          </w:tcPr>
          <w:p w:rsidR="00FD36B6" w:rsidRPr="00ED1869" w:rsidRDefault="00FD36B6" w:rsidP="00FD36B6">
            <w:pPr>
              <w:spacing w:after="0"/>
              <w:ind w:firstLine="0"/>
              <w:jc w:val="center"/>
              <w:rPr>
                <w:b/>
                <w:bCs/>
                <w:sz w:val="18"/>
                <w:szCs w:val="18"/>
                <w:lang w:eastAsia="lv-LV"/>
              </w:rPr>
            </w:pPr>
            <w:r w:rsidRPr="00ED1869">
              <w:rPr>
                <w:b/>
                <w:bCs/>
                <w:sz w:val="18"/>
                <w:szCs w:val="18"/>
                <w:lang w:eastAsia="lv-LV"/>
              </w:rPr>
              <w:t>2018</w:t>
            </w:r>
          </w:p>
        </w:tc>
        <w:tc>
          <w:tcPr>
            <w:tcW w:w="1560" w:type="dxa"/>
            <w:shd w:val="clear" w:color="auto" w:fill="D9D9D9" w:themeFill="background1" w:themeFillShade="D9"/>
            <w:noWrap/>
            <w:hideMark/>
          </w:tcPr>
          <w:p w:rsidR="00FD36B6" w:rsidRPr="00ED1869" w:rsidRDefault="00FD36B6" w:rsidP="00FD36B6">
            <w:pPr>
              <w:spacing w:after="0"/>
              <w:ind w:firstLine="0"/>
              <w:jc w:val="center"/>
              <w:rPr>
                <w:b/>
                <w:bCs/>
                <w:sz w:val="18"/>
                <w:szCs w:val="18"/>
                <w:lang w:eastAsia="lv-LV"/>
              </w:rPr>
            </w:pPr>
            <w:r w:rsidRPr="00ED1869">
              <w:rPr>
                <w:b/>
                <w:bCs/>
                <w:sz w:val="18"/>
                <w:szCs w:val="18"/>
                <w:lang w:eastAsia="lv-LV"/>
              </w:rPr>
              <w:t>2019</w:t>
            </w:r>
          </w:p>
        </w:tc>
        <w:tc>
          <w:tcPr>
            <w:tcW w:w="1417" w:type="dxa"/>
            <w:shd w:val="clear" w:color="auto" w:fill="D9D9D9" w:themeFill="background1" w:themeFillShade="D9"/>
          </w:tcPr>
          <w:p w:rsidR="00FD36B6" w:rsidRPr="00ED1869" w:rsidRDefault="00FD36B6" w:rsidP="00FD36B6">
            <w:pPr>
              <w:spacing w:after="0"/>
              <w:ind w:firstLine="0"/>
              <w:jc w:val="center"/>
              <w:rPr>
                <w:b/>
                <w:bCs/>
                <w:sz w:val="18"/>
                <w:szCs w:val="18"/>
                <w:lang w:eastAsia="lv-LV"/>
              </w:rPr>
            </w:pPr>
            <w:r w:rsidRPr="00ED1869">
              <w:rPr>
                <w:b/>
                <w:bCs/>
                <w:sz w:val="18"/>
                <w:szCs w:val="18"/>
                <w:lang w:eastAsia="lv-LV"/>
              </w:rPr>
              <w:t>2020</w:t>
            </w:r>
          </w:p>
        </w:tc>
        <w:tc>
          <w:tcPr>
            <w:tcW w:w="1553" w:type="dxa"/>
            <w:shd w:val="clear" w:color="auto" w:fill="D9D9D9" w:themeFill="background1" w:themeFillShade="D9"/>
          </w:tcPr>
          <w:p w:rsidR="00FD36B6" w:rsidRPr="00ED1869" w:rsidRDefault="00FD36B6" w:rsidP="00FD36B6">
            <w:pPr>
              <w:spacing w:after="0"/>
              <w:ind w:firstLine="0"/>
              <w:jc w:val="center"/>
              <w:rPr>
                <w:b/>
                <w:bCs/>
                <w:sz w:val="18"/>
                <w:szCs w:val="18"/>
                <w:lang w:eastAsia="lv-LV"/>
              </w:rPr>
            </w:pPr>
            <w:r w:rsidRPr="00ED1869">
              <w:rPr>
                <w:b/>
                <w:bCs/>
                <w:sz w:val="18"/>
                <w:szCs w:val="18"/>
                <w:lang w:eastAsia="lv-LV"/>
              </w:rPr>
              <w:t>2021</w:t>
            </w:r>
          </w:p>
        </w:tc>
      </w:tr>
      <w:tr w:rsidR="00FD36B6" w:rsidRPr="00ED1869" w:rsidTr="00ED1869">
        <w:trPr>
          <w:trHeight w:val="252"/>
          <w:jc w:val="center"/>
        </w:trPr>
        <w:tc>
          <w:tcPr>
            <w:tcW w:w="6086" w:type="dxa"/>
            <w:gridSpan w:val="3"/>
            <w:shd w:val="clear" w:color="auto" w:fill="F2F2F2" w:themeFill="background1" w:themeFillShade="F2"/>
            <w:noWrap/>
            <w:vAlign w:val="bottom"/>
            <w:hideMark/>
          </w:tcPr>
          <w:p w:rsidR="00FD36B6" w:rsidRPr="00ED1869" w:rsidRDefault="00FD36B6" w:rsidP="00FD36B6">
            <w:pPr>
              <w:spacing w:after="0"/>
              <w:ind w:firstLine="0"/>
              <w:rPr>
                <w:b/>
                <w:bCs/>
                <w:sz w:val="18"/>
                <w:szCs w:val="18"/>
                <w:lang w:eastAsia="lv-LV"/>
              </w:rPr>
            </w:pPr>
            <w:r w:rsidRPr="00ED1869">
              <w:rPr>
                <w:b/>
                <w:color w:val="000000"/>
                <w:sz w:val="18"/>
                <w:szCs w:val="18"/>
                <w:lang w:eastAsia="lv-LV"/>
              </w:rPr>
              <w:t>Alus</w:t>
            </w:r>
            <w:r w:rsidRPr="00ED1869">
              <w:rPr>
                <w:color w:val="000000"/>
                <w:sz w:val="18"/>
                <w:szCs w:val="18"/>
                <w:lang w:eastAsia="lv-LV"/>
              </w:rPr>
              <w:t xml:space="preserve">, </w:t>
            </w:r>
            <w:proofErr w:type="spellStart"/>
            <w:r w:rsidRPr="00ED1869">
              <w:rPr>
                <w:i/>
                <w:color w:val="000000"/>
                <w:sz w:val="18"/>
                <w:szCs w:val="18"/>
                <w:lang w:eastAsia="lv-LV"/>
              </w:rPr>
              <w:t>euro</w:t>
            </w:r>
            <w:proofErr w:type="spellEnd"/>
            <w:r w:rsidRPr="00ED1869">
              <w:rPr>
                <w:color w:val="000000"/>
                <w:sz w:val="18"/>
                <w:szCs w:val="18"/>
                <w:lang w:eastAsia="lv-LV"/>
              </w:rPr>
              <w:t xml:space="preserve"> par katru spirta tilpumprocentu par 100 l </w:t>
            </w:r>
          </w:p>
        </w:tc>
        <w:tc>
          <w:tcPr>
            <w:tcW w:w="1417" w:type="dxa"/>
            <w:shd w:val="clear" w:color="auto" w:fill="F2F2F2" w:themeFill="background1" w:themeFillShade="F2"/>
          </w:tcPr>
          <w:p w:rsidR="00FD36B6" w:rsidRPr="00ED1869" w:rsidRDefault="00FD36B6" w:rsidP="00FD36B6">
            <w:pPr>
              <w:spacing w:after="0"/>
              <w:ind w:firstLine="0"/>
              <w:jc w:val="center"/>
              <w:rPr>
                <w:b/>
                <w:color w:val="000000"/>
                <w:sz w:val="18"/>
                <w:szCs w:val="18"/>
                <w:lang w:eastAsia="lv-LV"/>
              </w:rPr>
            </w:pPr>
          </w:p>
        </w:tc>
        <w:tc>
          <w:tcPr>
            <w:tcW w:w="1553" w:type="dxa"/>
            <w:shd w:val="clear" w:color="auto" w:fill="F2F2F2" w:themeFill="background1" w:themeFillShade="F2"/>
          </w:tcPr>
          <w:p w:rsidR="00FD36B6" w:rsidRPr="00ED1869" w:rsidRDefault="00FD36B6" w:rsidP="00FD36B6">
            <w:pPr>
              <w:spacing w:after="0"/>
              <w:ind w:firstLine="0"/>
              <w:jc w:val="center"/>
              <w:rPr>
                <w:b/>
                <w:color w:val="000000"/>
                <w:sz w:val="18"/>
                <w:szCs w:val="18"/>
                <w:lang w:eastAsia="lv-LV"/>
              </w:rPr>
            </w:pPr>
          </w:p>
        </w:tc>
      </w:tr>
      <w:tr w:rsidR="00FD36B6" w:rsidRPr="00ED1869" w:rsidTr="00ED1869">
        <w:trPr>
          <w:trHeight w:val="252"/>
          <w:jc w:val="center"/>
        </w:trPr>
        <w:tc>
          <w:tcPr>
            <w:tcW w:w="2825" w:type="dxa"/>
            <w:shd w:val="clear" w:color="auto" w:fill="auto"/>
            <w:noWrap/>
            <w:vAlign w:val="bottom"/>
            <w:hideMark/>
          </w:tcPr>
          <w:p w:rsidR="00FD36B6" w:rsidRPr="00ED1869" w:rsidRDefault="00FD36B6" w:rsidP="00FD36B6">
            <w:pPr>
              <w:spacing w:after="0"/>
              <w:ind w:firstLine="0"/>
              <w:jc w:val="center"/>
              <w:rPr>
                <w:b/>
                <w:color w:val="000000"/>
                <w:sz w:val="18"/>
                <w:szCs w:val="18"/>
                <w:lang w:eastAsia="lv-LV"/>
              </w:rPr>
            </w:pPr>
            <w:r w:rsidRPr="00ED1869">
              <w:rPr>
                <w:b/>
                <w:color w:val="000000"/>
                <w:sz w:val="18"/>
                <w:szCs w:val="18"/>
                <w:lang w:eastAsia="lv-LV"/>
              </w:rPr>
              <w:t>Latvija*</w:t>
            </w:r>
          </w:p>
        </w:tc>
        <w:tc>
          <w:tcPr>
            <w:tcW w:w="1701" w:type="dxa"/>
            <w:shd w:val="clear" w:color="auto" w:fill="auto"/>
            <w:noWrap/>
            <w:vAlign w:val="center"/>
            <w:hideMark/>
          </w:tcPr>
          <w:p w:rsidR="00FD36B6" w:rsidRPr="00ED1869" w:rsidRDefault="00FD36B6" w:rsidP="00FD36B6">
            <w:pPr>
              <w:spacing w:after="0"/>
              <w:ind w:firstLine="0"/>
              <w:jc w:val="center"/>
              <w:rPr>
                <w:b/>
                <w:bCs/>
                <w:iCs/>
                <w:sz w:val="18"/>
                <w:szCs w:val="18"/>
                <w:lang w:eastAsia="lv-LV"/>
              </w:rPr>
            </w:pPr>
            <w:r w:rsidRPr="00ED1869">
              <w:rPr>
                <w:b/>
                <w:bCs/>
                <w:iCs/>
                <w:sz w:val="18"/>
                <w:szCs w:val="18"/>
                <w:lang w:eastAsia="lv-LV"/>
              </w:rPr>
              <w:t>4,5 / 6,80</w:t>
            </w:r>
          </w:p>
        </w:tc>
        <w:tc>
          <w:tcPr>
            <w:tcW w:w="1560" w:type="dxa"/>
            <w:shd w:val="clear" w:color="auto" w:fill="auto"/>
            <w:noWrap/>
            <w:hideMark/>
          </w:tcPr>
          <w:p w:rsidR="00FD36B6" w:rsidRPr="00ED1869" w:rsidRDefault="00FD36B6" w:rsidP="00FD36B6">
            <w:pPr>
              <w:spacing w:after="0"/>
              <w:ind w:firstLine="0"/>
              <w:jc w:val="center"/>
              <w:rPr>
                <w:b/>
                <w:bCs/>
                <w:iCs/>
                <w:sz w:val="18"/>
                <w:szCs w:val="18"/>
                <w:lang w:eastAsia="lv-LV"/>
              </w:rPr>
            </w:pPr>
            <w:r w:rsidRPr="00ED1869">
              <w:rPr>
                <w:b/>
                <w:bCs/>
                <w:iCs/>
                <w:sz w:val="18"/>
                <w:szCs w:val="18"/>
                <w:lang w:eastAsia="lv-LV"/>
              </w:rPr>
              <w:t>6,8 / 7,40</w:t>
            </w:r>
          </w:p>
        </w:tc>
        <w:tc>
          <w:tcPr>
            <w:tcW w:w="1417" w:type="dxa"/>
          </w:tcPr>
          <w:p w:rsidR="00FD36B6" w:rsidRPr="00ED1869" w:rsidRDefault="00FD36B6" w:rsidP="00FD36B6">
            <w:pPr>
              <w:spacing w:after="0"/>
              <w:ind w:firstLine="0"/>
              <w:jc w:val="center"/>
              <w:rPr>
                <w:b/>
                <w:bCs/>
                <w:iCs/>
                <w:sz w:val="18"/>
                <w:szCs w:val="18"/>
                <w:lang w:eastAsia="lv-LV"/>
              </w:rPr>
            </w:pPr>
            <w:r w:rsidRPr="00ED1869">
              <w:rPr>
                <w:b/>
                <w:bCs/>
                <w:iCs/>
                <w:sz w:val="18"/>
                <w:szCs w:val="18"/>
                <w:lang w:eastAsia="lv-LV"/>
              </w:rPr>
              <w:t>7,40 / 7,80</w:t>
            </w:r>
          </w:p>
        </w:tc>
        <w:tc>
          <w:tcPr>
            <w:tcW w:w="1553" w:type="dxa"/>
          </w:tcPr>
          <w:p w:rsidR="00FD36B6" w:rsidRPr="00ED1869" w:rsidRDefault="00FD36B6" w:rsidP="00FD36B6">
            <w:pPr>
              <w:spacing w:after="0"/>
              <w:ind w:firstLine="0"/>
              <w:jc w:val="center"/>
              <w:rPr>
                <w:b/>
                <w:bCs/>
                <w:iCs/>
                <w:sz w:val="18"/>
                <w:szCs w:val="18"/>
                <w:lang w:eastAsia="lv-LV"/>
              </w:rPr>
            </w:pPr>
            <w:r w:rsidRPr="00ED1869">
              <w:rPr>
                <w:b/>
                <w:bCs/>
                <w:iCs/>
                <w:sz w:val="18"/>
                <w:szCs w:val="18"/>
                <w:lang w:eastAsia="lv-LV"/>
              </w:rPr>
              <w:t>7,80 / 8,20</w:t>
            </w:r>
          </w:p>
        </w:tc>
      </w:tr>
      <w:tr w:rsidR="00FD36B6" w:rsidRPr="00ED1869" w:rsidTr="00ED1869">
        <w:trPr>
          <w:trHeight w:val="252"/>
          <w:jc w:val="center"/>
        </w:trPr>
        <w:tc>
          <w:tcPr>
            <w:tcW w:w="2825" w:type="dxa"/>
            <w:shd w:val="clear" w:color="auto" w:fill="auto"/>
            <w:noWrap/>
            <w:vAlign w:val="bottom"/>
            <w:hideMark/>
          </w:tcPr>
          <w:p w:rsidR="00FD36B6" w:rsidRPr="00ED1869" w:rsidRDefault="00FD36B6" w:rsidP="00FD36B6">
            <w:pPr>
              <w:spacing w:after="0"/>
              <w:ind w:firstLine="0"/>
              <w:jc w:val="center"/>
              <w:rPr>
                <w:color w:val="000000"/>
                <w:sz w:val="18"/>
                <w:szCs w:val="18"/>
                <w:lang w:eastAsia="lv-LV"/>
              </w:rPr>
            </w:pPr>
            <w:r w:rsidRPr="00ED1869">
              <w:rPr>
                <w:color w:val="000000"/>
                <w:sz w:val="18"/>
                <w:szCs w:val="18"/>
                <w:lang w:eastAsia="lv-LV"/>
              </w:rPr>
              <w:t>Lietuva</w:t>
            </w:r>
          </w:p>
        </w:tc>
        <w:tc>
          <w:tcPr>
            <w:tcW w:w="1701" w:type="dxa"/>
            <w:shd w:val="clear" w:color="auto" w:fill="auto"/>
            <w:noWrap/>
            <w:vAlign w:val="center"/>
            <w:hideMark/>
          </w:tcPr>
          <w:p w:rsidR="00FD36B6" w:rsidRPr="00ED1869" w:rsidRDefault="00FD36B6" w:rsidP="00FD36B6">
            <w:pPr>
              <w:spacing w:after="0"/>
              <w:ind w:firstLine="0"/>
              <w:jc w:val="center"/>
              <w:rPr>
                <w:color w:val="000000"/>
                <w:sz w:val="18"/>
                <w:szCs w:val="18"/>
                <w:lang w:eastAsia="lv-LV"/>
              </w:rPr>
            </w:pPr>
            <w:r w:rsidRPr="00ED1869">
              <w:rPr>
                <w:color w:val="000000"/>
                <w:sz w:val="18"/>
                <w:szCs w:val="18"/>
                <w:lang w:eastAsia="lv-LV"/>
              </w:rPr>
              <w:t>7,11</w:t>
            </w:r>
          </w:p>
        </w:tc>
        <w:tc>
          <w:tcPr>
            <w:tcW w:w="1560" w:type="dxa"/>
            <w:shd w:val="clear" w:color="auto" w:fill="auto"/>
            <w:noWrap/>
            <w:vAlign w:val="center"/>
            <w:hideMark/>
          </w:tcPr>
          <w:p w:rsidR="00FD36B6" w:rsidRPr="00ED1869" w:rsidRDefault="00FD36B6" w:rsidP="00FD36B6">
            <w:pPr>
              <w:spacing w:after="0"/>
              <w:ind w:firstLine="0"/>
              <w:jc w:val="center"/>
              <w:rPr>
                <w:color w:val="000000"/>
                <w:sz w:val="18"/>
                <w:szCs w:val="18"/>
                <w:lang w:eastAsia="lv-LV"/>
              </w:rPr>
            </w:pPr>
            <w:r w:rsidRPr="00ED1869">
              <w:rPr>
                <w:color w:val="000000"/>
                <w:sz w:val="18"/>
                <w:szCs w:val="18"/>
                <w:lang w:eastAsia="lv-LV"/>
              </w:rPr>
              <w:t>7,11</w:t>
            </w:r>
          </w:p>
        </w:tc>
        <w:tc>
          <w:tcPr>
            <w:tcW w:w="1417" w:type="dxa"/>
            <w:vAlign w:val="center"/>
          </w:tcPr>
          <w:p w:rsidR="00FD36B6" w:rsidRPr="00ED1869" w:rsidRDefault="00FD36B6" w:rsidP="00FD36B6">
            <w:pPr>
              <w:spacing w:after="0"/>
              <w:ind w:firstLine="0"/>
              <w:jc w:val="center"/>
              <w:rPr>
                <w:color w:val="000000"/>
                <w:sz w:val="18"/>
                <w:szCs w:val="18"/>
                <w:lang w:eastAsia="lv-LV"/>
              </w:rPr>
            </w:pPr>
            <w:r w:rsidRPr="00ED1869">
              <w:rPr>
                <w:color w:val="000000"/>
                <w:sz w:val="18"/>
                <w:szCs w:val="18"/>
                <w:lang w:eastAsia="lv-LV"/>
              </w:rPr>
              <w:t>7,11</w:t>
            </w:r>
          </w:p>
        </w:tc>
        <w:tc>
          <w:tcPr>
            <w:tcW w:w="1553" w:type="dxa"/>
          </w:tcPr>
          <w:p w:rsidR="00FD36B6" w:rsidRPr="00ED1869" w:rsidRDefault="00FD36B6" w:rsidP="00FD36B6">
            <w:pPr>
              <w:spacing w:after="0"/>
              <w:ind w:firstLine="0"/>
              <w:jc w:val="center"/>
              <w:rPr>
                <w:color w:val="000000"/>
                <w:sz w:val="18"/>
                <w:szCs w:val="18"/>
                <w:lang w:eastAsia="lv-LV"/>
              </w:rPr>
            </w:pPr>
            <w:r w:rsidRPr="00ED1869">
              <w:rPr>
                <w:color w:val="000000"/>
                <w:sz w:val="18"/>
                <w:szCs w:val="18"/>
                <w:lang w:eastAsia="lv-LV"/>
              </w:rPr>
              <w:t>7,11</w:t>
            </w:r>
          </w:p>
        </w:tc>
      </w:tr>
      <w:tr w:rsidR="00FD36B6" w:rsidRPr="00ED1869" w:rsidTr="00ED1869">
        <w:trPr>
          <w:trHeight w:val="252"/>
          <w:jc w:val="center"/>
        </w:trPr>
        <w:tc>
          <w:tcPr>
            <w:tcW w:w="2825" w:type="dxa"/>
            <w:shd w:val="clear" w:color="auto" w:fill="auto"/>
            <w:noWrap/>
            <w:vAlign w:val="bottom"/>
            <w:hideMark/>
          </w:tcPr>
          <w:p w:rsidR="00FD36B6" w:rsidRPr="00ED1869" w:rsidRDefault="00FD36B6" w:rsidP="00FD36B6">
            <w:pPr>
              <w:spacing w:after="0"/>
              <w:ind w:firstLine="0"/>
              <w:jc w:val="center"/>
              <w:rPr>
                <w:color w:val="000000"/>
                <w:sz w:val="18"/>
                <w:szCs w:val="18"/>
                <w:lang w:eastAsia="lv-LV"/>
              </w:rPr>
            </w:pPr>
            <w:r w:rsidRPr="00ED1869">
              <w:rPr>
                <w:color w:val="000000"/>
                <w:sz w:val="18"/>
                <w:szCs w:val="18"/>
                <w:lang w:eastAsia="lv-LV"/>
              </w:rPr>
              <w:t>Igaunija**</w:t>
            </w:r>
          </w:p>
        </w:tc>
        <w:tc>
          <w:tcPr>
            <w:tcW w:w="1701" w:type="dxa"/>
            <w:shd w:val="clear" w:color="auto" w:fill="auto"/>
            <w:noWrap/>
            <w:vAlign w:val="center"/>
            <w:hideMark/>
          </w:tcPr>
          <w:p w:rsidR="00FD36B6" w:rsidRPr="00ED1869" w:rsidRDefault="00FD36B6" w:rsidP="00FD36B6">
            <w:pPr>
              <w:spacing w:after="0"/>
              <w:ind w:firstLine="0"/>
              <w:jc w:val="center"/>
              <w:rPr>
                <w:color w:val="000000"/>
                <w:sz w:val="18"/>
                <w:szCs w:val="18"/>
                <w:lang w:eastAsia="lv-LV"/>
              </w:rPr>
            </w:pPr>
            <w:r w:rsidRPr="00ED1869">
              <w:rPr>
                <w:color w:val="000000"/>
                <w:sz w:val="18"/>
                <w:szCs w:val="18"/>
                <w:lang w:eastAsia="lv-LV"/>
              </w:rPr>
              <w:t>15,52 / 16,92</w:t>
            </w:r>
          </w:p>
        </w:tc>
        <w:tc>
          <w:tcPr>
            <w:tcW w:w="1560" w:type="dxa"/>
            <w:shd w:val="clear" w:color="auto" w:fill="auto"/>
            <w:noWrap/>
            <w:vAlign w:val="center"/>
            <w:hideMark/>
          </w:tcPr>
          <w:p w:rsidR="00FD36B6" w:rsidRPr="00ED1869" w:rsidRDefault="00FD36B6" w:rsidP="00FD36B6">
            <w:pPr>
              <w:spacing w:after="0"/>
              <w:ind w:firstLine="0"/>
              <w:jc w:val="center"/>
              <w:rPr>
                <w:color w:val="000000"/>
                <w:sz w:val="18"/>
                <w:szCs w:val="18"/>
                <w:lang w:eastAsia="lv-LV"/>
              </w:rPr>
            </w:pPr>
            <w:r w:rsidRPr="00ED1869">
              <w:rPr>
                <w:color w:val="000000"/>
                <w:sz w:val="18"/>
                <w:szCs w:val="18"/>
                <w:lang w:eastAsia="lv-LV"/>
              </w:rPr>
              <w:t>16,92/ 12,70</w:t>
            </w:r>
          </w:p>
        </w:tc>
        <w:tc>
          <w:tcPr>
            <w:tcW w:w="1417" w:type="dxa"/>
            <w:vAlign w:val="center"/>
          </w:tcPr>
          <w:p w:rsidR="00FD36B6" w:rsidRPr="00ED1869" w:rsidRDefault="00FD36B6" w:rsidP="00FD36B6">
            <w:pPr>
              <w:spacing w:after="0"/>
              <w:ind w:firstLine="0"/>
              <w:jc w:val="center"/>
              <w:rPr>
                <w:color w:val="000000"/>
                <w:sz w:val="18"/>
                <w:szCs w:val="18"/>
                <w:lang w:eastAsia="lv-LV"/>
              </w:rPr>
            </w:pPr>
            <w:r w:rsidRPr="00ED1869">
              <w:rPr>
                <w:color w:val="000000"/>
                <w:sz w:val="18"/>
                <w:szCs w:val="18"/>
                <w:lang w:eastAsia="lv-LV"/>
              </w:rPr>
              <w:t>12,70</w:t>
            </w:r>
          </w:p>
        </w:tc>
        <w:tc>
          <w:tcPr>
            <w:tcW w:w="1553" w:type="dxa"/>
          </w:tcPr>
          <w:p w:rsidR="00FD36B6" w:rsidRPr="00ED1869" w:rsidRDefault="00FD36B6" w:rsidP="00FD36B6">
            <w:pPr>
              <w:spacing w:after="0"/>
              <w:ind w:firstLine="0"/>
              <w:jc w:val="center"/>
              <w:rPr>
                <w:color w:val="000000"/>
                <w:sz w:val="18"/>
                <w:szCs w:val="18"/>
                <w:lang w:eastAsia="lv-LV"/>
              </w:rPr>
            </w:pPr>
            <w:r w:rsidRPr="00ED1869">
              <w:rPr>
                <w:color w:val="000000"/>
                <w:sz w:val="18"/>
                <w:szCs w:val="18"/>
                <w:lang w:eastAsia="lv-LV"/>
              </w:rPr>
              <w:t>12,70</w:t>
            </w:r>
          </w:p>
        </w:tc>
      </w:tr>
    </w:tbl>
    <w:p w:rsidR="00FD36B6" w:rsidRPr="00ED1869" w:rsidRDefault="00FD36B6" w:rsidP="00FD36B6">
      <w:pPr>
        <w:spacing w:after="0"/>
        <w:ind w:firstLine="0"/>
        <w:rPr>
          <w:i/>
          <w:sz w:val="20"/>
          <w:szCs w:val="24"/>
        </w:rPr>
      </w:pPr>
      <w:r w:rsidRPr="00ED1869">
        <w:rPr>
          <w:i/>
          <w:sz w:val="20"/>
          <w:szCs w:val="24"/>
        </w:rPr>
        <w:t>* Latvijā likme tiek paaugstināta ar katra gada 1.</w:t>
      </w:r>
      <w:r w:rsidR="00D54AB0">
        <w:rPr>
          <w:i/>
          <w:sz w:val="20"/>
          <w:szCs w:val="24"/>
        </w:rPr>
        <w:t xml:space="preserve"> </w:t>
      </w:r>
      <w:r w:rsidRPr="00ED1869">
        <w:rPr>
          <w:i/>
          <w:sz w:val="20"/>
          <w:szCs w:val="24"/>
        </w:rPr>
        <w:t xml:space="preserve">martu </w:t>
      </w:r>
    </w:p>
    <w:p w:rsidR="00FD36B6" w:rsidRPr="00ED1869" w:rsidRDefault="00FD36B6" w:rsidP="00FD36B6">
      <w:pPr>
        <w:spacing w:after="0"/>
        <w:ind w:firstLine="0"/>
        <w:rPr>
          <w:i/>
          <w:sz w:val="20"/>
          <w:szCs w:val="24"/>
        </w:rPr>
      </w:pPr>
      <w:r w:rsidRPr="00ED1869">
        <w:rPr>
          <w:i/>
          <w:sz w:val="20"/>
          <w:szCs w:val="24"/>
        </w:rPr>
        <w:t>**Igaunijā 2018.</w:t>
      </w:r>
      <w:r w:rsidR="00D54AB0">
        <w:rPr>
          <w:i/>
          <w:sz w:val="20"/>
          <w:szCs w:val="24"/>
        </w:rPr>
        <w:t xml:space="preserve"> </w:t>
      </w:r>
      <w:r w:rsidRPr="00ED1869">
        <w:rPr>
          <w:i/>
          <w:sz w:val="20"/>
          <w:szCs w:val="24"/>
        </w:rPr>
        <w:t>gadā likme tika paaugstināta ar 01.02.2018. 2019.</w:t>
      </w:r>
      <w:r w:rsidR="00D54AB0">
        <w:rPr>
          <w:i/>
          <w:sz w:val="20"/>
          <w:szCs w:val="24"/>
        </w:rPr>
        <w:t xml:space="preserve"> </w:t>
      </w:r>
      <w:r w:rsidRPr="00ED1869">
        <w:rPr>
          <w:i/>
          <w:sz w:val="20"/>
          <w:szCs w:val="24"/>
        </w:rPr>
        <w:t>gadā likme samazināta ar 01.07.2019.</w:t>
      </w:r>
    </w:p>
    <w:p w:rsidR="00FD36B6" w:rsidRDefault="00FD36B6" w:rsidP="00ED1869">
      <w:pPr>
        <w:spacing w:before="120" w:after="200"/>
        <w:ind w:firstLine="720"/>
        <w:rPr>
          <w:u w:val="single"/>
        </w:rPr>
      </w:pPr>
      <w:r w:rsidRPr="00F72225">
        <w:rPr>
          <w:szCs w:val="24"/>
        </w:rPr>
        <w:t>Ņemot vērā iepriekš minēto, 2021.</w:t>
      </w:r>
      <w:r w:rsidR="00ED1869">
        <w:rPr>
          <w:szCs w:val="24"/>
        </w:rPr>
        <w:t xml:space="preserve"> </w:t>
      </w:r>
      <w:r w:rsidRPr="00F72225">
        <w:rPr>
          <w:szCs w:val="24"/>
        </w:rPr>
        <w:t>gada akcīzes nodokļa no alus ieņēmumi saskaņā ar likumprojektu</w:t>
      </w:r>
      <w:r w:rsidR="00ED1869">
        <w:t xml:space="preserve"> “</w:t>
      </w:r>
      <w:r w:rsidRPr="00F72225">
        <w:t>Par valsts budžetu 2021.</w:t>
      </w:r>
      <w:r w:rsidR="00ED1869">
        <w:t xml:space="preserve"> </w:t>
      </w:r>
      <w:r w:rsidRPr="00F72225">
        <w:t>gadam” tiek plānoti 59,8 milj. </w:t>
      </w:r>
      <w:proofErr w:type="spellStart"/>
      <w:r w:rsidRPr="00F92BF9">
        <w:rPr>
          <w:i/>
        </w:rPr>
        <w:t>euro</w:t>
      </w:r>
      <w:proofErr w:type="spellEnd"/>
      <w:r w:rsidRPr="00F72225">
        <w:t xml:space="preserve"> apmērā, kas ir par 6,8 milj. </w:t>
      </w:r>
      <w:proofErr w:type="spellStart"/>
      <w:r w:rsidRPr="00F92BF9">
        <w:rPr>
          <w:i/>
        </w:rPr>
        <w:t>euro</w:t>
      </w:r>
      <w:proofErr w:type="spellEnd"/>
      <w:r w:rsidRPr="00F72225">
        <w:t xml:space="preserve"> jeb 12,8% vairāk nekā prognozēts 2020.</w:t>
      </w:r>
      <w:r w:rsidR="00ED1869">
        <w:t xml:space="preserve"> </w:t>
      </w:r>
      <w:r w:rsidRPr="00F72225">
        <w:t>gadam.</w:t>
      </w:r>
    </w:p>
    <w:p w:rsidR="00FD36B6" w:rsidRPr="00AC6C56" w:rsidRDefault="00FD36B6" w:rsidP="00FD36B6">
      <w:pPr>
        <w:spacing w:before="120" w:after="200"/>
        <w:ind w:firstLine="0"/>
        <w:rPr>
          <w:u w:val="single"/>
        </w:rPr>
      </w:pPr>
      <w:r w:rsidRPr="00AC6C56">
        <w:rPr>
          <w:u w:val="single"/>
        </w:rPr>
        <w:t>Akcīzes nodoklis tabakas izstrādājumiem</w:t>
      </w:r>
    </w:p>
    <w:p w:rsidR="00FD36B6" w:rsidRPr="00AC6C56" w:rsidRDefault="00FD36B6" w:rsidP="00FD36B6">
      <w:r w:rsidRPr="00AC6C56">
        <w:t>Akcīzes nodokļa tabakas izstrādājumiem ieņēmumi 2020.</w:t>
      </w:r>
      <w:r w:rsidR="00ED1869">
        <w:t xml:space="preserve"> </w:t>
      </w:r>
      <w:r w:rsidRPr="00AC6C56">
        <w:t>gada sešos mēnešos bija 100,9 milj. </w:t>
      </w:r>
      <w:proofErr w:type="spellStart"/>
      <w:r w:rsidRPr="00F92BF9">
        <w:rPr>
          <w:bCs/>
          <w:i/>
          <w:szCs w:val="24"/>
        </w:rPr>
        <w:t>euro</w:t>
      </w:r>
      <w:proofErr w:type="spellEnd"/>
      <w:r w:rsidRPr="00AC6C56">
        <w:rPr>
          <w:i/>
        </w:rPr>
        <w:t>.</w:t>
      </w:r>
      <w:r w:rsidRPr="00AC6C56">
        <w:t xml:space="preserve"> Salīdzinot ar 2019.</w:t>
      </w:r>
      <w:r w:rsidR="00ED1869">
        <w:t xml:space="preserve"> </w:t>
      </w:r>
      <w:r w:rsidRPr="00AC6C56">
        <w:t>gada sešiem mēnešiem, akcīzes nodokļa ieņēmumi no tabakas izstrādājumiem ir samazinājušies par 6,4 milj. </w:t>
      </w:r>
      <w:proofErr w:type="spellStart"/>
      <w:r w:rsidRPr="00F92BF9">
        <w:rPr>
          <w:i/>
        </w:rPr>
        <w:t>euro</w:t>
      </w:r>
      <w:proofErr w:type="spellEnd"/>
      <w:r w:rsidRPr="00AC6C56">
        <w:t xml:space="preserve"> jeb 5,</w:t>
      </w:r>
      <w:r>
        <w:t>9</w:t>
      </w:r>
      <w:r w:rsidRPr="00AC6C56">
        <w:t xml:space="preserve">%, bet, salīdzinot ar sešos mēnešos plānoto, iekasēts par 11,3 milj. </w:t>
      </w:r>
      <w:proofErr w:type="spellStart"/>
      <w:r w:rsidRPr="00F92BF9">
        <w:rPr>
          <w:bCs/>
          <w:i/>
          <w:szCs w:val="24"/>
        </w:rPr>
        <w:t>euro</w:t>
      </w:r>
      <w:proofErr w:type="spellEnd"/>
      <w:r w:rsidRPr="00AC6C56">
        <w:t xml:space="preserve"> jeb 10,1% mazāk.</w:t>
      </w:r>
    </w:p>
    <w:p w:rsidR="00FD36B6" w:rsidRDefault="00FD36B6" w:rsidP="00FD36B6">
      <w:pPr>
        <w:rPr>
          <w:szCs w:val="24"/>
        </w:rPr>
      </w:pPr>
      <w:r w:rsidRPr="00AC6C56">
        <w:rPr>
          <w:iCs/>
        </w:rPr>
        <w:t xml:space="preserve">Saskaņā ar </w:t>
      </w:r>
      <w:r w:rsidR="00ED1869">
        <w:rPr>
          <w:iCs/>
        </w:rPr>
        <w:t>VID</w:t>
      </w:r>
      <w:r w:rsidRPr="00AC6C56">
        <w:rPr>
          <w:iCs/>
        </w:rPr>
        <w:t xml:space="preserve"> informāciju kopējais patēriņam Latvijā nodoto cigarešu apjoms 2020.</w:t>
      </w:r>
      <w:r w:rsidR="00ED1869">
        <w:rPr>
          <w:iCs/>
        </w:rPr>
        <w:t> </w:t>
      </w:r>
      <w:r w:rsidRPr="00AC6C56">
        <w:rPr>
          <w:iCs/>
        </w:rPr>
        <w:t>gada piecos mēnešos un 2019.</w:t>
      </w:r>
      <w:r w:rsidR="00ED1869">
        <w:rPr>
          <w:iCs/>
        </w:rPr>
        <w:t xml:space="preserve"> </w:t>
      </w:r>
      <w:r w:rsidRPr="00AC6C56">
        <w:rPr>
          <w:iCs/>
        </w:rPr>
        <w:t>gada decembrī salīdzinājumā ar 2019. un 2018.</w:t>
      </w:r>
      <w:r w:rsidR="00ED1869">
        <w:rPr>
          <w:iCs/>
        </w:rPr>
        <w:t xml:space="preserve"> </w:t>
      </w:r>
      <w:r w:rsidRPr="00AC6C56">
        <w:rPr>
          <w:iCs/>
        </w:rPr>
        <w:t xml:space="preserve">gada atbilstošo periodu ir samazinājies </w:t>
      </w:r>
      <w:r w:rsidRPr="00C26E54">
        <w:rPr>
          <w:iCs/>
        </w:rPr>
        <w:t xml:space="preserve">par 10,6%, cigāru un </w:t>
      </w:r>
      <w:proofErr w:type="spellStart"/>
      <w:r w:rsidRPr="00C26E54">
        <w:rPr>
          <w:iCs/>
        </w:rPr>
        <w:t>cigarillu</w:t>
      </w:r>
      <w:proofErr w:type="spellEnd"/>
      <w:r w:rsidRPr="00C26E54">
        <w:rPr>
          <w:iCs/>
        </w:rPr>
        <w:t xml:space="preserve"> patēriņš par 29,7%, bet smēķējamās tabakas patēriņš palielinājies par 13,8 procentiem</w:t>
      </w:r>
      <w:r>
        <w:rPr>
          <w:iCs/>
        </w:rPr>
        <w:t xml:space="preserve">. </w:t>
      </w:r>
      <w:r w:rsidRPr="00C26E54">
        <w:rPr>
          <w:iCs/>
        </w:rPr>
        <w:t>Patēriņam nodotais karsējamās tabakas apjoms turpina pieaugt – 2019.</w:t>
      </w:r>
      <w:r w:rsidR="00ED1869">
        <w:rPr>
          <w:iCs/>
        </w:rPr>
        <w:t xml:space="preserve"> </w:t>
      </w:r>
      <w:r w:rsidRPr="00C26E54">
        <w:rPr>
          <w:iCs/>
        </w:rPr>
        <w:t>gada decembrī un 2020.</w:t>
      </w:r>
      <w:r w:rsidR="00ED1869">
        <w:rPr>
          <w:iCs/>
        </w:rPr>
        <w:t xml:space="preserve"> </w:t>
      </w:r>
      <w:r w:rsidRPr="00C26E54">
        <w:rPr>
          <w:iCs/>
        </w:rPr>
        <w:t xml:space="preserve">gada piecos mēnešos patēriņam </w:t>
      </w:r>
      <w:r w:rsidRPr="00C26E54">
        <w:rPr>
          <w:iCs/>
        </w:rPr>
        <w:lastRenderedPageBreak/>
        <w:t>nodot</w:t>
      </w:r>
      <w:r>
        <w:rPr>
          <w:iCs/>
        </w:rPr>
        <w:t xml:space="preserve">s par 2,7 reizēm </w:t>
      </w:r>
      <w:r w:rsidRPr="00C26E54">
        <w:rPr>
          <w:iCs/>
        </w:rPr>
        <w:t>vairāk karsējamās tabakas nekā 2019. un 2018.</w:t>
      </w:r>
      <w:r w:rsidR="00ED1869">
        <w:rPr>
          <w:iCs/>
        </w:rPr>
        <w:t xml:space="preserve"> </w:t>
      </w:r>
      <w:r w:rsidRPr="00C26E54">
        <w:rPr>
          <w:iCs/>
        </w:rPr>
        <w:t xml:space="preserve">gada atbilstošajos periodos. </w:t>
      </w:r>
      <w:r w:rsidRPr="00C26E54">
        <w:rPr>
          <w:bCs/>
        </w:rPr>
        <w:t xml:space="preserve">Būtisko cigarešu patēriņa samazinājumu ietekmējuši vairāki faktori </w:t>
      </w:r>
      <w:r>
        <w:rPr>
          <w:bCs/>
        </w:rPr>
        <w:t>–</w:t>
      </w:r>
      <w:r w:rsidRPr="00C26E54">
        <w:rPr>
          <w:bCs/>
        </w:rPr>
        <w:t xml:space="preserve"> </w:t>
      </w:r>
      <w:r w:rsidRPr="00C26E54">
        <w:t>smēķēšanas ierobežošanas plāna ietvaros veiktie pasākumi</w:t>
      </w:r>
      <w:r>
        <w:t xml:space="preserve"> (piemēram, aizliegums nodot patēriņam Latvijā tabakas izstrādājumus ar mentola un cita veida garšām), akcīzes nodokļa likmju paaugstināšana, cigarešu aizstāšana ar </w:t>
      </w:r>
      <w:r w:rsidRPr="001F6937">
        <w:rPr>
          <w:color w:val="000000" w:themeColor="text1"/>
          <w:lang w:eastAsia="lv-LV"/>
        </w:rPr>
        <w:t>smēķējamo un karsējamo tabaku</w:t>
      </w:r>
      <w:r>
        <w:rPr>
          <w:color w:val="000000" w:themeColor="text1"/>
          <w:lang w:eastAsia="lv-LV"/>
        </w:rPr>
        <w:t xml:space="preserve">, kam ir zemāka akcīzes nodokļa likme. Cigarešu un arī pārējo tabakas </w:t>
      </w:r>
      <w:r w:rsidRPr="006B7251">
        <w:rPr>
          <w:color w:val="000000" w:themeColor="text1"/>
          <w:szCs w:val="24"/>
          <w:lang w:eastAsia="lv-LV"/>
        </w:rPr>
        <w:t xml:space="preserve">izstrādājumu patēriņu ietekmēja arī </w:t>
      </w:r>
      <w:r w:rsidRPr="006B7251">
        <w:rPr>
          <w:szCs w:val="24"/>
        </w:rPr>
        <w:t xml:space="preserve">valstī ieviestie pasākumi Covid-19 izplatības ierobežošanai un uz laiku pilnībā pārtrauktā tirdzniecība Latvijas – Igaunijas pierobežā. </w:t>
      </w:r>
    </w:p>
    <w:p w:rsidR="00FD36B6" w:rsidRDefault="00FD36B6" w:rsidP="00F240B0">
      <w:pPr>
        <w:rPr>
          <w:color w:val="000000"/>
          <w:szCs w:val="24"/>
        </w:rPr>
      </w:pPr>
      <w:r>
        <w:rPr>
          <w:color w:val="000000"/>
          <w:szCs w:val="24"/>
        </w:rPr>
        <w:t xml:space="preserve">Cigarešu patēriņu negatīvi ietekmēja </w:t>
      </w:r>
      <w:r w:rsidRPr="006D5919">
        <w:rPr>
          <w:color w:val="000000"/>
          <w:szCs w:val="24"/>
        </w:rPr>
        <w:t>ar mentolu aromatizētu tabakas izstrādājumu</w:t>
      </w:r>
      <w:r>
        <w:rPr>
          <w:color w:val="000000"/>
          <w:szCs w:val="24"/>
        </w:rPr>
        <w:t xml:space="preserve"> </w:t>
      </w:r>
      <w:r w:rsidRPr="006D5919">
        <w:rPr>
          <w:color w:val="000000"/>
          <w:szCs w:val="24"/>
        </w:rPr>
        <w:t>tirdzniecība</w:t>
      </w:r>
      <w:r>
        <w:rPr>
          <w:color w:val="000000"/>
          <w:szCs w:val="24"/>
        </w:rPr>
        <w:t>s</w:t>
      </w:r>
      <w:r w:rsidRPr="006D5919">
        <w:rPr>
          <w:color w:val="000000"/>
          <w:szCs w:val="24"/>
        </w:rPr>
        <w:t xml:space="preserve"> </w:t>
      </w:r>
      <w:r w:rsidR="00ED1869">
        <w:rPr>
          <w:color w:val="000000"/>
          <w:szCs w:val="24"/>
        </w:rPr>
        <w:t>ES</w:t>
      </w:r>
      <w:r>
        <w:rPr>
          <w:color w:val="000000"/>
          <w:szCs w:val="24"/>
        </w:rPr>
        <w:t xml:space="preserve"> aizliegums, kas noteikts ar </w:t>
      </w:r>
      <w:r w:rsidRPr="006D5919">
        <w:rPr>
          <w:color w:val="000000"/>
          <w:szCs w:val="24"/>
        </w:rPr>
        <w:t>2020.</w:t>
      </w:r>
      <w:r w:rsidR="00ED1869">
        <w:rPr>
          <w:color w:val="000000"/>
          <w:szCs w:val="24"/>
        </w:rPr>
        <w:t xml:space="preserve"> </w:t>
      </w:r>
      <w:r w:rsidRPr="006D5919">
        <w:rPr>
          <w:color w:val="000000"/>
          <w:szCs w:val="24"/>
        </w:rPr>
        <w:t>gada 20.</w:t>
      </w:r>
      <w:r w:rsidR="00ED1869">
        <w:rPr>
          <w:color w:val="000000"/>
          <w:szCs w:val="24"/>
        </w:rPr>
        <w:t xml:space="preserve"> </w:t>
      </w:r>
      <w:r w:rsidRPr="006D5919">
        <w:rPr>
          <w:color w:val="000000"/>
          <w:szCs w:val="24"/>
        </w:rPr>
        <w:t xml:space="preserve">maiju, pamatojoties uz </w:t>
      </w:r>
      <w:r w:rsidRPr="00A05ABB">
        <w:rPr>
          <w:color w:val="000000"/>
          <w:szCs w:val="24"/>
        </w:rPr>
        <w:t>Eiropas Parlamenta un Padomes direktīv</w:t>
      </w:r>
      <w:r>
        <w:rPr>
          <w:color w:val="000000"/>
          <w:szCs w:val="24"/>
        </w:rPr>
        <w:t>u</w:t>
      </w:r>
      <w:r w:rsidRPr="00A05ABB">
        <w:rPr>
          <w:color w:val="000000"/>
          <w:szCs w:val="24"/>
        </w:rPr>
        <w:t xml:space="preserve"> 2014/40/ES</w:t>
      </w:r>
      <w:r w:rsidRPr="006D5919">
        <w:rPr>
          <w:color w:val="000000"/>
          <w:szCs w:val="24"/>
        </w:rPr>
        <w:t>, kas tika pieņemta 2014.</w:t>
      </w:r>
      <w:r w:rsidR="00ED1869">
        <w:rPr>
          <w:color w:val="000000"/>
          <w:szCs w:val="24"/>
        </w:rPr>
        <w:t xml:space="preserve"> </w:t>
      </w:r>
      <w:r w:rsidRPr="006D5919">
        <w:rPr>
          <w:color w:val="000000"/>
          <w:szCs w:val="24"/>
        </w:rPr>
        <w:t>gada 19.</w:t>
      </w:r>
      <w:r w:rsidR="00ED1869">
        <w:rPr>
          <w:color w:val="000000"/>
          <w:szCs w:val="24"/>
        </w:rPr>
        <w:t xml:space="preserve"> </w:t>
      </w:r>
      <w:r w:rsidRPr="006D5919">
        <w:rPr>
          <w:color w:val="000000"/>
          <w:szCs w:val="24"/>
        </w:rPr>
        <w:t>maijā</w:t>
      </w:r>
      <w:r>
        <w:rPr>
          <w:color w:val="000000"/>
          <w:szCs w:val="24"/>
        </w:rPr>
        <w:t>.</w:t>
      </w:r>
    </w:p>
    <w:p w:rsidR="00FD36B6" w:rsidRPr="006B7251" w:rsidRDefault="00FD36B6" w:rsidP="00F240B0">
      <w:pPr>
        <w:rPr>
          <w:szCs w:val="24"/>
        </w:rPr>
      </w:pPr>
      <w:r w:rsidRPr="006D5919">
        <w:rPr>
          <w:color w:val="000000"/>
          <w:szCs w:val="24"/>
        </w:rPr>
        <w:t>Papildus iepriekš minētajam saskaņā ar 2019.</w:t>
      </w:r>
      <w:r w:rsidR="00ED1869">
        <w:rPr>
          <w:color w:val="000000"/>
          <w:szCs w:val="24"/>
        </w:rPr>
        <w:t xml:space="preserve"> </w:t>
      </w:r>
      <w:r w:rsidRPr="006D5919">
        <w:rPr>
          <w:color w:val="000000"/>
          <w:szCs w:val="24"/>
        </w:rPr>
        <w:t>gada 4.</w:t>
      </w:r>
      <w:r w:rsidR="00ED1869">
        <w:rPr>
          <w:color w:val="000000"/>
          <w:szCs w:val="24"/>
        </w:rPr>
        <w:t xml:space="preserve"> </w:t>
      </w:r>
      <w:r w:rsidRPr="006D5919">
        <w:rPr>
          <w:color w:val="000000"/>
          <w:szCs w:val="24"/>
        </w:rPr>
        <w:t>aprīlī pieņemtajiem grozījumiem Tabakas izstrādājumu, augu smēķēšanas produktu, elektronisko smēķēšanas ierīču un to šķidrumu aprites likumā ar 2020.</w:t>
      </w:r>
      <w:r w:rsidR="00ED1869">
        <w:rPr>
          <w:color w:val="000000"/>
          <w:szCs w:val="24"/>
        </w:rPr>
        <w:t xml:space="preserve"> </w:t>
      </w:r>
      <w:r w:rsidRPr="006D5919">
        <w:rPr>
          <w:color w:val="000000"/>
          <w:szCs w:val="24"/>
        </w:rPr>
        <w:t>gada 1.</w:t>
      </w:r>
      <w:r w:rsidR="00ED1869">
        <w:rPr>
          <w:color w:val="000000"/>
          <w:szCs w:val="24"/>
        </w:rPr>
        <w:t xml:space="preserve"> </w:t>
      </w:r>
      <w:r w:rsidRPr="006D5919">
        <w:rPr>
          <w:color w:val="000000"/>
          <w:szCs w:val="24"/>
        </w:rPr>
        <w:t xml:space="preserve">oktobri mazumtirdzniecības vietās aizliegts izvietot tabakas izstrādājumus, augu smēķēšanas produktus, elektroniskās smēķēšanas ierīces un </w:t>
      </w:r>
      <w:proofErr w:type="spellStart"/>
      <w:r w:rsidRPr="006D5919">
        <w:rPr>
          <w:color w:val="000000"/>
          <w:szCs w:val="24"/>
        </w:rPr>
        <w:t>uzpildes</w:t>
      </w:r>
      <w:proofErr w:type="spellEnd"/>
      <w:r w:rsidRPr="006D5919">
        <w:rPr>
          <w:color w:val="000000"/>
          <w:szCs w:val="24"/>
        </w:rPr>
        <w:t xml:space="preserve"> tvertnes pircējiem redzamā vietā.</w:t>
      </w:r>
    </w:p>
    <w:p w:rsidR="00FD36B6" w:rsidRPr="00324699" w:rsidRDefault="00FD36B6" w:rsidP="00F240B0">
      <w:pPr>
        <w:tabs>
          <w:tab w:val="left" w:pos="1134"/>
        </w:tabs>
        <w:rPr>
          <w:highlight w:val="yellow"/>
        </w:rPr>
      </w:pPr>
      <w:r w:rsidRPr="006B7251">
        <w:rPr>
          <w:iCs/>
          <w:szCs w:val="24"/>
        </w:rPr>
        <w:t>Akcīzes nodokļa ieņēmumus ietekmē ne vien nodokļa objektu patēriņa dinamika, bet arī iepriekšējos gados pieņemtās izmaiņas normatīvajos</w:t>
      </w:r>
      <w:r w:rsidRPr="00DB6EFF">
        <w:rPr>
          <w:iCs/>
        </w:rPr>
        <w:t xml:space="preserve"> aktos. </w:t>
      </w:r>
      <w:r w:rsidRPr="00DB6EFF">
        <w:t>Saskaņā ar 2017.</w:t>
      </w:r>
      <w:r w:rsidR="00ED1869">
        <w:t xml:space="preserve"> </w:t>
      </w:r>
      <w:r w:rsidRPr="00DB6EFF">
        <w:t>gada 27.</w:t>
      </w:r>
      <w:r w:rsidR="00ED1869">
        <w:t xml:space="preserve"> </w:t>
      </w:r>
      <w:r w:rsidRPr="00DB6EFF">
        <w:t>jūlijā pieņemta</w:t>
      </w:r>
      <w:r w:rsidR="00ED1869">
        <w:t>jiem grozījumiem likumā “</w:t>
      </w:r>
      <w:r w:rsidRPr="00DB6EFF">
        <w:t>Par akcīzes nodokli” ar 2019.</w:t>
      </w:r>
      <w:r w:rsidR="00ED1869">
        <w:t xml:space="preserve"> </w:t>
      </w:r>
      <w:r w:rsidRPr="00DB6EFF">
        <w:t>gada 1.</w:t>
      </w:r>
      <w:r w:rsidR="00ED1869">
        <w:t xml:space="preserve"> </w:t>
      </w:r>
      <w:r w:rsidRPr="00DB6EFF">
        <w:t>jūliju cigaretēm akcīzes nodoklis tika paaugstināts no 74,6 </w:t>
      </w:r>
      <w:proofErr w:type="spellStart"/>
      <w:r w:rsidRPr="00F92BF9">
        <w:rPr>
          <w:i/>
        </w:rPr>
        <w:t>euro</w:t>
      </w:r>
      <w:proofErr w:type="spellEnd"/>
      <w:r w:rsidRPr="00DB6EFF">
        <w:t xml:space="preserve"> līdz 78,7</w:t>
      </w:r>
      <w:r>
        <w:t> </w:t>
      </w:r>
      <w:proofErr w:type="spellStart"/>
      <w:r w:rsidRPr="00F92BF9">
        <w:rPr>
          <w:i/>
        </w:rPr>
        <w:t>euro</w:t>
      </w:r>
      <w:proofErr w:type="spellEnd"/>
      <w:r w:rsidRPr="00DB6EFF">
        <w:t xml:space="preserve"> par 1 000 cigaretēm, bet minimālais akcīzes nodokļa līmenis tika paaugstināts no 109,2 </w:t>
      </w:r>
      <w:proofErr w:type="spellStart"/>
      <w:r w:rsidRPr="00F92BF9">
        <w:rPr>
          <w:i/>
        </w:rPr>
        <w:t>euro</w:t>
      </w:r>
      <w:proofErr w:type="spellEnd"/>
      <w:r w:rsidRPr="00DB6EFF">
        <w:t xml:space="preserve"> līdz 114,7 </w:t>
      </w:r>
      <w:proofErr w:type="spellStart"/>
      <w:r w:rsidRPr="00F92BF9">
        <w:rPr>
          <w:i/>
        </w:rPr>
        <w:t>euro</w:t>
      </w:r>
      <w:proofErr w:type="spellEnd"/>
      <w:r w:rsidRPr="00DB6EFF">
        <w:t xml:space="preserve"> par 1 000 cigaretēm. </w:t>
      </w:r>
      <w:r>
        <w:t xml:space="preserve">Ar minētajiem grozījumiem </w:t>
      </w:r>
      <w:r w:rsidRPr="00DB6EFF">
        <w:t>ar 2020.</w:t>
      </w:r>
      <w:r w:rsidR="00ED1869">
        <w:t xml:space="preserve"> </w:t>
      </w:r>
      <w:r w:rsidRPr="00DB6EFF">
        <w:t>gada 1.</w:t>
      </w:r>
      <w:r w:rsidR="00ED1869">
        <w:t xml:space="preserve"> </w:t>
      </w:r>
      <w:r w:rsidRPr="00DB6EFF">
        <w:t xml:space="preserve">janvāri akcīzes nodoklis </w:t>
      </w:r>
      <w:r>
        <w:t xml:space="preserve">tika paaugstināts arī </w:t>
      </w:r>
      <w:r w:rsidRPr="00DB6EFF">
        <w:t xml:space="preserve">cigāriem un </w:t>
      </w:r>
      <w:proofErr w:type="spellStart"/>
      <w:r w:rsidRPr="00DB6EFF">
        <w:t>cigarillām</w:t>
      </w:r>
      <w:proofErr w:type="spellEnd"/>
      <w:r w:rsidRPr="00DB6EFF">
        <w:t xml:space="preserve"> no 88,0</w:t>
      </w:r>
      <w:r>
        <w:t> </w:t>
      </w:r>
      <w:proofErr w:type="spellStart"/>
      <w:r w:rsidRPr="00F92BF9">
        <w:rPr>
          <w:i/>
        </w:rPr>
        <w:t>euro</w:t>
      </w:r>
      <w:proofErr w:type="spellEnd"/>
      <w:r w:rsidRPr="00DB6EFF">
        <w:t xml:space="preserve"> līdz 95,2</w:t>
      </w:r>
      <w:r>
        <w:t> </w:t>
      </w:r>
      <w:proofErr w:type="spellStart"/>
      <w:r w:rsidRPr="00F92BF9">
        <w:rPr>
          <w:i/>
        </w:rPr>
        <w:t>euro</w:t>
      </w:r>
      <w:proofErr w:type="spellEnd"/>
      <w:r w:rsidRPr="00DB6EFF">
        <w:t xml:space="preserve"> par 1</w:t>
      </w:r>
      <w:r>
        <w:t> </w:t>
      </w:r>
      <w:r w:rsidRPr="00DB6EFF">
        <w:t>000</w:t>
      </w:r>
      <w:r>
        <w:t> </w:t>
      </w:r>
      <w:r w:rsidRPr="00DB6EFF">
        <w:t>gab</w:t>
      </w:r>
      <w:r>
        <w:t>.</w:t>
      </w:r>
      <w:r w:rsidRPr="00DB6EFF">
        <w:t>, bet smēķējamai tabakai – smalki sagrieztai tabakai cigarešu uztīšanai, citai smēķējamai tabakai, tabakas lapām un karsējamai tabakai – tas tik</w:t>
      </w:r>
      <w:r>
        <w:t>a</w:t>
      </w:r>
      <w:r w:rsidRPr="00DB6EFF">
        <w:t xml:space="preserve"> paaugstināts no 70,0</w:t>
      </w:r>
      <w:r>
        <w:t> </w:t>
      </w:r>
      <w:proofErr w:type="spellStart"/>
      <w:r w:rsidRPr="00F92BF9">
        <w:rPr>
          <w:i/>
        </w:rPr>
        <w:t>euro</w:t>
      </w:r>
      <w:proofErr w:type="spellEnd"/>
      <w:r w:rsidRPr="00DB6EFF">
        <w:t xml:space="preserve"> līdz 75,0</w:t>
      </w:r>
      <w:r>
        <w:t> </w:t>
      </w:r>
      <w:proofErr w:type="spellStart"/>
      <w:r w:rsidRPr="00F92BF9">
        <w:rPr>
          <w:i/>
        </w:rPr>
        <w:t>euro</w:t>
      </w:r>
      <w:proofErr w:type="spellEnd"/>
      <w:r>
        <w:t xml:space="preserve"> par 1 </w:t>
      </w:r>
      <w:r w:rsidRPr="00DB6EFF">
        <w:t>000</w:t>
      </w:r>
      <w:r>
        <w:t> </w:t>
      </w:r>
      <w:r w:rsidRPr="00DB6EFF">
        <w:t>gramiem.</w:t>
      </w:r>
    </w:p>
    <w:p w:rsidR="00FD36B6" w:rsidRPr="00DB6EFF" w:rsidRDefault="00FD36B6" w:rsidP="00FD36B6">
      <w:pPr>
        <w:spacing w:before="120"/>
        <w:rPr>
          <w:color w:val="FF0000"/>
        </w:rPr>
      </w:pPr>
      <w:r w:rsidRPr="00DB6EFF">
        <w:t>Ņemot vērā iepriekš minēto, akcīzes nodokļa tabakas izstrādājumiem ieņēmumi 2020.</w:t>
      </w:r>
      <w:r w:rsidR="00ED1869">
        <w:t> </w:t>
      </w:r>
      <w:r w:rsidRPr="00DB6EFF">
        <w:t xml:space="preserve">gadā prognozēti 224,8 milj. </w:t>
      </w:r>
      <w:proofErr w:type="spellStart"/>
      <w:r w:rsidRPr="00F92BF9">
        <w:rPr>
          <w:bCs/>
          <w:i/>
          <w:szCs w:val="24"/>
        </w:rPr>
        <w:t>euro</w:t>
      </w:r>
      <w:proofErr w:type="spellEnd"/>
      <w:r w:rsidRPr="00DB6EFF">
        <w:t xml:space="preserve"> apmērā, kas ir par 16,0 milj. </w:t>
      </w:r>
      <w:proofErr w:type="spellStart"/>
      <w:r w:rsidRPr="00F92BF9">
        <w:rPr>
          <w:bCs/>
          <w:i/>
          <w:szCs w:val="24"/>
        </w:rPr>
        <w:t>euro</w:t>
      </w:r>
      <w:proofErr w:type="spellEnd"/>
      <w:r w:rsidRPr="00DB6EFF">
        <w:t xml:space="preserve"> jeb par 6,6% mazāk nekā plānots. </w:t>
      </w:r>
    </w:p>
    <w:p w:rsidR="00FD36B6" w:rsidRPr="00956EC6" w:rsidRDefault="00FD36B6" w:rsidP="00FD36B6">
      <w:r w:rsidRPr="00DB6EFF">
        <w:t>Sagatavojot 2021.</w:t>
      </w:r>
      <w:r w:rsidR="00ED1869">
        <w:t xml:space="preserve"> </w:t>
      </w:r>
      <w:r w:rsidRPr="00DB6EFF">
        <w:t>gada akcīzes nodokļa tabakas izstrādājumiem ieņēmumu plānu, tika ņemtas vērā iepriekš minētās makroekonomisko rādītāju izmaiņas, jaunā 2020.</w:t>
      </w:r>
      <w:r w:rsidR="00ED1869">
        <w:t xml:space="preserve"> </w:t>
      </w:r>
      <w:r w:rsidRPr="00956EC6">
        <w:t>gada prognozētā bāze, pieņemtie grozījumi normatīvajos aktos un prognozētā apliekamo objektu patēriņa dinamika.</w:t>
      </w:r>
    </w:p>
    <w:p w:rsidR="00FD36B6" w:rsidRPr="00956EC6" w:rsidRDefault="00FD36B6" w:rsidP="00F240B0">
      <w:pPr>
        <w:spacing w:before="120"/>
        <w:rPr>
          <w:rFonts w:eastAsia="Calibri"/>
          <w:i/>
          <w:szCs w:val="28"/>
          <w:lang w:eastAsia="lv-LV"/>
        </w:rPr>
      </w:pPr>
      <w:r w:rsidRPr="00956EC6">
        <w:t xml:space="preserve">Saskaņā ar </w:t>
      </w:r>
      <w:r w:rsidR="00ED1869">
        <w:rPr>
          <w:szCs w:val="24"/>
        </w:rPr>
        <w:t>MK</w:t>
      </w:r>
      <w:r w:rsidRPr="00956EC6">
        <w:rPr>
          <w:szCs w:val="24"/>
        </w:rPr>
        <w:t xml:space="preserve"> 2020.</w:t>
      </w:r>
      <w:r w:rsidR="00ED1869">
        <w:rPr>
          <w:szCs w:val="24"/>
        </w:rPr>
        <w:t xml:space="preserve"> </w:t>
      </w:r>
      <w:r w:rsidRPr="00956EC6">
        <w:rPr>
          <w:szCs w:val="24"/>
        </w:rPr>
        <w:t>gada 2.</w:t>
      </w:r>
      <w:r w:rsidR="00ED1869">
        <w:rPr>
          <w:szCs w:val="24"/>
        </w:rPr>
        <w:t xml:space="preserve"> </w:t>
      </w:r>
      <w:r w:rsidRPr="00956EC6">
        <w:rPr>
          <w:szCs w:val="24"/>
        </w:rPr>
        <w:t>septembra sēdē atbalstīto i</w:t>
      </w:r>
      <w:r w:rsidR="00ED1869">
        <w:t>nformatīvo ziņojumu “</w:t>
      </w:r>
      <w:r w:rsidRPr="00956EC6">
        <w:t>Par nodokļu politikas attīstības virzieniem, valsts sociālās un veselības apdrošināšanas ilgtspējas veicināšanai</w:t>
      </w:r>
      <w:r w:rsidR="00ED1869">
        <w:t>”</w:t>
      </w:r>
      <w:r w:rsidRPr="00956EC6">
        <w:t xml:space="preserve"> paredzētas vairākas akcīzes nodokļa izmaiņas:</w:t>
      </w:r>
    </w:p>
    <w:p w:rsidR="00FD36B6" w:rsidRPr="00FF5025" w:rsidRDefault="00FD36B6" w:rsidP="00373FD4">
      <w:pPr>
        <w:pStyle w:val="ListParagraph"/>
        <w:numPr>
          <w:ilvl w:val="0"/>
          <w:numId w:val="16"/>
        </w:numPr>
        <w:spacing w:after="0"/>
        <w:ind w:right="57"/>
      </w:pPr>
      <w:r w:rsidRPr="00956EC6">
        <w:t>ar 2021.</w:t>
      </w:r>
      <w:r w:rsidR="00F240B0">
        <w:t xml:space="preserve"> </w:t>
      </w:r>
      <w:r w:rsidRPr="00956EC6">
        <w:t>gada 1.</w:t>
      </w:r>
      <w:r w:rsidR="00F240B0">
        <w:t xml:space="preserve"> </w:t>
      </w:r>
      <w:r w:rsidRPr="00956EC6">
        <w:t xml:space="preserve">janvāri tiks paaugstinātas akcīzes nodokļa likmes cigāriem, </w:t>
      </w:r>
      <w:proofErr w:type="spellStart"/>
      <w:r w:rsidRPr="00956EC6">
        <w:t>cigarillām</w:t>
      </w:r>
      <w:proofErr w:type="spellEnd"/>
      <w:r w:rsidRPr="00956EC6">
        <w:t>, smēķējamajai un karsējamajai tabakai un tabakas lapām</w:t>
      </w:r>
      <w:r w:rsidRPr="00FF5025">
        <w:t>;</w:t>
      </w:r>
    </w:p>
    <w:p w:rsidR="00FD36B6" w:rsidRDefault="00FD36B6" w:rsidP="00373FD4">
      <w:pPr>
        <w:pStyle w:val="ListParagraph"/>
        <w:numPr>
          <w:ilvl w:val="0"/>
          <w:numId w:val="16"/>
        </w:numPr>
        <w:spacing w:after="0"/>
        <w:ind w:right="57"/>
      </w:pPr>
      <w:r w:rsidRPr="00FF5025">
        <w:t>ar 2021.</w:t>
      </w:r>
      <w:r w:rsidR="00F240B0">
        <w:t xml:space="preserve"> </w:t>
      </w:r>
      <w:r w:rsidRPr="00FF5025">
        <w:t>gada 1.</w:t>
      </w:r>
      <w:r w:rsidR="00F240B0">
        <w:t xml:space="preserve"> </w:t>
      </w:r>
      <w:r w:rsidRPr="00FF5025">
        <w:t>janvāri akcīzes nodoklis tiks piemērots arī tabakas aizstājējproduktiem (piemēram</w:t>
      </w:r>
      <w:r>
        <w:t>, nikotīnu saturoši spilventiņiem)</w:t>
      </w:r>
      <w:r w:rsidRPr="00F7769B">
        <w:t>;</w:t>
      </w:r>
    </w:p>
    <w:p w:rsidR="00FD36B6" w:rsidRPr="00F7769B" w:rsidRDefault="00FD36B6" w:rsidP="00373FD4">
      <w:pPr>
        <w:pStyle w:val="ListParagraph"/>
        <w:numPr>
          <w:ilvl w:val="0"/>
          <w:numId w:val="16"/>
        </w:numPr>
        <w:spacing w:after="0"/>
        <w:ind w:right="57"/>
      </w:pPr>
      <w:r w:rsidRPr="00F7769B">
        <w:t>ar 2021.</w:t>
      </w:r>
      <w:r w:rsidR="00F240B0">
        <w:t xml:space="preserve"> </w:t>
      </w:r>
      <w:r w:rsidRPr="00F7769B">
        <w:t>gada 1.</w:t>
      </w:r>
      <w:r w:rsidR="00F240B0">
        <w:t xml:space="preserve"> </w:t>
      </w:r>
      <w:r w:rsidRPr="00F7769B">
        <w:t>martu tiks paaugstinātas akcīzes nodokļa likmes cigaretēm.</w:t>
      </w:r>
    </w:p>
    <w:p w:rsidR="00FD36B6" w:rsidRDefault="00F240B0" w:rsidP="00F240B0">
      <w:pPr>
        <w:tabs>
          <w:tab w:val="left" w:pos="709"/>
        </w:tabs>
        <w:spacing w:before="120"/>
        <w:ind w:firstLine="0"/>
      </w:pPr>
      <w:r>
        <w:tab/>
      </w:r>
      <w:r w:rsidR="00FD36B6" w:rsidRPr="000677B1">
        <w:t>Fiskālā ietekme 2021.</w:t>
      </w:r>
      <w:r>
        <w:t xml:space="preserve"> </w:t>
      </w:r>
      <w:r w:rsidR="00FD36B6" w:rsidRPr="000677B1">
        <w:t xml:space="preserve">gadā +4,5 milj. </w:t>
      </w:r>
      <w:proofErr w:type="spellStart"/>
      <w:r w:rsidR="00FD36B6" w:rsidRPr="00F92BF9">
        <w:rPr>
          <w:bCs/>
          <w:i/>
          <w:szCs w:val="24"/>
        </w:rPr>
        <w:t>euro</w:t>
      </w:r>
      <w:proofErr w:type="spellEnd"/>
      <w:r w:rsidR="00FD36B6" w:rsidRPr="000677B1">
        <w:t xml:space="preserve"> (t.sk. no akcīzes nodokļa +3,7 milj. </w:t>
      </w:r>
      <w:proofErr w:type="spellStart"/>
      <w:r w:rsidR="00FD36B6" w:rsidRPr="00F92BF9">
        <w:rPr>
          <w:bCs/>
          <w:i/>
          <w:szCs w:val="24"/>
        </w:rPr>
        <w:t>euro</w:t>
      </w:r>
      <w:proofErr w:type="spellEnd"/>
      <w:r w:rsidR="00FD36B6" w:rsidRPr="000677B1">
        <w:t xml:space="preserve"> un no </w:t>
      </w:r>
      <w:r>
        <w:t>PVN</w:t>
      </w:r>
      <w:r w:rsidR="00FD36B6" w:rsidRPr="000677B1">
        <w:t xml:space="preserve"> +0,8 milj. </w:t>
      </w:r>
      <w:proofErr w:type="spellStart"/>
      <w:r w:rsidR="00FD36B6" w:rsidRPr="00F92BF9">
        <w:rPr>
          <w:bCs/>
          <w:i/>
          <w:szCs w:val="24"/>
        </w:rPr>
        <w:t>euro</w:t>
      </w:r>
      <w:proofErr w:type="spellEnd"/>
      <w:r w:rsidR="00FD36B6" w:rsidRPr="000677B1">
        <w:t xml:space="preserve">). </w:t>
      </w:r>
    </w:p>
    <w:p w:rsidR="00FD36B6" w:rsidRDefault="00FD36B6" w:rsidP="00F240B0">
      <w:r>
        <w:t>Likmes paredzēts paaugstināt arī 2022. un 2023.</w:t>
      </w:r>
      <w:r w:rsidR="00F240B0">
        <w:t xml:space="preserve"> </w:t>
      </w:r>
      <w:r>
        <w:t xml:space="preserve">gadā, </w:t>
      </w:r>
      <w:r w:rsidRPr="00F240B0">
        <w:t>skat. 3.11.tabulu.</w:t>
      </w:r>
    </w:p>
    <w:p w:rsidR="00F240B0" w:rsidRDefault="00F240B0" w:rsidP="00F240B0">
      <w:pPr>
        <w:spacing w:before="240"/>
        <w:ind w:firstLine="0"/>
        <w:jc w:val="center"/>
        <w:rPr>
          <w:b/>
          <w:i/>
        </w:rPr>
      </w:pPr>
    </w:p>
    <w:p w:rsidR="00FD36B6" w:rsidRPr="00F240B0" w:rsidRDefault="00FD36B6" w:rsidP="00F240B0">
      <w:pPr>
        <w:spacing w:before="240"/>
        <w:ind w:firstLine="0"/>
        <w:jc w:val="center"/>
        <w:rPr>
          <w:b/>
        </w:rPr>
      </w:pPr>
      <w:r w:rsidRPr="00F240B0">
        <w:rPr>
          <w:b/>
          <w:i/>
        </w:rPr>
        <w:lastRenderedPageBreak/>
        <w:t>3.11.</w:t>
      </w:r>
      <w:r w:rsidR="004D65F6">
        <w:rPr>
          <w:b/>
          <w:i/>
        </w:rPr>
        <w:t xml:space="preserve"> </w:t>
      </w:r>
      <w:r w:rsidRPr="00F240B0">
        <w:rPr>
          <w:b/>
          <w:i/>
        </w:rPr>
        <w:t>tabula</w:t>
      </w:r>
      <w:r w:rsidRPr="00F240B0">
        <w:t xml:space="preserve"> </w:t>
      </w:r>
      <w:r w:rsidRPr="00F240B0">
        <w:rPr>
          <w:b/>
        </w:rPr>
        <w:t>Akcīzes nodokļa likmes tabakas izstrādājumiem 2019.–2023.</w:t>
      </w:r>
      <w:r w:rsidR="00F240B0">
        <w:rPr>
          <w:b/>
        </w:rPr>
        <w:t xml:space="preserve"> </w:t>
      </w:r>
      <w:r w:rsidRPr="00F240B0">
        <w:rPr>
          <w:b/>
        </w:rPr>
        <w:t>gadā</w:t>
      </w:r>
    </w:p>
    <w:tbl>
      <w:tblPr>
        <w:tblW w:w="9084" w:type="dxa"/>
        <w:jc w:val="center"/>
        <w:tblLook w:val="04A0" w:firstRow="1" w:lastRow="0" w:firstColumn="1" w:lastColumn="0" w:noHBand="0" w:noVBand="1"/>
      </w:tblPr>
      <w:tblGrid>
        <w:gridCol w:w="3482"/>
        <w:gridCol w:w="1420"/>
        <w:gridCol w:w="1392"/>
        <w:gridCol w:w="1392"/>
        <w:gridCol w:w="1398"/>
      </w:tblGrid>
      <w:tr w:rsidR="00FD36B6" w:rsidRPr="000677B1" w:rsidTr="00F240B0">
        <w:trPr>
          <w:trHeight w:val="216"/>
          <w:jc w:val="center"/>
        </w:trPr>
        <w:tc>
          <w:tcPr>
            <w:tcW w:w="3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36B6" w:rsidRPr="000677B1" w:rsidRDefault="00FD36B6" w:rsidP="00FD36B6">
            <w:pPr>
              <w:spacing w:after="0"/>
              <w:ind w:firstLine="0"/>
              <w:jc w:val="left"/>
              <w:rPr>
                <w:b/>
                <w:bCs/>
                <w:color w:val="000000"/>
                <w:sz w:val="18"/>
                <w:szCs w:val="22"/>
                <w:lang w:eastAsia="lv-LV"/>
              </w:rPr>
            </w:pPr>
            <w:r w:rsidRPr="000677B1">
              <w:rPr>
                <w:b/>
                <w:bCs/>
                <w:color w:val="000000"/>
                <w:sz w:val="18"/>
                <w:szCs w:val="22"/>
                <w:lang w:eastAsia="lv-LV"/>
              </w:rPr>
              <w:t>Tabakas izstrādājuma veids</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D36B6" w:rsidRPr="000677B1" w:rsidRDefault="00FD36B6" w:rsidP="00FD36B6">
            <w:pPr>
              <w:spacing w:after="0"/>
              <w:ind w:firstLine="0"/>
              <w:jc w:val="center"/>
              <w:rPr>
                <w:b/>
                <w:color w:val="000000"/>
                <w:sz w:val="18"/>
                <w:szCs w:val="22"/>
                <w:lang w:eastAsia="lv-LV"/>
              </w:rPr>
            </w:pPr>
            <w:r w:rsidRPr="000677B1">
              <w:rPr>
                <w:b/>
                <w:color w:val="000000"/>
                <w:sz w:val="18"/>
                <w:szCs w:val="22"/>
                <w:lang w:eastAsia="lv-LV"/>
              </w:rPr>
              <w:t>Spēkā esošā likme</w:t>
            </w:r>
          </w:p>
        </w:tc>
        <w:tc>
          <w:tcPr>
            <w:tcW w:w="418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D36B6" w:rsidRPr="000677B1" w:rsidRDefault="00FD36B6" w:rsidP="00FD36B6">
            <w:pPr>
              <w:spacing w:after="0"/>
              <w:ind w:firstLine="0"/>
              <w:jc w:val="center"/>
              <w:rPr>
                <w:b/>
                <w:color w:val="000000"/>
                <w:sz w:val="18"/>
                <w:szCs w:val="22"/>
                <w:lang w:eastAsia="lv-LV"/>
              </w:rPr>
            </w:pPr>
            <w:r w:rsidRPr="000677B1">
              <w:rPr>
                <w:b/>
                <w:color w:val="000000"/>
                <w:sz w:val="18"/>
                <w:szCs w:val="22"/>
                <w:lang w:eastAsia="lv-LV"/>
              </w:rPr>
              <w:t>Plānotās likmes</w:t>
            </w:r>
          </w:p>
        </w:tc>
      </w:tr>
      <w:tr w:rsidR="00FD36B6" w:rsidRPr="000677B1" w:rsidTr="00F240B0">
        <w:trPr>
          <w:trHeight w:val="216"/>
          <w:jc w:val="center"/>
        </w:trPr>
        <w:tc>
          <w:tcPr>
            <w:tcW w:w="3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D36B6" w:rsidRPr="00F84C95" w:rsidRDefault="00FD36B6" w:rsidP="00FD36B6">
            <w:pPr>
              <w:spacing w:after="0"/>
              <w:ind w:firstLine="0"/>
              <w:jc w:val="left"/>
              <w:rPr>
                <w:b/>
                <w:bCs/>
                <w:color w:val="000000"/>
                <w:sz w:val="18"/>
                <w:szCs w:val="22"/>
                <w:lang w:eastAsia="lv-LV"/>
              </w:rPr>
            </w:pPr>
            <w:r w:rsidRPr="00F84C95">
              <w:rPr>
                <w:b/>
                <w:bCs/>
                <w:color w:val="000000"/>
                <w:sz w:val="18"/>
                <w:szCs w:val="22"/>
                <w:lang w:eastAsia="lv-LV"/>
              </w:rPr>
              <w:t>Cigaretes</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01.07.2019.</w:t>
            </w:r>
          </w:p>
        </w:tc>
        <w:tc>
          <w:tcPr>
            <w:tcW w:w="13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01.03.2021.</w:t>
            </w:r>
          </w:p>
        </w:tc>
        <w:tc>
          <w:tcPr>
            <w:tcW w:w="13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01.01.2022.</w:t>
            </w:r>
          </w:p>
        </w:tc>
        <w:tc>
          <w:tcPr>
            <w:tcW w:w="139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01.01.2023.</w:t>
            </w:r>
          </w:p>
        </w:tc>
      </w:tr>
      <w:tr w:rsidR="00FD36B6" w:rsidRPr="00F84C95" w:rsidTr="00F240B0">
        <w:trPr>
          <w:trHeight w:val="216"/>
          <w:jc w:val="center"/>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FD36B6" w:rsidRPr="00F84C95" w:rsidRDefault="00FD36B6" w:rsidP="00FD36B6">
            <w:pPr>
              <w:spacing w:after="0"/>
              <w:ind w:firstLine="0"/>
              <w:jc w:val="left"/>
              <w:rPr>
                <w:color w:val="000000"/>
                <w:sz w:val="18"/>
                <w:szCs w:val="22"/>
                <w:lang w:eastAsia="lv-LV"/>
              </w:rPr>
            </w:pPr>
            <w:r w:rsidRPr="00F84C95">
              <w:rPr>
                <w:color w:val="000000"/>
                <w:sz w:val="18"/>
                <w:szCs w:val="22"/>
                <w:lang w:eastAsia="lv-LV"/>
              </w:rPr>
              <w:t>Nodokļa likme par 1</w:t>
            </w:r>
            <w:r>
              <w:rPr>
                <w:color w:val="000000"/>
                <w:sz w:val="18"/>
                <w:szCs w:val="22"/>
                <w:lang w:eastAsia="lv-LV"/>
              </w:rPr>
              <w:t> </w:t>
            </w:r>
            <w:r w:rsidRPr="00F84C95">
              <w:rPr>
                <w:color w:val="000000"/>
                <w:sz w:val="18"/>
                <w:szCs w:val="22"/>
                <w:lang w:eastAsia="lv-LV"/>
              </w:rPr>
              <w:t xml:space="preserve">000 </w:t>
            </w:r>
            <w:proofErr w:type="spellStart"/>
            <w:r w:rsidRPr="00F84C95">
              <w:rPr>
                <w:color w:val="000000"/>
                <w:sz w:val="18"/>
                <w:szCs w:val="22"/>
                <w:lang w:eastAsia="lv-LV"/>
              </w:rPr>
              <w:t>cig</w:t>
            </w:r>
            <w:proofErr w:type="spellEnd"/>
            <w:r w:rsidRPr="00F84C95">
              <w:rPr>
                <w:color w:val="000000"/>
                <w:sz w:val="18"/>
                <w:szCs w:val="22"/>
                <w:lang w:eastAsia="lv-LV"/>
              </w:rPr>
              <w:t>.</w:t>
            </w:r>
            <w:r w:rsidRPr="000677B1">
              <w:rPr>
                <w:color w:val="000000"/>
                <w:sz w:val="18"/>
                <w:szCs w:val="22"/>
                <w:lang w:eastAsia="lv-LV"/>
              </w:rPr>
              <w:t xml:space="preserve">, </w:t>
            </w:r>
            <w:proofErr w:type="spellStart"/>
            <w:r w:rsidRPr="00F92BF9">
              <w:rPr>
                <w:i/>
                <w:color w:val="000000"/>
                <w:sz w:val="18"/>
                <w:szCs w:val="22"/>
                <w:lang w:eastAsia="lv-LV"/>
              </w:rPr>
              <w:t>euro</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78,70</w:t>
            </w:r>
          </w:p>
        </w:tc>
        <w:tc>
          <w:tcPr>
            <w:tcW w:w="1392"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82,60</w:t>
            </w:r>
          </w:p>
        </w:tc>
        <w:tc>
          <w:tcPr>
            <w:tcW w:w="1392"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86,70</w:t>
            </w:r>
          </w:p>
        </w:tc>
        <w:tc>
          <w:tcPr>
            <w:tcW w:w="1396"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91,00</w:t>
            </w:r>
          </w:p>
        </w:tc>
      </w:tr>
      <w:tr w:rsidR="00FD36B6" w:rsidRPr="00F84C95" w:rsidTr="00F240B0">
        <w:trPr>
          <w:trHeight w:val="216"/>
          <w:jc w:val="center"/>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FD36B6" w:rsidRPr="00F84C95" w:rsidRDefault="00FD36B6" w:rsidP="00FD36B6">
            <w:pPr>
              <w:spacing w:after="0"/>
              <w:ind w:firstLine="0"/>
              <w:jc w:val="left"/>
              <w:rPr>
                <w:color w:val="000000"/>
                <w:sz w:val="18"/>
                <w:szCs w:val="22"/>
                <w:lang w:eastAsia="lv-LV"/>
              </w:rPr>
            </w:pPr>
            <w:r w:rsidRPr="00F84C95">
              <w:rPr>
                <w:color w:val="000000"/>
                <w:sz w:val="18"/>
                <w:szCs w:val="22"/>
                <w:lang w:eastAsia="lv-LV"/>
              </w:rPr>
              <w:t xml:space="preserve">Nodokļa </w:t>
            </w:r>
            <w:r w:rsidRPr="000677B1">
              <w:rPr>
                <w:color w:val="000000"/>
                <w:sz w:val="18"/>
                <w:szCs w:val="22"/>
                <w:lang w:eastAsia="lv-LV"/>
              </w:rPr>
              <w:t>minimālais līmenis par 1000 </w:t>
            </w:r>
            <w:proofErr w:type="spellStart"/>
            <w:r w:rsidRPr="00F84C95">
              <w:rPr>
                <w:color w:val="000000"/>
                <w:sz w:val="18"/>
                <w:szCs w:val="22"/>
                <w:lang w:eastAsia="lv-LV"/>
              </w:rPr>
              <w:t>cig</w:t>
            </w:r>
            <w:proofErr w:type="spellEnd"/>
            <w:r w:rsidRPr="00F84C95">
              <w:rPr>
                <w:color w:val="000000"/>
                <w:sz w:val="18"/>
                <w:szCs w:val="22"/>
                <w:lang w:eastAsia="lv-LV"/>
              </w:rPr>
              <w:t>.</w:t>
            </w:r>
            <w:r w:rsidRPr="000677B1">
              <w:rPr>
                <w:color w:val="000000"/>
                <w:sz w:val="18"/>
                <w:szCs w:val="22"/>
                <w:lang w:eastAsia="lv-LV"/>
              </w:rPr>
              <w:t xml:space="preserve">, </w:t>
            </w:r>
            <w:proofErr w:type="spellStart"/>
            <w:r w:rsidRPr="00F92BF9">
              <w:rPr>
                <w:bCs/>
                <w:i/>
                <w:color w:val="000000"/>
                <w:sz w:val="18"/>
                <w:szCs w:val="24"/>
                <w:lang w:eastAsia="lv-LV"/>
              </w:rPr>
              <w:t>euro</w:t>
            </w:r>
            <w:proofErr w:type="spellEnd"/>
            <w:r w:rsidRPr="000677B1">
              <w:rPr>
                <w:color w:val="000000"/>
                <w:sz w:val="18"/>
                <w:szCs w:val="22"/>
                <w:lang w:eastAsia="lv-LV"/>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114,70</w:t>
            </w:r>
          </w:p>
        </w:tc>
        <w:tc>
          <w:tcPr>
            <w:tcW w:w="1392"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120,40</w:t>
            </w:r>
          </w:p>
        </w:tc>
        <w:tc>
          <w:tcPr>
            <w:tcW w:w="1392"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126,40</w:t>
            </w:r>
          </w:p>
        </w:tc>
        <w:tc>
          <w:tcPr>
            <w:tcW w:w="1396"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132,70</w:t>
            </w:r>
          </w:p>
        </w:tc>
      </w:tr>
      <w:tr w:rsidR="00FD36B6" w:rsidRPr="00F84C95" w:rsidTr="00F240B0">
        <w:trPr>
          <w:trHeight w:val="216"/>
          <w:jc w:val="center"/>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FD36B6" w:rsidRPr="00F84C95" w:rsidRDefault="00FD36B6" w:rsidP="00FD36B6">
            <w:pPr>
              <w:spacing w:after="0"/>
              <w:ind w:firstLine="0"/>
              <w:jc w:val="left"/>
              <w:rPr>
                <w:color w:val="000000"/>
                <w:sz w:val="18"/>
                <w:szCs w:val="22"/>
                <w:lang w:eastAsia="lv-LV"/>
              </w:rPr>
            </w:pPr>
            <w:proofErr w:type="spellStart"/>
            <w:r w:rsidRPr="00F84C95">
              <w:rPr>
                <w:color w:val="000000"/>
                <w:sz w:val="18"/>
                <w:szCs w:val="22"/>
                <w:lang w:eastAsia="lv-LV"/>
              </w:rPr>
              <w:t>Ad</w:t>
            </w:r>
            <w:proofErr w:type="spellEnd"/>
            <w:r w:rsidRPr="00F84C95">
              <w:rPr>
                <w:color w:val="000000"/>
                <w:sz w:val="18"/>
                <w:szCs w:val="22"/>
                <w:lang w:eastAsia="lv-LV"/>
              </w:rPr>
              <w:t xml:space="preserve"> </w:t>
            </w:r>
            <w:proofErr w:type="spellStart"/>
            <w:r w:rsidRPr="00F84C95">
              <w:rPr>
                <w:color w:val="000000"/>
                <w:sz w:val="18"/>
                <w:szCs w:val="22"/>
                <w:lang w:eastAsia="lv-LV"/>
              </w:rPr>
              <w:t>valorem</w:t>
            </w:r>
            <w:proofErr w:type="spellEnd"/>
            <w:r w:rsidRPr="000677B1">
              <w:rPr>
                <w:color w:val="000000"/>
                <w:sz w:val="18"/>
                <w:szCs w:val="22"/>
                <w:lang w:eastAsia="lv-LV"/>
              </w:rPr>
              <w:t>, %</w:t>
            </w:r>
          </w:p>
        </w:tc>
        <w:tc>
          <w:tcPr>
            <w:tcW w:w="1420"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20,0%</w:t>
            </w:r>
          </w:p>
        </w:tc>
        <w:tc>
          <w:tcPr>
            <w:tcW w:w="1392"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20,0%</w:t>
            </w:r>
          </w:p>
        </w:tc>
        <w:tc>
          <w:tcPr>
            <w:tcW w:w="1392"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20,0%</w:t>
            </w:r>
          </w:p>
        </w:tc>
        <w:tc>
          <w:tcPr>
            <w:tcW w:w="1396"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20,0%</w:t>
            </w:r>
          </w:p>
        </w:tc>
      </w:tr>
      <w:tr w:rsidR="00FD36B6" w:rsidRPr="000677B1" w:rsidTr="00F240B0">
        <w:trPr>
          <w:trHeight w:val="216"/>
          <w:jc w:val="center"/>
        </w:trPr>
        <w:tc>
          <w:tcPr>
            <w:tcW w:w="348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D36B6" w:rsidRPr="00F84C95" w:rsidRDefault="00FD36B6" w:rsidP="00FD36B6">
            <w:pPr>
              <w:spacing w:after="0"/>
              <w:ind w:firstLine="0"/>
              <w:jc w:val="left"/>
              <w:rPr>
                <w:b/>
                <w:bCs/>
                <w:color w:val="000000"/>
                <w:sz w:val="18"/>
                <w:szCs w:val="22"/>
                <w:lang w:eastAsia="lv-LV"/>
              </w:rPr>
            </w:pPr>
            <w:r w:rsidRPr="00F84C95">
              <w:rPr>
                <w:b/>
                <w:bCs/>
                <w:color w:val="000000"/>
                <w:sz w:val="18"/>
                <w:szCs w:val="22"/>
                <w:lang w:eastAsia="lv-LV"/>
              </w:rPr>
              <w:t xml:space="preserve">Cigāri, </w:t>
            </w:r>
            <w:proofErr w:type="spellStart"/>
            <w:r w:rsidRPr="00F84C95">
              <w:rPr>
                <w:b/>
                <w:bCs/>
                <w:color w:val="000000"/>
                <w:sz w:val="18"/>
                <w:szCs w:val="22"/>
                <w:lang w:eastAsia="lv-LV"/>
              </w:rPr>
              <w:t>cigarillas</w:t>
            </w:r>
            <w:proofErr w:type="spellEnd"/>
            <w:r w:rsidRPr="00F84C95">
              <w:rPr>
                <w:b/>
                <w:bCs/>
                <w:color w:val="000000"/>
                <w:sz w:val="18"/>
                <w:szCs w:val="22"/>
                <w:lang w:eastAsia="lv-LV"/>
              </w:rPr>
              <w:t xml:space="preserve"> </w:t>
            </w:r>
          </w:p>
        </w:tc>
        <w:tc>
          <w:tcPr>
            <w:tcW w:w="1420" w:type="dxa"/>
            <w:tcBorders>
              <w:top w:val="nil"/>
              <w:left w:val="nil"/>
              <w:bottom w:val="single" w:sz="4" w:space="0" w:color="auto"/>
              <w:right w:val="single" w:sz="4" w:space="0" w:color="auto"/>
            </w:tcBorders>
            <w:shd w:val="clear" w:color="auto" w:fill="F2F2F2" w:themeFill="background1" w:themeFillShade="F2"/>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01.01.2020.</w:t>
            </w:r>
          </w:p>
        </w:tc>
        <w:tc>
          <w:tcPr>
            <w:tcW w:w="1392" w:type="dxa"/>
            <w:tcBorders>
              <w:top w:val="nil"/>
              <w:left w:val="nil"/>
              <w:bottom w:val="single" w:sz="4" w:space="0" w:color="auto"/>
              <w:right w:val="single" w:sz="4" w:space="0" w:color="auto"/>
            </w:tcBorders>
            <w:shd w:val="clear" w:color="auto" w:fill="F2F2F2" w:themeFill="background1" w:themeFillShade="F2"/>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01.01.2021.</w:t>
            </w:r>
          </w:p>
        </w:tc>
        <w:tc>
          <w:tcPr>
            <w:tcW w:w="1392" w:type="dxa"/>
            <w:tcBorders>
              <w:top w:val="nil"/>
              <w:left w:val="nil"/>
              <w:bottom w:val="single" w:sz="4" w:space="0" w:color="auto"/>
              <w:right w:val="single" w:sz="4" w:space="0" w:color="auto"/>
            </w:tcBorders>
            <w:shd w:val="clear" w:color="auto" w:fill="F2F2F2" w:themeFill="background1" w:themeFillShade="F2"/>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01.01.2022.</w:t>
            </w:r>
          </w:p>
        </w:tc>
        <w:tc>
          <w:tcPr>
            <w:tcW w:w="1396" w:type="dxa"/>
            <w:tcBorders>
              <w:top w:val="nil"/>
              <w:left w:val="nil"/>
              <w:bottom w:val="single" w:sz="4" w:space="0" w:color="auto"/>
              <w:right w:val="single" w:sz="4" w:space="0" w:color="auto"/>
            </w:tcBorders>
            <w:shd w:val="clear" w:color="auto" w:fill="F2F2F2" w:themeFill="background1" w:themeFillShade="F2"/>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01.01.2023.</w:t>
            </w:r>
          </w:p>
        </w:tc>
      </w:tr>
      <w:tr w:rsidR="00FD36B6" w:rsidRPr="00F84C95" w:rsidTr="00F240B0">
        <w:trPr>
          <w:trHeight w:val="216"/>
          <w:jc w:val="center"/>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FD36B6" w:rsidRPr="00F84C95" w:rsidRDefault="00FD36B6" w:rsidP="00FD36B6">
            <w:pPr>
              <w:spacing w:after="0"/>
              <w:ind w:firstLine="0"/>
              <w:jc w:val="left"/>
              <w:rPr>
                <w:color w:val="000000"/>
                <w:sz w:val="18"/>
                <w:szCs w:val="22"/>
                <w:lang w:eastAsia="lv-LV"/>
              </w:rPr>
            </w:pPr>
            <w:r w:rsidRPr="000677B1">
              <w:rPr>
                <w:color w:val="000000"/>
                <w:sz w:val="18"/>
                <w:szCs w:val="22"/>
                <w:lang w:eastAsia="lv-LV"/>
              </w:rPr>
              <w:t xml:space="preserve">Nodokļa </w:t>
            </w:r>
            <w:r w:rsidRPr="00F84C95">
              <w:rPr>
                <w:color w:val="000000"/>
                <w:sz w:val="18"/>
                <w:szCs w:val="22"/>
                <w:lang w:eastAsia="lv-LV"/>
              </w:rPr>
              <w:t>likme par 1</w:t>
            </w:r>
            <w:r>
              <w:rPr>
                <w:color w:val="000000"/>
                <w:sz w:val="18"/>
                <w:szCs w:val="22"/>
                <w:lang w:eastAsia="lv-LV"/>
              </w:rPr>
              <w:t> </w:t>
            </w:r>
            <w:r w:rsidRPr="00F84C95">
              <w:rPr>
                <w:color w:val="000000"/>
                <w:sz w:val="18"/>
                <w:szCs w:val="22"/>
                <w:lang w:eastAsia="lv-LV"/>
              </w:rPr>
              <w:t>000 gab.</w:t>
            </w:r>
            <w:r w:rsidRPr="000677B1">
              <w:rPr>
                <w:color w:val="000000"/>
                <w:sz w:val="18"/>
                <w:szCs w:val="22"/>
                <w:lang w:eastAsia="lv-LV"/>
              </w:rPr>
              <w:t xml:space="preserve">, </w:t>
            </w:r>
            <w:proofErr w:type="spellStart"/>
            <w:r w:rsidRPr="00F92BF9">
              <w:rPr>
                <w:bCs/>
                <w:i/>
                <w:color w:val="000000"/>
                <w:sz w:val="18"/>
                <w:szCs w:val="24"/>
                <w:lang w:eastAsia="lv-LV"/>
              </w:rPr>
              <w:t>euro</w:t>
            </w:r>
            <w:proofErr w:type="spellEnd"/>
            <w:r w:rsidRPr="000677B1">
              <w:rPr>
                <w:color w:val="000000"/>
                <w:sz w:val="18"/>
                <w:szCs w:val="22"/>
                <w:lang w:eastAsia="lv-LV"/>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95,20</w:t>
            </w:r>
          </w:p>
        </w:tc>
        <w:tc>
          <w:tcPr>
            <w:tcW w:w="1392"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101,90</w:t>
            </w:r>
          </w:p>
        </w:tc>
        <w:tc>
          <w:tcPr>
            <w:tcW w:w="1392"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109,10</w:t>
            </w:r>
          </w:p>
        </w:tc>
        <w:tc>
          <w:tcPr>
            <w:tcW w:w="1396"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116,70</w:t>
            </w:r>
          </w:p>
        </w:tc>
      </w:tr>
      <w:tr w:rsidR="00FD36B6" w:rsidRPr="000677B1" w:rsidTr="00F240B0">
        <w:trPr>
          <w:trHeight w:val="216"/>
          <w:jc w:val="center"/>
        </w:trPr>
        <w:tc>
          <w:tcPr>
            <w:tcW w:w="348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D36B6" w:rsidRPr="00F84C95" w:rsidRDefault="00FD36B6" w:rsidP="00FD36B6">
            <w:pPr>
              <w:spacing w:after="0"/>
              <w:ind w:firstLine="0"/>
              <w:jc w:val="left"/>
              <w:rPr>
                <w:b/>
                <w:bCs/>
                <w:color w:val="000000"/>
                <w:sz w:val="18"/>
                <w:szCs w:val="22"/>
                <w:lang w:eastAsia="lv-LV"/>
              </w:rPr>
            </w:pPr>
            <w:r w:rsidRPr="00F84C95">
              <w:rPr>
                <w:b/>
                <w:bCs/>
                <w:color w:val="000000"/>
                <w:sz w:val="18"/>
                <w:szCs w:val="22"/>
                <w:lang w:eastAsia="lv-LV"/>
              </w:rPr>
              <w:t>Smēķējamā tabaka</w:t>
            </w:r>
            <w:r>
              <w:rPr>
                <w:b/>
                <w:bCs/>
                <w:color w:val="000000"/>
                <w:sz w:val="18"/>
                <w:szCs w:val="22"/>
                <w:lang w:eastAsia="lv-LV"/>
              </w:rPr>
              <w:t>, tabakas lapas</w:t>
            </w:r>
          </w:p>
        </w:tc>
        <w:tc>
          <w:tcPr>
            <w:tcW w:w="1420" w:type="dxa"/>
            <w:tcBorders>
              <w:top w:val="nil"/>
              <w:left w:val="nil"/>
              <w:bottom w:val="single" w:sz="4" w:space="0" w:color="auto"/>
              <w:right w:val="single" w:sz="4" w:space="0" w:color="auto"/>
            </w:tcBorders>
            <w:shd w:val="clear" w:color="auto" w:fill="F2F2F2" w:themeFill="background1" w:themeFillShade="F2"/>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01.01.2020.</w:t>
            </w:r>
          </w:p>
        </w:tc>
        <w:tc>
          <w:tcPr>
            <w:tcW w:w="1392" w:type="dxa"/>
            <w:tcBorders>
              <w:top w:val="nil"/>
              <w:left w:val="nil"/>
              <w:bottom w:val="single" w:sz="4" w:space="0" w:color="auto"/>
              <w:right w:val="single" w:sz="4" w:space="0" w:color="auto"/>
            </w:tcBorders>
            <w:shd w:val="clear" w:color="auto" w:fill="F2F2F2" w:themeFill="background1" w:themeFillShade="F2"/>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01.01.2021.</w:t>
            </w:r>
          </w:p>
        </w:tc>
        <w:tc>
          <w:tcPr>
            <w:tcW w:w="1392" w:type="dxa"/>
            <w:tcBorders>
              <w:top w:val="nil"/>
              <w:left w:val="nil"/>
              <w:bottom w:val="single" w:sz="4" w:space="0" w:color="auto"/>
              <w:right w:val="single" w:sz="4" w:space="0" w:color="auto"/>
            </w:tcBorders>
            <w:shd w:val="clear" w:color="auto" w:fill="F2F2F2" w:themeFill="background1" w:themeFillShade="F2"/>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01.01.2022.</w:t>
            </w:r>
          </w:p>
        </w:tc>
        <w:tc>
          <w:tcPr>
            <w:tcW w:w="1396" w:type="dxa"/>
            <w:tcBorders>
              <w:top w:val="nil"/>
              <w:left w:val="nil"/>
              <w:bottom w:val="single" w:sz="4" w:space="0" w:color="auto"/>
              <w:right w:val="single" w:sz="4" w:space="0" w:color="auto"/>
            </w:tcBorders>
            <w:shd w:val="clear" w:color="auto" w:fill="F2F2F2" w:themeFill="background1" w:themeFillShade="F2"/>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01.01.2023.</w:t>
            </w:r>
          </w:p>
        </w:tc>
      </w:tr>
      <w:tr w:rsidR="00FD36B6" w:rsidRPr="00F84C95" w:rsidTr="00F240B0">
        <w:trPr>
          <w:trHeight w:val="216"/>
          <w:jc w:val="center"/>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FD36B6" w:rsidRPr="00F84C95" w:rsidRDefault="00FD36B6" w:rsidP="00FD36B6">
            <w:pPr>
              <w:spacing w:after="0"/>
              <w:ind w:firstLine="0"/>
              <w:jc w:val="left"/>
              <w:rPr>
                <w:color w:val="000000"/>
                <w:sz w:val="18"/>
                <w:szCs w:val="22"/>
                <w:lang w:eastAsia="lv-LV"/>
              </w:rPr>
            </w:pPr>
            <w:r w:rsidRPr="000677B1">
              <w:rPr>
                <w:color w:val="000000"/>
                <w:sz w:val="18"/>
                <w:szCs w:val="22"/>
                <w:lang w:eastAsia="lv-LV"/>
              </w:rPr>
              <w:t xml:space="preserve">Nodokļa </w:t>
            </w:r>
            <w:r w:rsidRPr="00F84C95">
              <w:rPr>
                <w:color w:val="000000"/>
                <w:sz w:val="18"/>
                <w:szCs w:val="22"/>
                <w:lang w:eastAsia="lv-LV"/>
              </w:rPr>
              <w:t>likme par 1</w:t>
            </w:r>
            <w:r>
              <w:rPr>
                <w:color w:val="000000"/>
                <w:sz w:val="18"/>
                <w:szCs w:val="22"/>
                <w:lang w:eastAsia="lv-LV"/>
              </w:rPr>
              <w:t> </w:t>
            </w:r>
            <w:r w:rsidRPr="00F84C95">
              <w:rPr>
                <w:color w:val="000000"/>
                <w:sz w:val="18"/>
                <w:szCs w:val="22"/>
                <w:lang w:eastAsia="lv-LV"/>
              </w:rPr>
              <w:t>000 g.</w:t>
            </w:r>
            <w:r w:rsidRPr="000677B1">
              <w:rPr>
                <w:color w:val="000000"/>
                <w:sz w:val="18"/>
                <w:szCs w:val="22"/>
                <w:lang w:eastAsia="lv-LV"/>
              </w:rPr>
              <w:t xml:space="preserve">, </w:t>
            </w:r>
            <w:proofErr w:type="spellStart"/>
            <w:r w:rsidRPr="00F92BF9">
              <w:rPr>
                <w:bCs/>
                <w:i/>
                <w:color w:val="000000"/>
                <w:sz w:val="18"/>
                <w:szCs w:val="24"/>
                <w:lang w:eastAsia="lv-LV"/>
              </w:rPr>
              <w:t>euro</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75,00</w:t>
            </w:r>
          </w:p>
        </w:tc>
        <w:tc>
          <w:tcPr>
            <w:tcW w:w="1392"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80,25</w:t>
            </w:r>
          </w:p>
        </w:tc>
        <w:tc>
          <w:tcPr>
            <w:tcW w:w="1392"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85,90</w:t>
            </w:r>
          </w:p>
        </w:tc>
        <w:tc>
          <w:tcPr>
            <w:tcW w:w="1396"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91,90</w:t>
            </w:r>
          </w:p>
        </w:tc>
      </w:tr>
      <w:tr w:rsidR="00FD36B6" w:rsidRPr="000677B1" w:rsidTr="00F240B0">
        <w:trPr>
          <w:trHeight w:val="216"/>
          <w:jc w:val="center"/>
        </w:trPr>
        <w:tc>
          <w:tcPr>
            <w:tcW w:w="348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D36B6" w:rsidRPr="00F84C95" w:rsidRDefault="00FD36B6" w:rsidP="00FD36B6">
            <w:pPr>
              <w:spacing w:after="0"/>
              <w:ind w:firstLine="0"/>
              <w:jc w:val="left"/>
              <w:rPr>
                <w:b/>
                <w:bCs/>
                <w:color w:val="000000"/>
                <w:sz w:val="18"/>
                <w:szCs w:val="22"/>
                <w:lang w:eastAsia="lv-LV"/>
              </w:rPr>
            </w:pPr>
            <w:r>
              <w:rPr>
                <w:b/>
                <w:bCs/>
                <w:color w:val="000000"/>
                <w:sz w:val="18"/>
                <w:szCs w:val="22"/>
                <w:lang w:eastAsia="lv-LV"/>
              </w:rPr>
              <w:t xml:space="preserve">Karsējamā </w:t>
            </w:r>
            <w:r w:rsidRPr="00F84C95">
              <w:rPr>
                <w:b/>
                <w:bCs/>
                <w:color w:val="000000"/>
                <w:sz w:val="18"/>
                <w:szCs w:val="22"/>
                <w:lang w:eastAsia="lv-LV"/>
              </w:rPr>
              <w:t>tabaka</w:t>
            </w:r>
          </w:p>
        </w:tc>
        <w:tc>
          <w:tcPr>
            <w:tcW w:w="1420" w:type="dxa"/>
            <w:tcBorders>
              <w:top w:val="nil"/>
              <w:left w:val="nil"/>
              <w:bottom w:val="single" w:sz="4" w:space="0" w:color="auto"/>
              <w:right w:val="single" w:sz="4" w:space="0" w:color="auto"/>
            </w:tcBorders>
            <w:shd w:val="clear" w:color="auto" w:fill="F2F2F2" w:themeFill="background1" w:themeFillShade="F2"/>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01.01.2020.</w:t>
            </w:r>
          </w:p>
        </w:tc>
        <w:tc>
          <w:tcPr>
            <w:tcW w:w="1392" w:type="dxa"/>
            <w:tcBorders>
              <w:top w:val="nil"/>
              <w:left w:val="nil"/>
              <w:bottom w:val="single" w:sz="4" w:space="0" w:color="auto"/>
              <w:right w:val="single" w:sz="4" w:space="0" w:color="auto"/>
            </w:tcBorders>
            <w:shd w:val="clear" w:color="auto" w:fill="F2F2F2" w:themeFill="background1" w:themeFillShade="F2"/>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01.01.2021.</w:t>
            </w:r>
          </w:p>
        </w:tc>
        <w:tc>
          <w:tcPr>
            <w:tcW w:w="1392" w:type="dxa"/>
            <w:tcBorders>
              <w:top w:val="nil"/>
              <w:left w:val="nil"/>
              <w:bottom w:val="single" w:sz="4" w:space="0" w:color="auto"/>
              <w:right w:val="single" w:sz="4" w:space="0" w:color="auto"/>
            </w:tcBorders>
            <w:shd w:val="clear" w:color="auto" w:fill="F2F2F2" w:themeFill="background1" w:themeFillShade="F2"/>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01.01.2022.</w:t>
            </w:r>
          </w:p>
        </w:tc>
        <w:tc>
          <w:tcPr>
            <w:tcW w:w="1396" w:type="dxa"/>
            <w:tcBorders>
              <w:top w:val="nil"/>
              <w:left w:val="nil"/>
              <w:bottom w:val="single" w:sz="4" w:space="0" w:color="auto"/>
              <w:right w:val="single" w:sz="4" w:space="0" w:color="auto"/>
            </w:tcBorders>
            <w:shd w:val="clear" w:color="auto" w:fill="F2F2F2" w:themeFill="background1" w:themeFillShade="F2"/>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01.01.2023.</w:t>
            </w:r>
          </w:p>
        </w:tc>
      </w:tr>
      <w:tr w:rsidR="00FD36B6" w:rsidRPr="00F84C95" w:rsidTr="00F240B0">
        <w:trPr>
          <w:trHeight w:val="216"/>
          <w:jc w:val="center"/>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FD36B6" w:rsidRPr="00F84C95" w:rsidRDefault="00FD36B6" w:rsidP="00FD36B6">
            <w:pPr>
              <w:spacing w:after="0"/>
              <w:ind w:firstLine="0"/>
              <w:jc w:val="left"/>
              <w:rPr>
                <w:color w:val="000000"/>
                <w:sz w:val="18"/>
                <w:szCs w:val="22"/>
                <w:lang w:eastAsia="lv-LV"/>
              </w:rPr>
            </w:pPr>
            <w:r w:rsidRPr="000677B1">
              <w:rPr>
                <w:color w:val="000000"/>
                <w:sz w:val="18"/>
                <w:szCs w:val="22"/>
                <w:lang w:eastAsia="lv-LV"/>
              </w:rPr>
              <w:t xml:space="preserve">Nodokļa </w:t>
            </w:r>
            <w:r w:rsidRPr="00F84C95">
              <w:rPr>
                <w:color w:val="000000"/>
                <w:sz w:val="18"/>
                <w:szCs w:val="22"/>
                <w:lang w:eastAsia="lv-LV"/>
              </w:rPr>
              <w:t>likme par 1</w:t>
            </w:r>
            <w:r>
              <w:rPr>
                <w:color w:val="000000"/>
                <w:sz w:val="18"/>
                <w:szCs w:val="22"/>
                <w:lang w:eastAsia="lv-LV"/>
              </w:rPr>
              <w:t> </w:t>
            </w:r>
            <w:r w:rsidRPr="00F84C95">
              <w:rPr>
                <w:color w:val="000000"/>
                <w:sz w:val="18"/>
                <w:szCs w:val="22"/>
                <w:lang w:eastAsia="lv-LV"/>
              </w:rPr>
              <w:t>000 g.</w:t>
            </w:r>
            <w:r w:rsidRPr="000677B1">
              <w:rPr>
                <w:color w:val="000000"/>
                <w:sz w:val="18"/>
                <w:szCs w:val="22"/>
                <w:lang w:eastAsia="lv-LV"/>
              </w:rPr>
              <w:t xml:space="preserve">, </w:t>
            </w:r>
            <w:proofErr w:type="spellStart"/>
            <w:r w:rsidRPr="00F92BF9">
              <w:rPr>
                <w:bCs/>
                <w:i/>
                <w:color w:val="000000"/>
                <w:sz w:val="18"/>
                <w:szCs w:val="24"/>
                <w:lang w:eastAsia="lv-LV"/>
              </w:rPr>
              <w:t>euro</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75,00</w:t>
            </w:r>
          </w:p>
        </w:tc>
        <w:tc>
          <w:tcPr>
            <w:tcW w:w="1392"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99,00</w:t>
            </w:r>
          </w:p>
        </w:tc>
        <w:tc>
          <w:tcPr>
            <w:tcW w:w="1392"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125,00</w:t>
            </w:r>
          </w:p>
        </w:tc>
        <w:tc>
          <w:tcPr>
            <w:tcW w:w="1396" w:type="dxa"/>
            <w:tcBorders>
              <w:top w:val="nil"/>
              <w:left w:val="nil"/>
              <w:bottom w:val="single" w:sz="4" w:space="0" w:color="auto"/>
              <w:right w:val="single" w:sz="4" w:space="0" w:color="auto"/>
            </w:tcBorders>
            <w:shd w:val="clear" w:color="auto" w:fill="auto"/>
            <w:noWrap/>
            <w:vAlign w:val="center"/>
            <w:hideMark/>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140,00</w:t>
            </w:r>
          </w:p>
        </w:tc>
      </w:tr>
      <w:tr w:rsidR="00FD36B6" w:rsidRPr="00F84C95" w:rsidTr="00F240B0">
        <w:trPr>
          <w:trHeight w:val="216"/>
          <w:jc w:val="center"/>
        </w:trPr>
        <w:tc>
          <w:tcPr>
            <w:tcW w:w="3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D36B6" w:rsidRPr="0067116B" w:rsidRDefault="00FD36B6" w:rsidP="00FD36B6">
            <w:pPr>
              <w:spacing w:after="0"/>
              <w:ind w:firstLine="0"/>
              <w:jc w:val="left"/>
              <w:rPr>
                <w:b/>
                <w:bCs/>
                <w:color w:val="000000"/>
                <w:sz w:val="18"/>
                <w:szCs w:val="22"/>
                <w:lang w:eastAsia="lv-LV"/>
              </w:rPr>
            </w:pPr>
            <w:r w:rsidRPr="0067116B">
              <w:rPr>
                <w:b/>
                <w:bCs/>
                <w:color w:val="000000"/>
                <w:sz w:val="18"/>
                <w:szCs w:val="22"/>
                <w:lang w:eastAsia="lv-LV"/>
              </w:rPr>
              <w:t>Tabakas aizstājējprodukti</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01.01.2020.</w:t>
            </w:r>
          </w:p>
        </w:tc>
        <w:tc>
          <w:tcPr>
            <w:tcW w:w="13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01.01.2021.</w:t>
            </w:r>
          </w:p>
        </w:tc>
        <w:tc>
          <w:tcPr>
            <w:tcW w:w="13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01.01.2022.</w:t>
            </w:r>
          </w:p>
        </w:tc>
        <w:tc>
          <w:tcPr>
            <w:tcW w:w="139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FD36B6" w:rsidRPr="00FF5025" w:rsidRDefault="00FD36B6" w:rsidP="00FD36B6">
            <w:pPr>
              <w:spacing w:after="0"/>
              <w:ind w:firstLine="0"/>
              <w:jc w:val="center"/>
              <w:rPr>
                <w:color w:val="000000"/>
                <w:sz w:val="18"/>
                <w:szCs w:val="22"/>
                <w:lang w:eastAsia="lv-LV"/>
              </w:rPr>
            </w:pPr>
            <w:r w:rsidRPr="00FF5025">
              <w:rPr>
                <w:color w:val="000000"/>
                <w:sz w:val="18"/>
                <w:szCs w:val="22"/>
                <w:lang w:eastAsia="lv-LV"/>
              </w:rPr>
              <w:t>01.01.2023.</w:t>
            </w:r>
          </w:p>
        </w:tc>
      </w:tr>
      <w:tr w:rsidR="00FD36B6" w:rsidRPr="00F84C95" w:rsidTr="00F240B0">
        <w:trPr>
          <w:trHeight w:val="216"/>
          <w:jc w:val="center"/>
        </w:trPr>
        <w:tc>
          <w:tcPr>
            <w:tcW w:w="3482" w:type="dxa"/>
            <w:tcBorders>
              <w:top w:val="nil"/>
              <w:left w:val="single" w:sz="4" w:space="0" w:color="auto"/>
              <w:bottom w:val="single" w:sz="4" w:space="0" w:color="auto"/>
              <w:right w:val="single" w:sz="4" w:space="0" w:color="auto"/>
            </w:tcBorders>
            <w:shd w:val="clear" w:color="auto" w:fill="auto"/>
            <w:noWrap/>
            <w:vAlign w:val="bottom"/>
          </w:tcPr>
          <w:p w:rsidR="00FD36B6" w:rsidRPr="00F84C95" w:rsidRDefault="00FD36B6" w:rsidP="00FD36B6">
            <w:pPr>
              <w:spacing w:after="0"/>
              <w:ind w:firstLine="0"/>
              <w:jc w:val="left"/>
              <w:rPr>
                <w:color w:val="000000"/>
                <w:sz w:val="18"/>
                <w:szCs w:val="22"/>
                <w:lang w:eastAsia="lv-LV"/>
              </w:rPr>
            </w:pPr>
            <w:r w:rsidRPr="000677B1">
              <w:rPr>
                <w:color w:val="000000"/>
                <w:sz w:val="18"/>
                <w:szCs w:val="22"/>
                <w:lang w:eastAsia="lv-LV"/>
              </w:rPr>
              <w:t xml:space="preserve">Nodokļa </w:t>
            </w:r>
            <w:r w:rsidRPr="00F84C95">
              <w:rPr>
                <w:color w:val="000000"/>
                <w:sz w:val="18"/>
                <w:szCs w:val="22"/>
                <w:lang w:eastAsia="lv-LV"/>
              </w:rPr>
              <w:t>likme par 1</w:t>
            </w:r>
            <w:r>
              <w:rPr>
                <w:color w:val="000000"/>
                <w:sz w:val="18"/>
                <w:szCs w:val="22"/>
                <w:lang w:eastAsia="lv-LV"/>
              </w:rPr>
              <w:t> </w:t>
            </w:r>
            <w:r w:rsidRPr="00F84C95">
              <w:rPr>
                <w:color w:val="000000"/>
                <w:sz w:val="18"/>
                <w:szCs w:val="22"/>
                <w:lang w:eastAsia="lv-LV"/>
              </w:rPr>
              <w:t>000 g.</w:t>
            </w:r>
            <w:r w:rsidRPr="000677B1">
              <w:rPr>
                <w:color w:val="000000"/>
                <w:sz w:val="18"/>
                <w:szCs w:val="22"/>
                <w:lang w:eastAsia="lv-LV"/>
              </w:rPr>
              <w:t xml:space="preserve">, </w:t>
            </w:r>
            <w:proofErr w:type="spellStart"/>
            <w:r w:rsidRPr="00F92BF9">
              <w:rPr>
                <w:i/>
                <w:color w:val="000000"/>
                <w:sz w:val="18"/>
                <w:szCs w:val="22"/>
                <w:lang w:eastAsia="lv-LV"/>
              </w:rPr>
              <w:t>euro</w:t>
            </w:r>
            <w:proofErr w:type="spellEnd"/>
          </w:p>
        </w:tc>
        <w:tc>
          <w:tcPr>
            <w:tcW w:w="1420" w:type="dxa"/>
            <w:tcBorders>
              <w:top w:val="nil"/>
              <w:left w:val="nil"/>
              <w:bottom w:val="single" w:sz="4" w:space="0" w:color="auto"/>
              <w:right w:val="single" w:sz="4" w:space="0" w:color="auto"/>
            </w:tcBorders>
            <w:shd w:val="clear" w:color="auto" w:fill="auto"/>
            <w:noWrap/>
            <w:vAlign w:val="center"/>
          </w:tcPr>
          <w:p w:rsidR="00FD36B6" w:rsidRPr="00F84C95" w:rsidRDefault="00FD36B6" w:rsidP="00FD36B6">
            <w:pPr>
              <w:spacing w:after="0"/>
              <w:ind w:firstLine="0"/>
              <w:jc w:val="center"/>
              <w:rPr>
                <w:color w:val="000000"/>
                <w:sz w:val="18"/>
                <w:szCs w:val="22"/>
                <w:lang w:eastAsia="lv-LV"/>
              </w:rPr>
            </w:pPr>
            <w:r>
              <w:rPr>
                <w:color w:val="000000"/>
                <w:sz w:val="18"/>
                <w:szCs w:val="22"/>
                <w:lang w:eastAsia="lv-LV"/>
              </w:rPr>
              <w:t>-</w:t>
            </w:r>
          </w:p>
        </w:tc>
        <w:tc>
          <w:tcPr>
            <w:tcW w:w="1392" w:type="dxa"/>
            <w:tcBorders>
              <w:top w:val="nil"/>
              <w:left w:val="nil"/>
              <w:bottom w:val="single" w:sz="4" w:space="0" w:color="auto"/>
              <w:right w:val="single" w:sz="4" w:space="0" w:color="auto"/>
            </w:tcBorders>
            <w:shd w:val="clear" w:color="auto" w:fill="auto"/>
            <w:noWrap/>
            <w:vAlign w:val="center"/>
          </w:tcPr>
          <w:p w:rsidR="00FD36B6" w:rsidRPr="00F84C95" w:rsidRDefault="00FD36B6" w:rsidP="00FD36B6">
            <w:pPr>
              <w:spacing w:after="0"/>
              <w:ind w:firstLine="0"/>
              <w:jc w:val="center"/>
              <w:rPr>
                <w:color w:val="000000"/>
                <w:sz w:val="18"/>
                <w:szCs w:val="22"/>
                <w:lang w:eastAsia="lv-LV"/>
              </w:rPr>
            </w:pPr>
            <w:r>
              <w:rPr>
                <w:color w:val="000000"/>
                <w:sz w:val="18"/>
                <w:szCs w:val="22"/>
                <w:lang w:eastAsia="lv-LV"/>
              </w:rPr>
              <w:t>80,00</w:t>
            </w:r>
          </w:p>
        </w:tc>
        <w:tc>
          <w:tcPr>
            <w:tcW w:w="1392" w:type="dxa"/>
            <w:tcBorders>
              <w:top w:val="nil"/>
              <w:left w:val="nil"/>
              <w:bottom w:val="single" w:sz="4" w:space="0" w:color="auto"/>
              <w:right w:val="single" w:sz="4" w:space="0" w:color="auto"/>
            </w:tcBorders>
            <w:shd w:val="clear" w:color="auto" w:fill="auto"/>
            <w:noWrap/>
            <w:vAlign w:val="center"/>
          </w:tcPr>
          <w:p w:rsidR="00FD36B6" w:rsidRPr="00F84C95" w:rsidRDefault="00FD36B6" w:rsidP="00FD36B6">
            <w:pPr>
              <w:spacing w:after="0"/>
              <w:ind w:firstLine="0"/>
              <w:jc w:val="center"/>
              <w:rPr>
                <w:color w:val="000000"/>
                <w:sz w:val="18"/>
                <w:szCs w:val="22"/>
                <w:lang w:eastAsia="lv-LV"/>
              </w:rPr>
            </w:pPr>
            <w:r w:rsidRPr="00F84C95">
              <w:rPr>
                <w:color w:val="000000"/>
                <w:sz w:val="18"/>
                <w:szCs w:val="22"/>
                <w:lang w:eastAsia="lv-LV"/>
              </w:rPr>
              <w:t>1</w:t>
            </w:r>
            <w:r>
              <w:rPr>
                <w:color w:val="000000"/>
                <w:sz w:val="18"/>
                <w:szCs w:val="22"/>
                <w:lang w:eastAsia="lv-LV"/>
              </w:rPr>
              <w:t>00</w:t>
            </w:r>
            <w:r w:rsidRPr="000677B1">
              <w:rPr>
                <w:color w:val="000000"/>
                <w:sz w:val="18"/>
                <w:szCs w:val="22"/>
                <w:lang w:eastAsia="lv-LV"/>
              </w:rPr>
              <w:t>,00</w:t>
            </w:r>
          </w:p>
        </w:tc>
        <w:tc>
          <w:tcPr>
            <w:tcW w:w="1396" w:type="dxa"/>
            <w:tcBorders>
              <w:top w:val="nil"/>
              <w:left w:val="nil"/>
              <w:bottom w:val="single" w:sz="4" w:space="0" w:color="auto"/>
              <w:right w:val="single" w:sz="4" w:space="0" w:color="auto"/>
            </w:tcBorders>
            <w:shd w:val="clear" w:color="auto" w:fill="auto"/>
            <w:noWrap/>
            <w:vAlign w:val="center"/>
          </w:tcPr>
          <w:p w:rsidR="00FD36B6" w:rsidRPr="00F84C95" w:rsidRDefault="00FD36B6" w:rsidP="00FD36B6">
            <w:pPr>
              <w:spacing w:after="0"/>
              <w:ind w:firstLine="0"/>
              <w:jc w:val="center"/>
              <w:rPr>
                <w:color w:val="000000"/>
                <w:sz w:val="18"/>
                <w:szCs w:val="22"/>
                <w:lang w:eastAsia="lv-LV"/>
              </w:rPr>
            </w:pPr>
            <w:r w:rsidRPr="00F84C95">
              <w:rPr>
                <w:color w:val="000000"/>
                <w:sz w:val="18"/>
                <w:szCs w:val="22"/>
                <w:lang w:eastAsia="lv-LV"/>
              </w:rPr>
              <w:t>1</w:t>
            </w:r>
            <w:r>
              <w:rPr>
                <w:color w:val="000000"/>
                <w:sz w:val="18"/>
                <w:szCs w:val="22"/>
                <w:lang w:eastAsia="lv-LV"/>
              </w:rPr>
              <w:t>2</w:t>
            </w:r>
            <w:r w:rsidRPr="00F84C95">
              <w:rPr>
                <w:color w:val="000000"/>
                <w:sz w:val="18"/>
                <w:szCs w:val="22"/>
                <w:lang w:eastAsia="lv-LV"/>
              </w:rPr>
              <w:t>0</w:t>
            </w:r>
            <w:r w:rsidRPr="000677B1">
              <w:rPr>
                <w:color w:val="000000"/>
                <w:sz w:val="18"/>
                <w:szCs w:val="22"/>
                <w:lang w:eastAsia="lv-LV"/>
              </w:rPr>
              <w:t>,00</w:t>
            </w:r>
          </w:p>
        </w:tc>
      </w:tr>
    </w:tbl>
    <w:p w:rsidR="00FD36B6" w:rsidRDefault="00FD36B6" w:rsidP="00F240B0">
      <w:pPr>
        <w:tabs>
          <w:tab w:val="left" w:pos="1134"/>
        </w:tabs>
        <w:spacing w:before="120" w:after="0"/>
        <w:ind w:firstLine="0"/>
        <w:rPr>
          <w:color w:val="000000"/>
          <w:szCs w:val="24"/>
          <w:lang w:eastAsia="lv-LV"/>
        </w:rPr>
      </w:pPr>
      <w:r w:rsidRPr="00770D12">
        <w:rPr>
          <w:color w:val="000000"/>
          <w:szCs w:val="24"/>
          <w:lang w:eastAsia="lv-LV"/>
        </w:rPr>
        <w:t>Akcīzes nodokļa likm</w:t>
      </w:r>
      <w:r>
        <w:rPr>
          <w:color w:val="000000"/>
          <w:szCs w:val="24"/>
          <w:lang w:eastAsia="lv-LV"/>
        </w:rPr>
        <w:t>ju paaugstināšanas rezultātā 2021.</w:t>
      </w:r>
      <w:r w:rsidR="00F240B0">
        <w:rPr>
          <w:color w:val="000000"/>
          <w:szCs w:val="24"/>
          <w:lang w:eastAsia="lv-LV"/>
        </w:rPr>
        <w:t xml:space="preserve"> </w:t>
      </w:r>
      <w:r>
        <w:rPr>
          <w:color w:val="000000"/>
          <w:szCs w:val="24"/>
          <w:lang w:eastAsia="lv-LV"/>
        </w:rPr>
        <w:t>gadā:</w:t>
      </w:r>
    </w:p>
    <w:p w:rsidR="00FD36B6" w:rsidRPr="005551F2" w:rsidRDefault="00FD36B6" w:rsidP="0034515E">
      <w:pPr>
        <w:pStyle w:val="ListParagraph"/>
        <w:numPr>
          <w:ilvl w:val="0"/>
          <w:numId w:val="17"/>
        </w:numPr>
        <w:tabs>
          <w:tab w:val="left" w:pos="1134"/>
        </w:tabs>
        <w:spacing w:after="0"/>
        <w:ind w:left="709" w:hanging="357"/>
        <w:contextualSpacing w:val="0"/>
        <w:rPr>
          <w:color w:val="000000"/>
          <w:sz w:val="22"/>
          <w:szCs w:val="24"/>
          <w:lang w:eastAsia="lv-LV"/>
        </w:rPr>
      </w:pPr>
      <w:r>
        <w:rPr>
          <w:color w:val="000000"/>
          <w:szCs w:val="24"/>
          <w:lang w:eastAsia="lv-LV"/>
        </w:rPr>
        <w:t>ar 2021.</w:t>
      </w:r>
      <w:r w:rsidR="00F240B0">
        <w:rPr>
          <w:color w:val="000000"/>
          <w:szCs w:val="24"/>
          <w:lang w:eastAsia="lv-LV"/>
        </w:rPr>
        <w:t xml:space="preserve"> </w:t>
      </w:r>
      <w:r>
        <w:rPr>
          <w:color w:val="000000"/>
          <w:szCs w:val="24"/>
          <w:lang w:eastAsia="lv-LV"/>
        </w:rPr>
        <w:t>gada 1.</w:t>
      </w:r>
      <w:r w:rsidR="00F240B0">
        <w:rPr>
          <w:color w:val="000000"/>
          <w:szCs w:val="24"/>
          <w:lang w:eastAsia="lv-LV"/>
        </w:rPr>
        <w:t xml:space="preserve"> </w:t>
      </w:r>
      <w:r>
        <w:rPr>
          <w:color w:val="000000"/>
          <w:szCs w:val="24"/>
          <w:lang w:eastAsia="lv-LV"/>
        </w:rPr>
        <w:t>janvāri</w:t>
      </w:r>
      <w:r w:rsidRPr="00770D12">
        <w:rPr>
          <w:color w:val="000000"/>
          <w:szCs w:val="24"/>
          <w:lang w:eastAsia="lv-LV"/>
        </w:rPr>
        <w:t xml:space="preserve"> vienas cigār</w:t>
      </w:r>
      <w:r>
        <w:rPr>
          <w:color w:val="000000"/>
          <w:szCs w:val="24"/>
          <w:lang w:eastAsia="lv-LV"/>
        </w:rPr>
        <w:t>u</w:t>
      </w:r>
      <w:r w:rsidRPr="00770D12">
        <w:rPr>
          <w:color w:val="000000"/>
          <w:szCs w:val="24"/>
          <w:lang w:eastAsia="lv-LV"/>
        </w:rPr>
        <w:t xml:space="preserve"> vai </w:t>
      </w:r>
      <w:proofErr w:type="spellStart"/>
      <w:r w:rsidRPr="00770D12">
        <w:rPr>
          <w:color w:val="000000"/>
          <w:szCs w:val="24"/>
          <w:lang w:eastAsia="lv-LV"/>
        </w:rPr>
        <w:t>cigar</w:t>
      </w:r>
      <w:r>
        <w:rPr>
          <w:color w:val="000000"/>
          <w:szCs w:val="24"/>
          <w:lang w:eastAsia="lv-LV"/>
        </w:rPr>
        <w:t>illu</w:t>
      </w:r>
      <w:proofErr w:type="spellEnd"/>
      <w:r w:rsidRPr="00770D12">
        <w:rPr>
          <w:color w:val="000000"/>
          <w:szCs w:val="24"/>
          <w:lang w:eastAsia="lv-LV"/>
        </w:rPr>
        <w:t xml:space="preserve"> paciņas (10</w:t>
      </w:r>
      <w:r>
        <w:rPr>
          <w:color w:val="000000"/>
          <w:szCs w:val="24"/>
          <w:lang w:eastAsia="lv-LV"/>
        </w:rPr>
        <w:t xml:space="preserve"> gab.</w:t>
      </w:r>
      <w:r w:rsidRPr="00770D12">
        <w:rPr>
          <w:color w:val="000000"/>
          <w:szCs w:val="24"/>
          <w:lang w:eastAsia="lv-LV"/>
        </w:rPr>
        <w:t xml:space="preserve">) mazumtirdzniecības cenas </w:t>
      </w:r>
      <w:r w:rsidRPr="006507C6">
        <w:rPr>
          <w:color w:val="000000"/>
          <w:szCs w:val="24"/>
          <w:lang w:eastAsia="lv-LV"/>
        </w:rPr>
        <w:t>nodokļu daļas pieaugums būs +0,08 </w:t>
      </w:r>
      <w:proofErr w:type="spellStart"/>
      <w:r w:rsidRPr="00F92BF9">
        <w:rPr>
          <w:bCs/>
          <w:i/>
          <w:color w:val="000000"/>
          <w:szCs w:val="24"/>
          <w:lang w:eastAsia="lv-LV"/>
        </w:rPr>
        <w:t>euro</w:t>
      </w:r>
      <w:proofErr w:type="spellEnd"/>
      <w:r w:rsidRPr="006507C6">
        <w:rPr>
          <w:color w:val="000000"/>
          <w:szCs w:val="24"/>
          <w:lang w:eastAsia="lv-LV"/>
        </w:rPr>
        <w:t xml:space="preserve"> jeb +7,0%</w:t>
      </w:r>
      <w:r>
        <w:rPr>
          <w:color w:val="000000"/>
          <w:szCs w:val="24"/>
          <w:lang w:eastAsia="lv-LV"/>
        </w:rPr>
        <w:t>;</w:t>
      </w:r>
    </w:p>
    <w:p w:rsidR="00FD36B6" w:rsidRPr="00820F9E" w:rsidRDefault="00FD36B6" w:rsidP="0034515E">
      <w:pPr>
        <w:pStyle w:val="ListParagraph"/>
        <w:numPr>
          <w:ilvl w:val="0"/>
          <w:numId w:val="17"/>
        </w:numPr>
        <w:tabs>
          <w:tab w:val="left" w:pos="1134"/>
        </w:tabs>
        <w:spacing w:after="0"/>
        <w:ind w:left="709" w:hanging="357"/>
        <w:contextualSpacing w:val="0"/>
        <w:rPr>
          <w:color w:val="000000"/>
          <w:sz w:val="22"/>
          <w:szCs w:val="24"/>
          <w:lang w:eastAsia="lv-LV"/>
        </w:rPr>
      </w:pPr>
      <w:r>
        <w:rPr>
          <w:color w:val="000000"/>
          <w:szCs w:val="24"/>
          <w:lang w:eastAsia="lv-LV"/>
        </w:rPr>
        <w:t>ar 2021.</w:t>
      </w:r>
      <w:r w:rsidR="00F240B0">
        <w:rPr>
          <w:color w:val="000000"/>
          <w:szCs w:val="24"/>
          <w:lang w:eastAsia="lv-LV"/>
        </w:rPr>
        <w:t xml:space="preserve"> </w:t>
      </w:r>
      <w:r>
        <w:rPr>
          <w:color w:val="000000"/>
          <w:szCs w:val="24"/>
          <w:lang w:eastAsia="lv-LV"/>
        </w:rPr>
        <w:t>gada 1.</w:t>
      </w:r>
      <w:r w:rsidR="00F240B0">
        <w:rPr>
          <w:color w:val="000000"/>
          <w:szCs w:val="24"/>
          <w:lang w:eastAsia="lv-LV"/>
        </w:rPr>
        <w:t xml:space="preserve"> </w:t>
      </w:r>
      <w:r>
        <w:rPr>
          <w:color w:val="000000"/>
          <w:szCs w:val="24"/>
          <w:lang w:eastAsia="lv-LV"/>
        </w:rPr>
        <w:t>janvāri</w:t>
      </w:r>
      <w:r w:rsidRPr="00770D12">
        <w:rPr>
          <w:color w:val="000000"/>
          <w:szCs w:val="24"/>
          <w:lang w:eastAsia="lv-LV"/>
        </w:rPr>
        <w:t xml:space="preserve"> </w:t>
      </w:r>
      <w:r>
        <w:rPr>
          <w:color w:val="000000"/>
          <w:szCs w:val="24"/>
          <w:lang w:eastAsia="lv-LV"/>
        </w:rPr>
        <w:t xml:space="preserve">viena </w:t>
      </w:r>
      <w:r w:rsidRPr="00770D12">
        <w:rPr>
          <w:color w:val="000000"/>
          <w:szCs w:val="24"/>
          <w:lang w:eastAsia="lv-LV"/>
        </w:rPr>
        <w:t xml:space="preserve">smēķējamās tabakas 30 gramu </w:t>
      </w:r>
      <w:r>
        <w:rPr>
          <w:color w:val="000000"/>
          <w:szCs w:val="24"/>
          <w:lang w:eastAsia="lv-LV"/>
        </w:rPr>
        <w:t xml:space="preserve">iepakojuma </w:t>
      </w:r>
      <w:r w:rsidRPr="00770D12">
        <w:rPr>
          <w:color w:val="000000"/>
          <w:szCs w:val="24"/>
          <w:lang w:eastAsia="lv-LV"/>
        </w:rPr>
        <w:t>mazumtirdzniecības cenas nodokļu daļas pieaugums būs +0,19 </w:t>
      </w:r>
      <w:proofErr w:type="spellStart"/>
      <w:r w:rsidRPr="00F92BF9">
        <w:rPr>
          <w:bCs/>
          <w:i/>
          <w:color w:val="000000"/>
          <w:szCs w:val="24"/>
          <w:lang w:eastAsia="lv-LV"/>
        </w:rPr>
        <w:t>euro</w:t>
      </w:r>
      <w:proofErr w:type="spellEnd"/>
      <w:r>
        <w:rPr>
          <w:color w:val="000000"/>
          <w:szCs w:val="24"/>
          <w:lang w:eastAsia="lv-LV"/>
        </w:rPr>
        <w:t xml:space="preserve"> jeb +7,0%;</w:t>
      </w:r>
    </w:p>
    <w:p w:rsidR="00FD36B6" w:rsidRPr="00820F9E" w:rsidRDefault="00FD36B6" w:rsidP="0034515E">
      <w:pPr>
        <w:pStyle w:val="ListParagraph"/>
        <w:numPr>
          <w:ilvl w:val="0"/>
          <w:numId w:val="17"/>
        </w:numPr>
        <w:tabs>
          <w:tab w:val="left" w:pos="1134"/>
        </w:tabs>
        <w:spacing w:after="0"/>
        <w:ind w:left="709" w:hanging="357"/>
        <w:contextualSpacing w:val="0"/>
        <w:rPr>
          <w:color w:val="000000"/>
          <w:sz w:val="22"/>
          <w:szCs w:val="24"/>
          <w:lang w:eastAsia="lv-LV"/>
        </w:rPr>
      </w:pPr>
      <w:r>
        <w:rPr>
          <w:color w:val="000000"/>
          <w:szCs w:val="24"/>
          <w:lang w:eastAsia="lv-LV"/>
        </w:rPr>
        <w:t>ar 2021.</w:t>
      </w:r>
      <w:r w:rsidR="00F240B0">
        <w:rPr>
          <w:color w:val="000000"/>
          <w:szCs w:val="24"/>
          <w:lang w:eastAsia="lv-LV"/>
        </w:rPr>
        <w:t xml:space="preserve"> </w:t>
      </w:r>
      <w:r>
        <w:rPr>
          <w:color w:val="000000"/>
          <w:szCs w:val="24"/>
          <w:lang w:eastAsia="lv-LV"/>
        </w:rPr>
        <w:t>gada 1.</w:t>
      </w:r>
      <w:r w:rsidR="00F240B0">
        <w:rPr>
          <w:color w:val="000000"/>
          <w:szCs w:val="24"/>
          <w:lang w:eastAsia="lv-LV"/>
        </w:rPr>
        <w:t xml:space="preserve"> </w:t>
      </w:r>
      <w:r>
        <w:rPr>
          <w:color w:val="000000"/>
          <w:szCs w:val="24"/>
          <w:lang w:eastAsia="lv-LV"/>
        </w:rPr>
        <w:t>janvāri</w:t>
      </w:r>
      <w:r w:rsidRPr="00770D12">
        <w:rPr>
          <w:color w:val="000000"/>
          <w:szCs w:val="24"/>
          <w:lang w:eastAsia="lv-LV"/>
        </w:rPr>
        <w:t xml:space="preserve"> vienas</w:t>
      </w:r>
      <w:r>
        <w:rPr>
          <w:color w:val="000000"/>
          <w:szCs w:val="24"/>
          <w:lang w:eastAsia="lv-LV"/>
        </w:rPr>
        <w:t xml:space="preserve"> karsējamās tabakas</w:t>
      </w:r>
      <w:r w:rsidRPr="00770D12">
        <w:rPr>
          <w:color w:val="000000"/>
          <w:szCs w:val="24"/>
          <w:lang w:eastAsia="lv-LV"/>
        </w:rPr>
        <w:t xml:space="preserve"> paciņas (20 gab</w:t>
      </w:r>
      <w:r>
        <w:rPr>
          <w:color w:val="000000"/>
          <w:szCs w:val="24"/>
          <w:lang w:eastAsia="lv-LV"/>
        </w:rPr>
        <w:t>.</w:t>
      </w:r>
      <w:r w:rsidRPr="00770D12">
        <w:rPr>
          <w:color w:val="000000"/>
          <w:szCs w:val="24"/>
          <w:lang w:eastAsia="lv-LV"/>
        </w:rPr>
        <w:t xml:space="preserve">) mazumtirdzniecības cenas nodokļu daļas pieaugums </w:t>
      </w:r>
      <w:r>
        <w:rPr>
          <w:color w:val="000000"/>
          <w:szCs w:val="24"/>
          <w:lang w:eastAsia="lv-LV"/>
        </w:rPr>
        <w:t>2021.</w:t>
      </w:r>
      <w:r w:rsidR="00F240B0">
        <w:rPr>
          <w:color w:val="000000"/>
          <w:szCs w:val="24"/>
          <w:lang w:eastAsia="lv-LV"/>
        </w:rPr>
        <w:t xml:space="preserve"> </w:t>
      </w:r>
      <w:r w:rsidRPr="00770D12">
        <w:rPr>
          <w:color w:val="000000"/>
          <w:szCs w:val="24"/>
          <w:lang w:eastAsia="lv-LV"/>
        </w:rPr>
        <w:t>gadā būs +0,18 </w:t>
      </w:r>
      <w:proofErr w:type="spellStart"/>
      <w:r w:rsidRPr="00F92BF9">
        <w:rPr>
          <w:bCs/>
          <w:i/>
          <w:color w:val="000000"/>
          <w:szCs w:val="24"/>
          <w:lang w:eastAsia="lv-LV"/>
        </w:rPr>
        <w:t>euro</w:t>
      </w:r>
      <w:proofErr w:type="spellEnd"/>
      <w:r w:rsidRPr="00770D12">
        <w:rPr>
          <w:color w:val="000000"/>
          <w:szCs w:val="24"/>
          <w:lang w:eastAsia="lv-LV"/>
        </w:rPr>
        <w:t xml:space="preserve"> jeb +32,0%</w:t>
      </w:r>
      <w:r>
        <w:rPr>
          <w:color w:val="000000"/>
          <w:szCs w:val="24"/>
          <w:lang w:eastAsia="lv-LV"/>
        </w:rPr>
        <w:t>;</w:t>
      </w:r>
    </w:p>
    <w:p w:rsidR="00FD36B6" w:rsidRPr="005551F2" w:rsidRDefault="00FD36B6" w:rsidP="0034515E">
      <w:pPr>
        <w:pStyle w:val="ListParagraph"/>
        <w:numPr>
          <w:ilvl w:val="0"/>
          <w:numId w:val="17"/>
        </w:numPr>
        <w:tabs>
          <w:tab w:val="left" w:pos="1134"/>
        </w:tabs>
        <w:spacing w:after="0"/>
        <w:ind w:left="709" w:hanging="357"/>
        <w:contextualSpacing w:val="0"/>
        <w:rPr>
          <w:color w:val="000000"/>
          <w:sz w:val="22"/>
          <w:szCs w:val="24"/>
          <w:lang w:eastAsia="lv-LV"/>
        </w:rPr>
      </w:pPr>
      <w:r>
        <w:rPr>
          <w:color w:val="000000"/>
          <w:szCs w:val="24"/>
          <w:lang w:eastAsia="lv-LV"/>
        </w:rPr>
        <w:t>ar 2021.</w:t>
      </w:r>
      <w:r w:rsidR="00F240B0">
        <w:rPr>
          <w:color w:val="000000"/>
          <w:szCs w:val="24"/>
          <w:lang w:eastAsia="lv-LV"/>
        </w:rPr>
        <w:t xml:space="preserve"> </w:t>
      </w:r>
      <w:r>
        <w:rPr>
          <w:color w:val="000000"/>
          <w:szCs w:val="24"/>
          <w:lang w:eastAsia="lv-LV"/>
        </w:rPr>
        <w:t>gada 1.</w:t>
      </w:r>
      <w:r w:rsidR="00F240B0">
        <w:rPr>
          <w:color w:val="000000"/>
          <w:szCs w:val="24"/>
          <w:lang w:eastAsia="lv-LV"/>
        </w:rPr>
        <w:t xml:space="preserve"> </w:t>
      </w:r>
      <w:r>
        <w:rPr>
          <w:color w:val="000000"/>
          <w:szCs w:val="24"/>
          <w:lang w:eastAsia="lv-LV"/>
        </w:rPr>
        <w:t>janvāri</w:t>
      </w:r>
      <w:r w:rsidRPr="00770D12">
        <w:rPr>
          <w:color w:val="000000"/>
          <w:szCs w:val="24"/>
          <w:lang w:eastAsia="lv-LV"/>
        </w:rPr>
        <w:t xml:space="preserve"> </w:t>
      </w:r>
      <w:r>
        <w:rPr>
          <w:color w:val="000000"/>
          <w:szCs w:val="24"/>
          <w:lang w:eastAsia="lv-LV"/>
        </w:rPr>
        <w:t>tabakas aizstājējproduktu 1g</w:t>
      </w:r>
      <w:r w:rsidR="0034515E">
        <w:rPr>
          <w:color w:val="000000"/>
          <w:szCs w:val="24"/>
          <w:lang w:eastAsia="lv-LV"/>
        </w:rPr>
        <w:t>.</w:t>
      </w:r>
      <w:r>
        <w:rPr>
          <w:color w:val="000000"/>
          <w:szCs w:val="24"/>
          <w:lang w:eastAsia="lv-LV"/>
        </w:rPr>
        <w:t xml:space="preserve"> izstrādājuma nodokļu daļa pieaugs par 0,10 </w:t>
      </w:r>
      <w:proofErr w:type="spellStart"/>
      <w:r w:rsidRPr="00F92BF9">
        <w:rPr>
          <w:bCs/>
          <w:i/>
          <w:color w:val="000000"/>
          <w:szCs w:val="24"/>
          <w:lang w:eastAsia="lv-LV"/>
        </w:rPr>
        <w:t>euro</w:t>
      </w:r>
      <w:proofErr w:type="spellEnd"/>
      <w:r>
        <w:rPr>
          <w:i/>
          <w:color w:val="000000"/>
          <w:szCs w:val="24"/>
          <w:lang w:eastAsia="lv-LV"/>
        </w:rPr>
        <w:t>;</w:t>
      </w:r>
    </w:p>
    <w:p w:rsidR="00FD36B6" w:rsidRDefault="00FD36B6" w:rsidP="0034515E">
      <w:pPr>
        <w:pStyle w:val="ListParagraph"/>
        <w:numPr>
          <w:ilvl w:val="0"/>
          <w:numId w:val="17"/>
        </w:numPr>
        <w:tabs>
          <w:tab w:val="left" w:pos="1134"/>
        </w:tabs>
        <w:spacing w:after="0"/>
        <w:ind w:left="709" w:hanging="357"/>
        <w:contextualSpacing w:val="0"/>
        <w:rPr>
          <w:color w:val="000000"/>
          <w:sz w:val="22"/>
          <w:szCs w:val="24"/>
          <w:lang w:eastAsia="lv-LV"/>
        </w:rPr>
      </w:pPr>
      <w:r>
        <w:rPr>
          <w:color w:val="000000"/>
          <w:szCs w:val="24"/>
          <w:lang w:eastAsia="lv-LV"/>
        </w:rPr>
        <w:t>ar 2021.</w:t>
      </w:r>
      <w:r w:rsidR="00F240B0">
        <w:rPr>
          <w:color w:val="000000"/>
          <w:szCs w:val="24"/>
          <w:lang w:eastAsia="lv-LV"/>
        </w:rPr>
        <w:t xml:space="preserve"> </w:t>
      </w:r>
      <w:r>
        <w:rPr>
          <w:color w:val="000000"/>
          <w:szCs w:val="24"/>
          <w:lang w:eastAsia="lv-LV"/>
        </w:rPr>
        <w:t>gada 1.</w:t>
      </w:r>
      <w:r w:rsidR="00F240B0">
        <w:rPr>
          <w:color w:val="000000"/>
          <w:szCs w:val="24"/>
          <w:lang w:eastAsia="lv-LV"/>
        </w:rPr>
        <w:t xml:space="preserve"> </w:t>
      </w:r>
      <w:r>
        <w:rPr>
          <w:color w:val="000000"/>
          <w:szCs w:val="24"/>
          <w:lang w:eastAsia="lv-LV"/>
        </w:rPr>
        <w:t xml:space="preserve">martu </w:t>
      </w:r>
      <w:r w:rsidRPr="005551F2">
        <w:rPr>
          <w:color w:val="000000"/>
          <w:szCs w:val="24"/>
          <w:lang w:eastAsia="lv-LV"/>
        </w:rPr>
        <w:t xml:space="preserve">vienas cigarešu paciņas (20 cigaretes) nodokļu daļas pieaugums </w:t>
      </w:r>
      <w:r>
        <w:rPr>
          <w:color w:val="000000"/>
          <w:szCs w:val="24"/>
          <w:lang w:eastAsia="lv-LV"/>
        </w:rPr>
        <w:t xml:space="preserve">atkarībā no mazumtirdzniecības gala cenas </w:t>
      </w:r>
      <w:r w:rsidRPr="005551F2">
        <w:rPr>
          <w:color w:val="000000"/>
          <w:szCs w:val="24"/>
          <w:lang w:eastAsia="lv-LV"/>
        </w:rPr>
        <w:t xml:space="preserve">būs </w:t>
      </w:r>
      <w:r w:rsidRPr="00C17BED">
        <w:rPr>
          <w:color w:val="000000"/>
          <w:szCs w:val="24"/>
          <w:lang w:eastAsia="lv-LV"/>
        </w:rPr>
        <w:t xml:space="preserve">~0,12 līdz 0,14 </w:t>
      </w:r>
      <w:proofErr w:type="spellStart"/>
      <w:r w:rsidRPr="00F92BF9">
        <w:rPr>
          <w:bCs/>
          <w:i/>
          <w:color w:val="000000"/>
          <w:szCs w:val="24"/>
          <w:lang w:eastAsia="lv-LV"/>
        </w:rPr>
        <w:t>euro</w:t>
      </w:r>
      <w:proofErr w:type="spellEnd"/>
      <w:r w:rsidRPr="00C17BED">
        <w:rPr>
          <w:color w:val="000000"/>
          <w:szCs w:val="24"/>
          <w:lang w:eastAsia="lv-LV"/>
        </w:rPr>
        <w:t>.</w:t>
      </w:r>
    </w:p>
    <w:p w:rsidR="00FD36B6" w:rsidRDefault="00FD36B6" w:rsidP="00F240B0">
      <w:pPr>
        <w:tabs>
          <w:tab w:val="left" w:pos="1134"/>
        </w:tabs>
        <w:spacing w:before="120"/>
      </w:pPr>
      <w:r>
        <w:t xml:space="preserve">Salīdzinot nodokļu līmeni tabakas izstrādājumiem Baltijas valstīs, secināms, ka Latvijā tas lielākajai daļai produktu ir zemāks nekā Igaunijā, bet </w:t>
      </w:r>
      <w:r w:rsidRPr="005131B2">
        <w:t xml:space="preserve">augstāks nekā Lietuvā. </w:t>
      </w:r>
      <w:r>
        <w:t>Arī Igaunija plāno 2021.</w:t>
      </w:r>
      <w:r w:rsidR="0034515E">
        <w:t xml:space="preserve"> </w:t>
      </w:r>
      <w:r>
        <w:t xml:space="preserve">gadā paaugstināt akcīzes nodokļa likmes lielākajai daļai tabakas izstrādājumu. </w:t>
      </w:r>
      <w:r w:rsidRPr="005131B2">
        <w:t>Piemēram, minimālais akcīzes nodokļa līmenis cigaretēm Latvijā 2021.</w:t>
      </w:r>
      <w:r w:rsidR="0034515E">
        <w:t xml:space="preserve"> </w:t>
      </w:r>
      <w:r w:rsidRPr="005131B2">
        <w:t>gadā būs par 0,29 </w:t>
      </w:r>
      <w:proofErr w:type="spellStart"/>
      <w:r w:rsidRPr="00F92BF9">
        <w:rPr>
          <w:i/>
        </w:rPr>
        <w:t>euro</w:t>
      </w:r>
      <w:proofErr w:type="spellEnd"/>
      <w:r w:rsidRPr="005131B2">
        <w:t xml:space="preserve"> jeb 11,0% augstāks nekā Lietuvā, bet par 0,58 </w:t>
      </w:r>
      <w:proofErr w:type="spellStart"/>
      <w:r w:rsidRPr="00F92BF9">
        <w:rPr>
          <w:i/>
        </w:rPr>
        <w:t>euro</w:t>
      </w:r>
      <w:proofErr w:type="spellEnd"/>
      <w:r w:rsidRPr="005131B2">
        <w:t xml:space="preserve"> jeb 16,6% zemāks nekā Igaunijā. </w:t>
      </w:r>
      <w:r w:rsidRPr="004E0881">
        <w:t xml:space="preserve">Cigāriem un </w:t>
      </w:r>
      <w:proofErr w:type="spellStart"/>
      <w:r w:rsidRPr="004E0881">
        <w:t>cigarillām</w:t>
      </w:r>
      <w:proofErr w:type="spellEnd"/>
      <w:r w:rsidRPr="004E0881">
        <w:t xml:space="preserve"> nodokļu līmenis 2021.</w:t>
      </w:r>
      <w:r w:rsidR="0034515E">
        <w:t xml:space="preserve"> </w:t>
      </w:r>
      <w:r w:rsidRPr="004E0881">
        <w:t>gadā visaugstākais būs Igaunijā, zemākais – Lietuvā</w:t>
      </w:r>
      <w:r w:rsidRPr="005131B2">
        <w:t>. Arī smēķējamās tabakas nodokļu daļa 30 g. iepakojumam 2021.</w:t>
      </w:r>
      <w:r w:rsidR="0034515E">
        <w:t xml:space="preserve"> </w:t>
      </w:r>
      <w:r w:rsidRPr="005131B2">
        <w:t>gadā Igaunijā būs lielāka (+0,58 </w:t>
      </w:r>
      <w:proofErr w:type="spellStart"/>
      <w:r w:rsidRPr="00F92BF9">
        <w:rPr>
          <w:i/>
        </w:rPr>
        <w:t>euro</w:t>
      </w:r>
      <w:proofErr w:type="spellEnd"/>
      <w:r w:rsidRPr="005131B2">
        <w:t>), bet zemāka – Lietuvā (-0,06 </w:t>
      </w:r>
      <w:proofErr w:type="spellStart"/>
      <w:r w:rsidRPr="00F92BF9">
        <w:rPr>
          <w:i/>
        </w:rPr>
        <w:t>euro</w:t>
      </w:r>
      <w:proofErr w:type="spellEnd"/>
      <w:r w:rsidRPr="005131B2">
        <w:t>). Savukārt</w:t>
      </w:r>
      <w:r w:rsidRPr="004E0881">
        <w:t xml:space="preserve"> karsējamās tabakas </w:t>
      </w:r>
      <w:r w:rsidRPr="00DE61DB">
        <w:t>paciņai nodokļu slogs būs par 0,11 </w:t>
      </w:r>
      <w:proofErr w:type="spellStart"/>
      <w:r w:rsidRPr="00F92BF9">
        <w:rPr>
          <w:i/>
        </w:rPr>
        <w:t>euro</w:t>
      </w:r>
      <w:proofErr w:type="spellEnd"/>
      <w:r w:rsidRPr="00DE61DB">
        <w:t xml:space="preserve"> zemāks nekā Lietuvā un par 0,02 </w:t>
      </w:r>
      <w:proofErr w:type="spellStart"/>
      <w:r w:rsidRPr="00F92BF9">
        <w:rPr>
          <w:i/>
        </w:rPr>
        <w:t>euro</w:t>
      </w:r>
      <w:proofErr w:type="spellEnd"/>
      <w:r w:rsidRPr="00DE61DB">
        <w:t xml:space="preserve"> augstāks nekā Igaunijā.</w:t>
      </w:r>
      <w:r>
        <w:t xml:space="preserve"> </w:t>
      </w:r>
    </w:p>
    <w:p w:rsidR="00FD36B6" w:rsidRPr="0067116B" w:rsidRDefault="00FD36B6" w:rsidP="00F240B0">
      <w:pPr>
        <w:tabs>
          <w:tab w:val="left" w:pos="1134"/>
        </w:tabs>
      </w:pPr>
      <w:r w:rsidRPr="0067116B">
        <w:rPr>
          <w:szCs w:val="24"/>
        </w:rPr>
        <w:t>Ņemot vērā iepriekš minēto, 2021.</w:t>
      </w:r>
      <w:r w:rsidR="0034515E">
        <w:rPr>
          <w:szCs w:val="24"/>
        </w:rPr>
        <w:t xml:space="preserve"> </w:t>
      </w:r>
      <w:r w:rsidRPr="0067116B">
        <w:rPr>
          <w:szCs w:val="24"/>
        </w:rPr>
        <w:t>gada akcīzes nodokļa no tabakas izstrādājumiem ieņēmumi s</w:t>
      </w:r>
      <w:r w:rsidR="0034515E">
        <w:t>askaņā ar likumprojektu “</w:t>
      </w:r>
      <w:r w:rsidRPr="0067116B">
        <w:t>Par valsts budžetu 2021.</w:t>
      </w:r>
      <w:r w:rsidR="0034515E">
        <w:t xml:space="preserve"> </w:t>
      </w:r>
      <w:r w:rsidRPr="0067116B">
        <w:t>gadam” tiek plānoti 235,0 milj. </w:t>
      </w:r>
      <w:proofErr w:type="spellStart"/>
      <w:r w:rsidRPr="00F92BF9">
        <w:rPr>
          <w:i/>
        </w:rPr>
        <w:t>euro</w:t>
      </w:r>
      <w:proofErr w:type="spellEnd"/>
      <w:r w:rsidRPr="0067116B">
        <w:t xml:space="preserve"> apmērā, kas, salīdzinot ar 2020.</w:t>
      </w:r>
      <w:r w:rsidR="0034515E">
        <w:t xml:space="preserve"> </w:t>
      </w:r>
      <w:r w:rsidRPr="0067116B">
        <w:t>gada prognozi, ir par 10,2 milj. </w:t>
      </w:r>
      <w:proofErr w:type="spellStart"/>
      <w:r w:rsidRPr="00F92BF9">
        <w:rPr>
          <w:i/>
        </w:rPr>
        <w:t>euro</w:t>
      </w:r>
      <w:proofErr w:type="spellEnd"/>
      <w:r w:rsidRPr="0067116B">
        <w:t xml:space="preserve"> jeb 4,5% vairāk. </w:t>
      </w:r>
    </w:p>
    <w:p w:rsidR="00FD36B6" w:rsidRPr="005C58BC" w:rsidRDefault="00FD36B6" w:rsidP="00FD36B6">
      <w:pPr>
        <w:spacing w:after="240"/>
        <w:ind w:firstLine="0"/>
        <w:rPr>
          <w:u w:val="single"/>
        </w:rPr>
      </w:pPr>
      <w:r w:rsidRPr="005C58BC">
        <w:rPr>
          <w:u w:val="single"/>
        </w:rPr>
        <w:t>Akcīzes nodoklis pārējām akcīzes precēm</w:t>
      </w:r>
    </w:p>
    <w:p w:rsidR="00FD36B6" w:rsidRPr="005C58BC" w:rsidRDefault="00FD36B6" w:rsidP="00FD36B6">
      <w:pPr>
        <w:pStyle w:val="NoSpacing"/>
        <w:spacing w:after="120"/>
      </w:pPr>
      <w:r w:rsidRPr="005C58BC">
        <w:t>2020.</w:t>
      </w:r>
      <w:r w:rsidR="0034515E">
        <w:t xml:space="preserve"> </w:t>
      </w:r>
      <w:r w:rsidRPr="005C58BC">
        <w:t xml:space="preserve">gada sešos mēnešos akcīzes nodokļa ieņēmumi no pārējām akcīzes precēm </w:t>
      </w:r>
      <w:r>
        <w:t>–</w:t>
      </w:r>
      <w:r w:rsidRPr="005C58BC">
        <w:t xml:space="preserve"> kafiju,</w:t>
      </w:r>
      <w:r w:rsidR="0034515E">
        <w:t xml:space="preserve"> </w:t>
      </w:r>
      <w:r w:rsidRPr="005C58BC">
        <w:t>bezalkoholiskajiem dzērieniem un elektroniskajās cigaretēs izmantojamajiem šķidrumiem – bija 8,5 milj. </w:t>
      </w:r>
      <w:proofErr w:type="spellStart"/>
      <w:r w:rsidRPr="00F92BF9">
        <w:rPr>
          <w:bCs/>
          <w:i/>
          <w:szCs w:val="24"/>
        </w:rPr>
        <w:t>euro</w:t>
      </w:r>
      <w:proofErr w:type="spellEnd"/>
      <w:r w:rsidRPr="005C58BC">
        <w:rPr>
          <w:i/>
        </w:rPr>
        <w:t xml:space="preserve">. </w:t>
      </w:r>
      <w:r w:rsidRPr="005C58BC">
        <w:t>Salīdzinājumā ar 2019.</w:t>
      </w:r>
      <w:r w:rsidR="0034515E">
        <w:t xml:space="preserve"> </w:t>
      </w:r>
      <w:r w:rsidRPr="005C58BC">
        <w:t>gada atbilstošo periodu akcīzes nodokļa ieņēmumi no tām ir palielinājušies par 0,3 milj. </w:t>
      </w:r>
      <w:proofErr w:type="spellStart"/>
      <w:r w:rsidRPr="00F92BF9">
        <w:rPr>
          <w:i/>
        </w:rPr>
        <w:t>euro</w:t>
      </w:r>
      <w:proofErr w:type="spellEnd"/>
      <w:r w:rsidRPr="005C58BC">
        <w:t xml:space="preserve"> jeb 3,5%, un plāns ir izpildīts 99,6% apmērā. </w:t>
      </w:r>
    </w:p>
    <w:p w:rsidR="00FD36B6" w:rsidRPr="00956EC6" w:rsidRDefault="00FD36B6" w:rsidP="00FD36B6">
      <w:pPr>
        <w:pStyle w:val="NoSpacing"/>
        <w:spacing w:after="120"/>
      </w:pPr>
      <w:r w:rsidRPr="005C58BC">
        <w:t xml:space="preserve">Saskaņā ar </w:t>
      </w:r>
      <w:r w:rsidR="0034515E">
        <w:t>VID</w:t>
      </w:r>
      <w:r w:rsidRPr="005C58BC">
        <w:t xml:space="preserve"> sniegto informāciju bezalkoholisko dzērienu patēriņš 2020.</w:t>
      </w:r>
      <w:r w:rsidR="0034515E">
        <w:t xml:space="preserve"> </w:t>
      </w:r>
      <w:r w:rsidRPr="005C58BC">
        <w:t>gada piecos mēnešos un 2019.</w:t>
      </w:r>
      <w:r w:rsidR="0034515E">
        <w:t xml:space="preserve"> </w:t>
      </w:r>
      <w:r w:rsidRPr="005C58BC">
        <w:t>gada decembrī salīdzinājumā ar 2019. un 2018.</w:t>
      </w:r>
      <w:r w:rsidR="0034515E">
        <w:t xml:space="preserve"> </w:t>
      </w:r>
      <w:r w:rsidRPr="005C58BC">
        <w:t xml:space="preserve">gada atbilstošo periodu ir palielinājies par 1,4%, bet kafijas patēriņš tai pašā periodā palielinājies par </w:t>
      </w:r>
      <w:r w:rsidRPr="005C58BC">
        <w:lastRenderedPageBreak/>
        <w:t>11,7 procentiem. Elektroniskajās cigaretēs izmantojamo šķidrumu patēriņš samazinājies par 50,2 procentiem un bija zem 2018.</w:t>
      </w:r>
      <w:r w:rsidR="0034515E">
        <w:t xml:space="preserve"> </w:t>
      </w:r>
      <w:r w:rsidRPr="005C58BC">
        <w:t>gada līmeņa.</w:t>
      </w:r>
    </w:p>
    <w:p w:rsidR="00FD36B6" w:rsidRPr="00956EC6" w:rsidRDefault="00FD36B6" w:rsidP="00FD36B6">
      <w:pPr>
        <w:spacing w:before="120"/>
      </w:pPr>
      <w:r w:rsidRPr="00956EC6">
        <w:t>Ņemot vērā pārējo akcīzes preču patēriņa dinamiku un sešu mēnešu izpildi, akcīzes nodokļa ieņēmumi no pārējām akcīzes precēm 2020.</w:t>
      </w:r>
      <w:r w:rsidR="0034515E">
        <w:t xml:space="preserve"> </w:t>
      </w:r>
      <w:r w:rsidRPr="00956EC6">
        <w:t xml:space="preserve">gadā prognozēti 17,8 milj. </w:t>
      </w:r>
      <w:proofErr w:type="spellStart"/>
      <w:r w:rsidRPr="00956EC6">
        <w:rPr>
          <w:bCs/>
          <w:i/>
          <w:szCs w:val="24"/>
        </w:rPr>
        <w:t>euro</w:t>
      </w:r>
      <w:proofErr w:type="spellEnd"/>
      <w:r w:rsidRPr="00956EC6">
        <w:t xml:space="preserve"> apmērā, kas ir par 0,2 milj. </w:t>
      </w:r>
      <w:proofErr w:type="spellStart"/>
      <w:r w:rsidRPr="00956EC6">
        <w:rPr>
          <w:bCs/>
          <w:i/>
          <w:szCs w:val="24"/>
        </w:rPr>
        <w:t>euro</w:t>
      </w:r>
      <w:proofErr w:type="spellEnd"/>
      <w:r w:rsidRPr="00956EC6">
        <w:t xml:space="preserve"> jeb 1,1% mazāk nekā plānots.</w:t>
      </w:r>
    </w:p>
    <w:p w:rsidR="00FD36B6" w:rsidRPr="00956EC6" w:rsidRDefault="00FD36B6" w:rsidP="00FD36B6">
      <w:r w:rsidRPr="00956EC6">
        <w:t>Sagatavojot 2021.</w:t>
      </w:r>
      <w:r w:rsidR="0034515E">
        <w:t xml:space="preserve"> </w:t>
      </w:r>
      <w:r w:rsidRPr="00956EC6">
        <w:t>gada akcīzes nodokļa pārējām precēm ieņēmumu plānu, tika ņemtas vērā iepriekš minētās makroekonomisko rādītāju izmaiņas, jaunā 2020.</w:t>
      </w:r>
      <w:r w:rsidR="0034515E">
        <w:t xml:space="preserve"> </w:t>
      </w:r>
      <w:r w:rsidRPr="00956EC6">
        <w:t>gada prognozētā bāze, kā arī prognozētā apliekamo objektu patēriņa dinamika un izmaiņas normatīvajos aktos.</w:t>
      </w:r>
    </w:p>
    <w:p w:rsidR="00FD36B6" w:rsidRPr="00956EC6" w:rsidRDefault="00FD36B6" w:rsidP="00FD36B6">
      <w:pPr>
        <w:spacing w:before="120"/>
        <w:ind w:right="-1"/>
        <w:rPr>
          <w:rFonts w:eastAsia="Calibri"/>
          <w:i/>
          <w:szCs w:val="28"/>
          <w:lang w:eastAsia="lv-LV"/>
        </w:rPr>
      </w:pPr>
      <w:r w:rsidRPr="00956EC6">
        <w:t xml:space="preserve">Saskaņā ar </w:t>
      </w:r>
      <w:r w:rsidR="0034515E">
        <w:rPr>
          <w:szCs w:val="24"/>
        </w:rPr>
        <w:t>MK</w:t>
      </w:r>
      <w:r w:rsidRPr="00956EC6">
        <w:rPr>
          <w:szCs w:val="24"/>
        </w:rPr>
        <w:t xml:space="preserve"> 2020.</w:t>
      </w:r>
      <w:r w:rsidR="0034515E">
        <w:rPr>
          <w:szCs w:val="24"/>
        </w:rPr>
        <w:t xml:space="preserve"> </w:t>
      </w:r>
      <w:r w:rsidRPr="00956EC6">
        <w:rPr>
          <w:szCs w:val="24"/>
        </w:rPr>
        <w:t>gada 2.</w:t>
      </w:r>
      <w:r w:rsidR="0034515E">
        <w:rPr>
          <w:szCs w:val="24"/>
        </w:rPr>
        <w:t xml:space="preserve"> </w:t>
      </w:r>
      <w:r w:rsidRPr="00956EC6">
        <w:rPr>
          <w:szCs w:val="24"/>
        </w:rPr>
        <w:t>septembra sēdē atbalstīto i</w:t>
      </w:r>
      <w:r w:rsidR="0034515E">
        <w:t>nformatīvo ziņojumu “</w:t>
      </w:r>
      <w:r w:rsidRPr="00956EC6">
        <w:t>Par nodokļu politikas attīstības virzieniem, valsts sociālās un veselības apdrošināšanas ilgtspējas veicināšanai</w:t>
      </w:r>
      <w:r w:rsidR="0034515E">
        <w:t>”</w:t>
      </w:r>
      <w:r w:rsidRPr="00956EC6">
        <w:t xml:space="preserve"> ar 2021.</w:t>
      </w:r>
      <w:r w:rsidR="0034515E">
        <w:t xml:space="preserve"> </w:t>
      </w:r>
      <w:r w:rsidRPr="00956EC6">
        <w:t>gada 1.</w:t>
      </w:r>
      <w:r w:rsidR="0034515E">
        <w:t xml:space="preserve"> </w:t>
      </w:r>
      <w:r w:rsidRPr="00956EC6">
        <w:t>janvāri paredzētas vairākas akcīzes nodokļa izmaiņas:</w:t>
      </w:r>
    </w:p>
    <w:p w:rsidR="00FD36B6" w:rsidRPr="00F7769B" w:rsidRDefault="00FD36B6" w:rsidP="00373FD4">
      <w:pPr>
        <w:pStyle w:val="ListParagraph"/>
        <w:numPr>
          <w:ilvl w:val="1"/>
          <w:numId w:val="6"/>
        </w:numPr>
        <w:tabs>
          <w:tab w:val="left" w:pos="993"/>
        </w:tabs>
      </w:pPr>
      <w:r w:rsidRPr="00956EC6">
        <w:t>tiks vienkāršota un paaugstināta akcīzes nodokļa likme elektro</w:t>
      </w:r>
      <w:r w:rsidRPr="00F7769B">
        <w:t>niskajās cigaretēs izmantojamajiem šķidrumiem</w:t>
      </w:r>
      <w:r>
        <w:t xml:space="preserve">, nosakot </w:t>
      </w:r>
      <w:r w:rsidRPr="00A8516A">
        <w:rPr>
          <w:rFonts w:eastAsia="Calibri"/>
        </w:rPr>
        <w:t>likmi</w:t>
      </w:r>
      <w:r>
        <w:rPr>
          <w:rFonts w:eastAsia="Calibri"/>
        </w:rPr>
        <w:t xml:space="preserve"> 0,12 </w:t>
      </w:r>
      <w:proofErr w:type="spellStart"/>
      <w:r w:rsidRPr="00F92BF9">
        <w:rPr>
          <w:bCs/>
          <w:i/>
          <w:szCs w:val="24"/>
        </w:rPr>
        <w:t>euro</w:t>
      </w:r>
      <w:proofErr w:type="spellEnd"/>
      <w:r>
        <w:rPr>
          <w:rFonts w:eastAsia="Calibri"/>
        </w:rPr>
        <w:t xml:space="preserve"> par </w:t>
      </w:r>
      <w:r w:rsidRPr="00A8516A">
        <w:rPr>
          <w:rFonts w:eastAsia="Calibri"/>
        </w:rPr>
        <w:t>mililitru šķidruma neatkarīgi no nikotīna daudzuma</w:t>
      </w:r>
      <w:r w:rsidRPr="00F7769B">
        <w:t>;</w:t>
      </w:r>
    </w:p>
    <w:p w:rsidR="00FD36B6" w:rsidRDefault="00FD36B6" w:rsidP="00373FD4">
      <w:pPr>
        <w:pStyle w:val="ListParagraph"/>
        <w:numPr>
          <w:ilvl w:val="1"/>
          <w:numId w:val="6"/>
        </w:numPr>
        <w:tabs>
          <w:tab w:val="left" w:pos="993"/>
        </w:tabs>
      </w:pPr>
      <w:r w:rsidRPr="00F7769B">
        <w:t>akcīzes nodoklis tiks piemērots arī elektroniskajās cigaretēs i</w:t>
      </w:r>
      <w:r>
        <w:t xml:space="preserve">zmantojamo šķidrumu sastāvdaļām </w:t>
      </w:r>
      <w:r w:rsidRPr="00A8516A">
        <w:rPr>
          <w:rFonts w:eastAsia="Calibri"/>
        </w:rPr>
        <w:t>(</w:t>
      </w:r>
      <w:proofErr w:type="spellStart"/>
      <w:r w:rsidRPr="00A8516A">
        <w:rPr>
          <w:rFonts w:eastAsia="Calibri"/>
        </w:rPr>
        <w:t>propilenglikols</w:t>
      </w:r>
      <w:proofErr w:type="spellEnd"/>
      <w:r w:rsidRPr="00A8516A">
        <w:rPr>
          <w:rFonts w:eastAsia="Calibri"/>
        </w:rPr>
        <w:t xml:space="preserve">, </w:t>
      </w:r>
      <w:proofErr w:type="spellStart"/>
      <w:r w:rsidRPr="00A8516A">
        <w:rPr>
          <w:rFonts w:eastAsia="Calibri"/>
        </w:rPr>
        <w:t>aromatizatori</w:t>
      </w:r>
      <w:proofErr w:type="spellEnd"/>
      <w:r w:rsidRPr="00A8516A">
        <w:rPr>
          <w:rFonts w:eastAsia="Calibri"/>
        </w:rPr>
        <w:t>, augu izcelsmes glicerīns un nikotīna ekstrakti)</w:t>
      </w:r>
      <w:r>
        <w:rPr>
          <w:rFonts w:eastAsia="Calibri"/>
        </w:rPr>
        <w:t>,</w:t>
      </w:r>
      <w:r>
        <w:t xml:space="preserve"> </w:t>
      </w:r>
      <w:r w:rsidRPr="00B844D8">
        <w:t>kuras plaši tiek piedāvātas Latvijas tirgū un kuras patērētāji iegādājas, lai sagatavotu elektroniskajās cigaretēs izmantojamo šķidrumu, tādējādi izvairoties no akcīzes nodokļa nomaksas.</w:t>
      </w:r>
    </w:p>
    <w:p w:rsidR="00FD36B6" w:rsidRPr="000677B1" w:rsidRDefault="00FD36B6" w:rsidP="0034515E">
      <w:pPr>
        <w:tabs>
          <w:tab w:val="left" w:pos="1134"/>
        </w:tabs>
      </w:pPr>
      <w:r w:rsidRPr="000677B1">
        <w:t>Fiskālā ietekme 2021.gadā +</w:t>
      </w:r>
      <w:r>
        <w:t>0</w:t>
      </w:r>
      <w:r w:rsidRPr="000677B1">
        <w:t xml:space="preserve">,5 milj. </w:t>
      </w:r>
      <w:proofErr w:type="spellStart"/>
      <w:r w:rsidRPr="00F92BF9">
        <w:rPr>
          <w:bCs/>
          <w:i/>
          <w:szCs w:val="24"/>
        </w:rPr>
        <w:t>euro</w:t>
      </w:r>
      <w:proofErr w:type="spellEnd"/>
      <w:r w:rsidRPr="000677B1">
        <w:t xml:space="preserve"> (t.sk. no akcīzes nodokļa +</w:t>
      </w:r>
      <w:r>
        <w:t>0,4</w:t>
      </w:r>
      <w:r w:rsidRPr="000677B1">
        <w:t> milj. </w:t>
      </w:r>
      <w:proofErr w:type="spellStart"/>
      <w:r w:rsidRPr="00F92BF9">
        <w:rPr>
          <w:bCs/>
          <w:i/>
          <w:szCs w:val="24"/>
        </w:rPr>
        <w:t>euro</w:t>
      </w:r>
      <w:proofErr w:type="spellEnd"/>
      <w:r w:rsidRPr="000677B1">
        <w:t xml:space="preserve"> un no </w:t>
      </w:r>
      <w:r w:rsidR="0034515E">
        <w:t>PVN</w:t>
      </w:r>
      <w:r w:rsidRPr="000677B1">
        <w:t xml:space="preserve"> +0,</w:t>
      </w:r>
      <w:r>
        <w:t>1</w:t>
      </w:r>
      <w:r w:rsidRPr="000677B1">
        <w:t xml:space="preserve"> milj. </w:t>
      </w:r>
      <w:proofErr w:type="spellStart"/>
      <w:r w:rsidRPr="00F92BF9">
        <w:rPr>
          <w:bCs/>
          <w:i/>
          <w:szCs w:val="24"/>
        </w:rPr>
        <w:t>euro</w:t>
      </w:r>
      <w:proofErr w:type="spellEnd"/>
      <w:r w:rsidRPr="000677B1">
        <w:t xml:space="preserve">). </w:t>
      </w:r>
    </w:p>
    <w:p w:rsidR="00FD36B6" w:rsidRDefault="00FD36B6" w:rsidP="00FD36B6">
      <w:pPr>
        <w:tabs>
          <w:tab w:val="left" w:pos="250"/>
        </w:tabs>
        <w:spacing w:after="0"/>
        <w:ind w:firstLine="0"/>
        <w:rPr>
          <w:color w:val="000000"/>
          <w:szCs w:val="24"/>
          <w:lang w:eastAsia="lv-LV"/>
        </w:rPr>
      </w:pPr>
      <w:r>
        <w:rPr>
          <w:rFonts w:eastAsia="Calibri"/>
        </w:rPr>
        <w:tab/>
      </w:r>
      <w:r>
        <w:rPr>
          <w:rFonts w:eastAsia="Calibri"/>
        </w:rPr>
        <w:tab/>
        <w:t xml:space="preserve">Akcīzes nodokļa vienkāršošanas un paaugstināšanas rezultātā </w:t>
      </w:r>
      <w:r w:rsidRPr="00770D12">
        <w:rPr>
          <w:color w:val="000000"/>
          <w:szCs w:val="24"/>
          <w:lang w:eastAsia="lv-LV"/>
        </w:rPr>
        <w:t xml:space="preserve">nodokļu </w:t>
      </w:r>
      <w:r>
        <w:rPr>
          <w:color w:val="000000"/>
          <w:szCs w:val="24"/>
          <w:lang w:eastAsia="lv-LV"/>
        </w:rPr>
        <w:t xml:space="preserve">daļa (akcīzes nodoklis un tam piemērojamā pievienotās vērtības nodokļa daļa) </w:t>
      </w:r>
      <w:r w:rsidRPr="00770D12">
        <w:rPr>
          <w:color w:val="000000"/>
          <w:szCs w:val="24"/>
          <w:lang w:eastAsia="lv-LV"/>
        </w:rPr>
        <w:t xml:space="preserve">10 ml šķidruma </w:t>
      </w:r>
      <w:r>
        <w:rPr>
          <w:color w:val="000000"/>
          <w:szCs w:val="24"/>
          <w:lang w:eastAsia="lv-LV"/>
        </w:rPr>
        <w:t>2021.</w:t>
      </w:r>
      <w:r w:rsidR="0034515E">
        <w:rPr>
          <w:color w:val="000000"/>
          <w:szCs w:val="24"/>
          <w:lang w:eastAsia="lv-LV"/>
        </w:rPr>
        <w:t xml:space="preserve"> </w:t>
      </w:r>
      <w:r>
        <w:rPr>
          <w:color w:val="000000"/>
          <w:szCs w:val="24"/>
          <w:lang w:eastAsia="lv-LV"/>
        </w:rPr>
        <w:t>gadā p</w:t>
      </w:r>
      <w:r w:rsidRPr="00770D12">
        <w:rPr>
          <w:color w:val="000000"/>
          <w:szCs w:val="24"/>
          <w:lang w:eastAsia="lv-LV"/>
        </w:rPr>
        <w:t>ieaugs par 0,12</w:t>
      </w:r>
      <w:r>
        <w:rPr>
          <w:color w:val="000000"/>
          <w:szCs w:val="24"/>
          <w:lang w:eastAsia="lv-LV"/>
        </w:rPr>
        <w:t> līdz </w:t>
      </w:r>
      <w:r w:rsidRPr="00770D12">
        <w:rPr>
          <w:color w:val="000000"/>
          <w:szCs w:val="24"/>
          <w:lang w:eastAsia="lv-LV"/>
        </w:rPr>
        <w:t>1,</w:t>
      </w:r>
      <w:r w:rsidRPr="006507C6">
        <w:rPr>
          <w:color w:val="000000"/>
          <w:szCs w:val="24"/>
          <w:lang w:eastAsia="lv-LV"/>
        </w:rPr>
        <w:t>33 </w:t>
      </w:r>
      <w:proofErr w:type="spellStart"/>
      <w:r w:rsidRPr="00F92BF9">
        <w:rPr>
          <w:bCs/>
          <w:i/>
          <w:color w:val="000000"/>
          <w:szCs w:val="24"/>
          <w:lang w:eastAsia="lv-LV"/>
        </w:rPr>
        <w:t>euro</w:t>
      </w:r>
      <w:proofErr w:type="spellEnd"/>
      <w:r w:rsidRPr="006507C6">
        <w:rPr>
          <w:color w:val="000000"/>
          <w:szCs w:val="24"/>
          <w:lang w:eastAsia="lv-LV"/>
        </w:rPr>
        <w:t xml:space="preserve"> (atkarībā no nikotīna satura, kas nosaka nodokļu </w:t>
      </w:r>
      <w:r>
        <w:rPr>
          <w:color w:val="000000"/>
          <w:szCs w:val="24"/>
          <w:lang w:eastAsia="lv-LV"/>
        </w:rPr>
        <w:t>līmeni</w:t>
      </w:r>
      <w:r w:rsidRPr="006507C6">
        <w:rPr>
          <w:color w:val="000000"/>
          <w:szCs w:val="24"/>
          <w:lang w:eastAsia="lv-LV"/>
        </w:rPr>
        <w:t xml:space="preserve"> </w:t>
      </w:r>
      <w:r>
        <w:rPr>
          <w:color w:val="000000"/>
          <w:szCs w:val="24"/>
          <w:lang w:eastAsia="lv-LV"/>
        </w:rPr>
        <w:t>2020.</w:t>
      </w:r>
      <w:r w:rsidR="0034515E">
        <w:rPr>
          <w:color w:val="000000"/>
          <w:szCs w:val="24"/>
          <w:lang w:eastAsia="lv-LV"/>
        </w:rPr>
        <w:t> </w:t>
      </w:r>
      <w:r w:rsidRPr="006507C6">
        <w:rPr>
          <w:color w:val="000000"/>
          <w:szCs w:val="24"/>
          <w:lang w:eastAsia="lv-LV"/>
        </w:rPr>
        <w:t>gadā) un būs 1,45 </w:t>
      </w:r>
      <w:proofErr w:type="spellStart"/>
      <w:r w:rsidRPr="00F92BF9">
        <w:rPr>
          <w:bCs/>
          <w:i/>
          <w:color w:val="000000"/>
          <w:szCs w:val="24"/>
          <w:lang w:eastAsia="lv-LV"/>
        </w:rPr>
        <w:t>euro</w:t>
      </w:r>
      <w:proofErr w:type="spellEnd"/>
      <w:r w:rsidRPr="006507C6">
        <w:rPr>
          <w:color w:val="000000"/>
          <w:szCs w:val="24"/>
          <w:lang w:eastAsia="lv-LV"/>
        </w:rPr>
        <w:t xml:space="preserve"> par 10 ml šķidruma</w:t>
      </w:r>
      <w:r>
        <w:rPr>
          <w:color w:val="000000"/>
          <w:szCs w:val="24"/>
          <w:lang w:eastAsia="lv-LV"/>
        </w:rPr>
        <w:t>. Nodokļa paaugstināšana paredzēta arī 2022. un 2023.</w:t>
      </w:r>
      <w:r w:rsidR="0034515E">
        <w:rPr>
          <w:color w:val="000000"/>
          <w:szCs w:val="24"/>
          <w:lang w:eastAsia="lv-LV"/>
        </w:rPr>
        <w:t xml:space="preserve"> </w:t>
      </w:r>
      <w:r>
        <w:rPr>
          <w:color w:val="000000"/>
          <w:szCs w:val="24"/>
          <w:lang w:eastAsia="lv-LV"/>
        </w:rPr>
        <w:t>gadā.</w:t>
      </w:r>
    </w:p>
    <w:p w:rsidR="00FD36B6" w:rsidRPr="0034515E" w:rsidRDefault="00FD36B6" w:rsidP="0034515E">
      <w:r w:rsidRPr="00B844D8">
        <w:rPr>
          <w:szCs w:val="24"/>
        </w:rPr>
        <w:t>2021.</w:t>
      </w:r>
      <w:r w:rsidR="0034515E">
        <w:rPr>
          <w:szCs w:val="24"/>
        </w:rPr>
        <w:t xml:space="preserve"> </w:t>
      </w:r>
      <w:r w:rsidRPr="00B844D8">
        <w:rPr>
          <w:szCs w:val="24"/>
        </w:rPr>
        <w:t>gada akcīzes nodokļa ieņēmumi no pārējām akcīzes precēm s</w:t>
      </w:r>
      <w:r w:rsidR="0034515E">
        <w:t>askaņā ar likumprojektu “</w:t>
      </w:r>
      <w:r w:rsidRPr="00B844D8">
        <w:t>Par valsts budžetu 2021.</w:t>
      </w:r>
      <w:r w:rsidR="0034515E">
        <w:t xml:space="preserve"> </w:t>
      </w:r>
      <w:r w:rsidRPr="00B844D8">
        <w:t>gadam” tiek plānoti 18,6 milj</w:t>
      </w:r>
      <w:r w:rsidRPr="00B844D8">
        <w:rPr>
          <w:i/>
        </w:rPr>
        <w:t>. </w:t>
      </w:r>
      <w:proofErr w:type="spellStart"/>
      <w:r w:rsidRPr="00F92BF9">
        <w:rPr>
          <w:i/>
        </w:rPr>
        <w:t>euro</w:t>
      </w:r>
      <w:proofErr w:type="spellEnd"/>
      <w:r w:rsidRPr="00B844D8">
        <w:t xml:space="preserve"> apmērā, kas ir par 0,8 milj. </w:t>
      </w:r>
      <w:proofErr w:type="spellStart"/>
      <w:r w:rsidRPr="00F92BF9">
        <w:rPr>
          <w:i/>
        </w:rPr>
        <w:t>euro</w:t>
      </w:r>
      <w:proofErr w:type="spellEnd"/>
      <w:r w:rsidRPr="00B844D8">
        <w:t xml:space="preserve"> jeb 4,6% vairāk nekā prognozēts 2020.</w:t>
      </w:r>
      <w:r w:rsidR="0034515E">
        <w:t xml:space="preserve"> </w:t>
      </w:r>
      <w:r w:rsidRPr="00B844D8">
        <w:t xml:space="preserve">gadam. </w:t>
      </w:r>
    </w:p>
    <w:p w:rsidR="00FD36B6" w:rsidRPr="00D66727" w:rsidRDefault="00FD36B6" w:rsidP="00FD36B6">
      <w:pPr>
        <w:spacing w:after="240"/>
        <w:ind w:firstLine="0"/>
        <w:rPr>
          <w:u w:val="single"/>
        </w:rPr>
      </w:pPr>
      <w:r w:rsidRPr="00D66727">
        <w:rPr>
          <w:u w:val="single"/>
        </w:rPr>
        <w:t>Akcīzes nodoklis dabasgāzei</w:t>
      </w:r>
    </w:p>
    <w:p w:rsidR="00FD36B6" w:rsidRPr="003B57BF" w:rsidRDefault="00FD36B6" w:rsidP="00FD36B6">
      <w:pPr>
        <w:rPr>
          <w:szCs w:val="24"/>
        </w:rPr>
      </w:pPr>
      <w:r w:rsidRPr="00D66727">
        <w:t>2020.</w:t>
      </w:r>
      <w:r w:rsidR="0034515E">
        <w:t xml:space="preserve"> </w:t>
      </w:r>
      <w:r w:rsidRPr="00D66727">
        <w:t>gada sešos mēnešos akcīzes nodokļa ieņēmumi par dabasgāzi bija 10,0 milj. </w:t>
      </w:r>
      <w:proofErr w:type="spellStart"/>
      <w:r w:rsidRPr="00F92BF9">
        <w:rPr>
          <w:i/>
        </w:rPr>
        <w:t>euro</w:t>
      </w:r>
      <w:proofErr w:type="spellEnd"/>
      <w:r w:rsidRPr="00D66727">
        <w:t xml:space="preserve">. Salīdzinot </w:t>
      </w:r>
      <w:r w:rsidRPr="00EE6DC7">
        <w:t>ar 2019.</w:t>
      </w:r>
      <w:r w:rsidR="0034515E">
        <w:t xml:space="preserve"> </w:t>
      </w:r>
      <w:r w:rsidRPr="00EE6DC7">
        <w:t xml:space="preserve">gada sešiem mēnešiem, akcīzes </w:t>
      </w:r>
      <w:r w:rsidRPr="00EE6DC7">
        <w:rPr>
          <w:szCs w:val="24"/>
        </w:rPr>
        <w:t>nodoklis par dabasgāzi iekasēts par 3,1 milj. </w:t>
      </w:r>
      <w:proofErr w:type="spellStart"/>
      <w:r w:rsidRPr="00F92BF9">
        <w:rPr>
          <w:i/>
          <w:szCs w:val="24"/>
        </w:rPr>
        <w:t>euro</w:t>
      </w:r>
      <w:proofErr w:type="spellEnd"/>
      <w:r w:rsidRPr="00EE6DC7">
        <w:rPr>
          <w:szCs w:val="24"/>
        </w:rPr>
        <w:t xml:space="preserve"> jeb 23,4% mazāk. Salīdzinot ar plānoto, iekasēts par 2,9 milj. </w:t>
      </w:r>
      <w:proofErr w:type="spellStart"/>
      <w:r w:rsidRPr="00F92BF9">
        <w:rPr>
          <w:bCs/>
          <w:i/>
          <w:szCs w:val="24"/>
        </w:rPr>
        <w:t>euro</w:t>
      </w:r>
      <w:proofErr w:type="spellEnd"/>
      <w:r w:rsidRPr="00EE6DC7">
        <w:rPr>
          <w:szCs w:val="24"/>
        </w:rPr>
        <w:t xml:space="preserve"> jeb 22,4% mazāk. Ieņēmumu samazinājums un plāna neizpilde saistīta ar dabasgāzes patēriņa dinamiku</w:t>
      </w:r>
      <w:r>
        <w:rPr>
          <w:szCs w:val="24"/>
        </w:rPr>
        <w:t xml:space="preserve"> –</w:t>
      </w:r>
      <w:r w:rsidRPr="00EE6DC7">
        <w:rPr>
          <w:szCs w:val="24"/>
        </w:rPr>
        <w:t xml:space="preserve"> saskaņā ar informāciju iesniegtajās dabasgāzes akcīzes nodokļa deklarācijās, da</w:t>
      </w:r>
      <w:r>
        <w:rPr>
          <w:szCs w:val="24"/>
        </w:rPr>
        <w:t>basgāzes daudzums,</w:t>
      </w:r>
      <w:r w:rsidRPr="00EE6DC7">
        <w:rPr>
          <w:szCs w:val="24"/>
        </w:rPr>
        <w:t xml:space="preserve"> ko izmanto par kurināmo, 2019.</w:t>
      </w:r>
      <w:r w:rsidR="0034515E">
        <w:rPr>
          <w:szCs w:val="24"/>
        </w:rPr>
        <w:t xml:space="preserve"> </w:t>
      </w:r>
      <w:r w:rsidRPr="00EE6DC7">
        <w:rPr>
          <w:szCs w:val="24"/>
        </w:rPr>
        <w:t>gada decembrī un 2020.</w:t>
      </w:r>
      <w:r w:rsidR="0034515E">
        <w:rPr>
          <w:szCs w:val="24"/>
        </w:rPr>
        <w:t xml:space="preserve"> </w:t>
      </w:r>
      <w:r w:rsidRPr="00EE6DC7">
        <w:rPr>
          <w:szCs w:val="24"/>
        </w:rPr>
        <w:t xml:space="preserve">gada piecos mēnešos, salīdzinot ar attiecīgo periodu pērn, samazinājies par 23,5 procentiem. Dabasgāzes, ko izmanto par kurināmo, </w:t>
      </w:r>
      <w:r w:rsidRPr="003B57BF">
        <w:rPr>
          <w:szCs w:val="24"/>
        </w:rPr>
        <w:t>patēriņa dinamika ir tieši saistīta ar laikapstākļiem. Saskaņā ar Centrālās statistikas pārvaldes apkopoto informāciju 2019.gada decembrī un 2020.gada pirmajos piecos mēnešos vidējā gaisa temperatūra, salīdzinot ar 2018. un 2019.gada atbilstošo periodu, palielinājusies par 1,4 C</w:t>
      </w:r>
      <w:r w:rsidRPr="003B57BF">
        <w:rPr>
          <w:szCs w:val="24"/>
          <w:vertAlign w:val="superscript"/>
        </w:rPr>
        <w:t>0</w:t>
      </w:r>
      <w:r w:rsidRPr="003B57BF">
        <w:rPr>
          <w:szCs w:val="24"/>
        </w:rPr>
        <w:t>, kas atspoguļojas gan dabasgāzes, ko izmanto par kurināmo, patēriņa dinamikā, gan akcīzes nodokļa ieņēmumos.</w:t>
      </w:r>
    </w:p>
    <w:p w:rsidR="00FD36B6" w:rsidRPr="0077276D" w:rsidRDefault="00FD36B6" w:rsidP="00FD36B6">
      <w:pPr>
        <w:rPr>
          <w:szCs w:val="24"/>
        </w:rPr>
      </w:pPr>
      <w:r w:rsidRPr="0077276D">
        <w:rPr>
          <w:szCs w:val="24"/>
        </w:rPr>
        <w:t>Saskaņā ar 2020.</w:t>
      </w:r>
      <w:r w:rsidR="0034515E">
        <w:rPr>
          <w:szCs w:val="24"/>
        </w:rPr>
        <w:t xml:space="preserve"> </w:t>
      </w:r>
      <w:r w:rsidRPr="0077276D">
        <w:rPr>
          <w:szCs w:val="24"/>
        </w:rPr>
        <w:t>gada 6.</w:t>
      </w:r>
      <w:r w:rsidR="0034515E">
        <w:rPr>
          <w:szCs w:val="24"/>
        </w:rPr>
        <w:t xml:space="preserve"> </w:t>
      </w:r>
      <w:r w:rsidRPr="0077276D">
        <w:rPr>
          <w:szCs w:val="24"/>
        </w:rPr>
        <w:t>februārī Saeimā pieņemtajiem grozījumiem likumā “Par akcīzes nodokli” ar 2020.</w:t>
      </w:r>
      <w:r w:rsidR="0034515E">
        <w:rPr>
          <w:szCs w:val="24"/>
        </w:rPr>
        <w:t xml:space="preserve"> </w:t>
      </w:r>
      <w:r w:rsidRPr="0077276D">
        <w:rPr>
          <w:szCs w:val="24"/>
        </w:rPr>
        <w:t>gada 1.</w:t>
      </w:r>
      <w:r w:rsidR="0034515E">
        <w:rPr>
          <w:szCs w:val="24"/>
        </w:rPr>
        <w:t xml:space="preserve"> </w:t>
      </w:r>
      <w:r w:rsidRPr="0077276D">
        <w:rPr>
          <w:szCs w:val="24"/>
        </w:rPr>
        <w:t>maiju atcelts atbrīvojums lauksaimniecībā izmantojamās zemes segto platību (siltumnīcu) siltumapgādei un rūpniecisko mājputnu novietņu (kūtis) un inkubatoru siltumapgādei.</w:t>
      </w:r>
    </w:p>
    <w:p w:rsidR="00FD36B6" w:rsidRDefault="00FD36B6" w:rsidP="00FD36B6">
      <w:pPr>
        <w:spacing w:before="120"/>
      </w:pPr>
      <w:r w:rsidRPr="00EE6DC7">
        <w:lastRenderedPageBreak/>
        <w:t>Ņemot vērā dabasgāzes patēriņa dinamiku un sešu mēnešu izpildi, akcīzes nodokļa dabasgāzei ieņēmumi 2020.</w:t>
      </w:r>
      <w:r w:rsidR="0034515E">
        <w:t xml:space="preserve"> </w:t>
      </w:r>
      <w:r w:rsidRPr="00EE6DC7">
        <w:t xml:space="preserve">gadā prognozēti 18,9 milj. </w:t>
      </w:r>
      <w:proofErr w:type="spellStart"/>
      <w:r w:rsidRPr="00F92BF9">
        <w:rPr>
          <w:bCs/>
          <w:i/>
          <w:szCs w:val="24"/>
        </w:rPr>
        <w:t>euro</w:t>
      </w:r>
      <w:proofErr w:type="spellEnd"/>
      <w:r w:rsidRPr="00EE6DC7">
        <w:t xml:space="preserve"> apmērā, kas ir par 2,9 milj. </w:t>
      </w:r>
      <w:proofErr w:type="spellStart"/>
      <w:r w:rsidRPr="00F92BF9">
        <w:rPr>
          <w:bCs/>
          <w:i/>
          <w:szCs w:val="24"/>
        </w:rPr>
        <w:t>euro</w:t>
      </w:r>
      <w:proofErr w:type="spellEnd"/>
      <w:r w:rsidRPr="00EE6DC7">
        <w:t xml:space="preserve"> jeb 13,3% mazāk nekā plānots. </w:t>
      </w:r>
    </w:p>
    <w:p w:rsidR="00FD36B6" w:rsidRPr="006A7887" w:rsidRDefault="00FD36B6" w:rsidP="00FD36B6">
      <w:r w:rsidRPr="006A7887">
        <w:t>Sagatavojot 2021.</w:t>
      </w:r>
      <w:r w:rsidR="0034515E">
        <w:t xml:space="preserve"> </w:t>
      </w:r>
      <w:r w:rsidRPr="006A7887">
        <w:t>gada akcīzes nodokļa dabasgāzei ieņēmumu plānu, tika ņemtas vērā iepriekš minētās makroekonomisko rādītāju izmaiņas, jaunā 2020.</w:t>
      </w:r>
      <w:r w:rsidR="0034515E">
        <w:t xml:space="preserve"> </w:t>
      </w:r>
      <w:r w:rsidRPr="006A7887">
        <w:t xml:space="preserve">gada prognozētā bāze, kā arī prognozētā dabasgāzes patēriņa dinamika. </w:t>
      </w:r>
      <w:r w:rsidRPr="006A7887">
        <w:rPr>
          <w:szCs w:val="24"/>
        </w:rPr>
        <w:t>2021.</w:t>
      </w:r>
      <w:r w:rsidR="0034515E">
        <w:rPr>
          <w:szCs w:val="24"/>
        </w:rPr>
        <w:t xml:space="preserve"> </w:t>
      </w:r>
      <w:r w:rsidRPr="006A7887">
        <w:rPr>
          <w:szCs w:val="24"/>
        </w:rPr>
        <w:t>gada akcīzes nodokļa ieņēmumi no dabasgāzes tie</w:t>
      </w:r>
      <w:r w:rsidRPr="006A7887">
        <w:t>k plānoti 20,7 milj. </w:t>
      </w:r>
      <w:proofErr w:type="spellStart"/>
      <w:r w:rsidRPr="00F92BF9">
        <w:rPr>
          <w:i/>
        </w:rPr>
        <w:t>euro</w:t>
      </w:r>
      <w:proofErr w:type="spellEnd"/>
      <w:r w:rsidRPr="006A7887">
        <w:t xml:space="preserve"> apmērā, kas ir par 1,8 milj. </w:t>
      </w:r>
      <w:proofErr w:type="spellStart"/>
      <w:r w:rsidRPr="00F92BF9">
        <w:rPr>
          <w:i/>
        </w:rPr>
        <w:t>euro</w:t>
      </w:r>
      <w:proofErr w:type="spellEnd"/>
      <w:r w:rsidRPr="006A7887">
        <w:t xml:space="preserve"> jeb par 9,5% vairāk nekā prognozēts 2020.</w:t>
      </w:r>
      <w:r w:rsidR="0034515E">
        <w:t xml:space="preserve"> </w:t>
      </w:r>
      <w:r w:rsidRPr="006A7887">
        <w:t xml:space="preserve">gadam. </w:t>
      </w:r>
    </w:p>
    <w:p w:rsidR="00FD36B6" w:rsidRPr="0034515E" w:rsidRDefault="00FD36B6" w:rsidP="0034515E">
      <w:pPr>
        <w:pStyle w:val="T"/>
        <w:spacing w:before="240"/>
        <w:rPr>
          <w:i w:val="0"/>
        </w:rPr>
      </w:pPr>
      <w:r w:rsidRPr="0034515E">
        <w:t>3.12.</w:t>
      </w:r>
      <w:r w:rsidR="00D54AB0">
        <w:t xml:space="preserve"> </w:t>
      </w:r>
      <w:r w:rsidRPr="0034515E">
        <w:t>tabula</w:t>
      </w:r>
      <w:r w:rsidRPr="006A7887">
        <w:t xml:space="preserve"> </w:t>
      </w:r>
      <w:r w:rsidRPr="0034515E">
        <w:rPr>
          <w:i w:val="0"/>
        </w:rPr>
        <w:t>Akcīzes nodokļa ieņēmumi pa veidiem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354"/>
        <w:gridCol w:w="1064"/>
        <w:gridCol w:w="1066"/>
        <w:gridCol w:w="1241"/>
        <w:gridCol w:w="1336"/>
      </w:tblGrid>
      <w:tr w:rsidR="00FD36B6" w:rsidRPr="0034515E" w:rsidTr="00FD36B6">
        <w:trPr>
          <w:tblHeader/>
          <w:jc w:val="center"/>
        </w:trPr>
        <w:tc>
          <w:tcPr>
            <w:tcW w:w="2403" w:type="pct"/>
            <w:vMerge w:val="restart"/>
            <w:shd w:val="clear" w:color="auto" w:fill="D9D9D9" w:themeFill="background1" w:themeFillShade="D9"/>
          </w:tcPr>
          <w:p w:rsidR="00FD36B6" w:rsidRPr="0034515E" w:rsidRDefault="00FD36B6" w:rsidP="00FD36B6">
            <w:pPr>
              <w:pStyle w:val="tabtekst"/>
              <w:jc w:val="center"/>
              <w:rPr>
                <w:color w:val="auto"/>
                <w:sz w:val="18"/>
                <w:szCs w:val="18"/>
              </w:rPr>
            </w:pPr>
          </w:p>
        </w:tc>
        <w:tc>
          <w:tcPr>
            <w:tcW w:w="587" w:type="pct"/>
            <w:shd w:val="clear" w:color="auto" w:fill="D9D9D9" w:themeFill="background1" w:themeFillShade="D9"/>
          </w:tcPr>
          <w:p w:rsidR="00FD36B6" w:rsidRPr="0034515E" w:rsidRDefault="00FD36B6" w:rsidP="00FD36B6">
            <w:pPr>
              <w:pStyle w:val="tabtekst"/>
              <w:jc w:val="center"/>
              <w:rPr>
                <w:b/>
                <w:color w:val="auto"/>
                <w:sz w:val="18"/>
                <w:szCs w:val="18"/>
              </w:rPr>
            </w:pPr>
            <w:r w:rsidRPr="0034515E">
              <w:rPr>
                <w:b/>
                <w:color w:val="auto"/>
                <w:sz w:val="18"/>
                <w:szCs w:val="18"/>
              </w:rPr>
              <w:t>2018</w:t>
            </w:r>
          </w:p>
        </w:tc>
        <w:tc>
          <w:tcPr>
            <w:tcW w:w="588" w:type="pct"/>
            <w:shd w:val="clear" w:color="auto" w:fill="D9D9D9" w:themeFill="background1" w:themeFillShade="D9"/>
          </w:tcPr>
          <w:p w:rsidR="00FD36B6" w:rsidRPr="0034515E" w:rsidRDefault="00FD36B6" w:rsidP="00FD36B6">
            <w:pPr>
              <w:pStyle w:val="tabtekst"/>
              <w:jc w:val="center"/>
              <w:rPr>
                <w:b/>
                <w:color w:val="auto"/>
                <w:sz w:val="18"/>
                <w:szCs w:val="18"/>
              </w:rPr>
            </w:pPr>
            <w:r w:rsidRPr="0034515E">
              <w:rPr>
                <w:b/>
                <w:color w:val="auto"/>
                <w:sz w:val="18"/>
                <w:szCs w:val="18"/>
              </w:rPr>
              <w:t>2019</w:t>
            </w:r>
          </w:p>
        </w:tc>
        <w:tc>
          <w:tcPr>
            <w:tcW w:w="685" w:type="pct"/>
            <w:shd w:val="clear" w:color="auto" w:fill="D9D9D9" w:themeFill="background1" w:themeFillShade="D9"/>
          </w:tcPr>
          <w:p w:rsidR="00FD36B6" w:rsidRPr="0034515E" w:rsidRDefault="00FD36B6" w:rsidP="00FD36B6">
            <w:pPr>
              <w:pStyle w:val="tabtekst"/>
              <w:jc w:val="center"/>
              <w:rPr>
                <w:b/>
                <w:color w:val="auto"/>
                <w:sz w:val="18"/>
                <w:szCs w:val="18"/>
              </w:rPr>
            </w:pPr>
            <w:r w:rsidRPr="0034515E">
              <w:rPr>
                <w:b/>
                <w:color w:val="auto"/>
                <w:sz w:val="18"/>
                <w:szCs w:val="18"/>
              </w:rPr>
              <w:t>2020</w:t>
            </w:r>
          </w:p>
        </w:tc>
        <w:tc>
          <w:tcPr>
            <w:tcW w:w="737" w:type="pct"/>
            <w:shd w:val="clear" w:color="auto" w:fill="D9D9D9" w:themeFill="background1" w:themeFillShade="D9"/>
          </w:tcPr>
          <w:p w:rsidR="00FD36B6" w:rsidRPr="0034515E" w:rsidRDefault="00FD36B6" w:rsidP="00FD36B6">
            <w:pPr>
              <w:pStyle w:val="tabtekst"/>
              <w:jc w:val="center"/>
              <w:rPr>
                <w:b/>
                <w:color w:val="auto"/>
                <w:sz w:val="18"/>
                <w:szCs w:val="18"/>
              </w:rPr>
            </w:pPr>
            <w:r w:rsidRPr="0034515E">
              <w:rPr>
                <w:b/>
                <w:color w:val="auto"/>
                <w:sz w:val="18"/>
                <w:szCs w:val="18"/>
              </w:rPr>
              <w:t>2021</w:t>
            </w:r>
          </w:p>
        </w:tc>
      </w:tr>
      <w:tr w:rsidR="00FD36B6" w:rsidRPr="0034515E" w:rsidTr="00FD36B6">
        <w:trPr>
          <w:tblHeader/>
          <w:jc w:val="center"/>
        </w:trPr>
        <w:tc>
          <w:tcPr>
            <w:tcW w:w="2403" w:type="pct"/>
            <w:vMerge/>
            <w:shd w:val="clear" w:color="auto" w:fill="D9D9D9" w:themeFill="background1" w:themeFillShade="D9"/>
          </w:tcPr>
          <w:p w:rsidR="00FD36B6" w:rsidRPr="0034515E" w:rsidRDefault="00FD36B6" w:rsidP="00FD36B6">
            <w:pPr>
              <w:pStyle w:val="tabtekst"/>
              <w:jc w:val="center"/>
              <w:rPr>
                <w:color w:val="auto"/>
                <w:sz w:val="18"/>
                <w:szCs w:val="18"/>
              </w:rPr>
            </w:pPr>
          </w:p>
        </w:tc>
        <w:tc>
          <w:tcPr>
            <w:tcW w:w="1175" w:type="pct"/>
            <w:gridSpan w:val="2"/>
            <w:shd w:val="clear" w:color="auto" w:fill="D9D9D9" w:themeFill="background1" w:themeFillShade="D9"/>
          </w:tcPr>
          <w:p w:rsidR="00FD36B6" w:rsidRPr="0034515E" w:rsidRDefault="00FD36B6" w:rsidP="00FD36B6">
            <w:pPr>
              <w:pStyle w:val="tabtekst"/>
              <w:jc w:val="center"/>
              <w:rPr>
                <w:color w:val="auto"/>
                <w:sz w:val="18"/>
                <w:szCs w:val="18"/>
              </w:rPr>
            </w:pPr>
            <w:r w:rsidRPr="0034515E">
              <w:rPr>
                <w:color w:val="auto"/>
                <w:sz w:val="18"/>
                <w:szCs w:val="18"/>
              </w:rPr>
              <w:t>fakts</w:t>
            </w:r>
          </w:p>
        </w:tc>
        <w:tc>
          <w:tcPr>
            <w:tcW w:w="685" w:type="pct"/>
            <w:shd w:val="clear" w:color="auto" w:fill="D9D9D9" w:themeFill="background1" w:themeFillShade="D9"/>
          </w:tcPr>
          <w:p w:rsidR="00FD36B6" w:rsidRPr="0034515E" w:rsidRDefault="00FD36B6" w:rsidP="00FD36B6">
            <w:pPr>
              <w:pStyle w:val="tabtekst"/>
              <w:jc w:val="center"/>
              <w:rPr>
                <w:color w:val="auto"/>
                <w:sz w:val="18"/>
                <w:szCs w:val="18"/>
              </w:rPr>
            </w:pPr>
            <w:r w:rsidRPr="0034515E">
              <w:rPr>
                <w:color w:val="auto"/>
                <w:sz w:val="18"/>
                <w:szCs w:val="18"/>
              </w:rPr>
              <w:t>prognoze</w:t>
            </w:r>
          </w:p>
        </w:tc>
        <w:tc>
          <w:tcPr>
            <w:tcW w:w="737" w:type="pct"/>
            <w:shd w:val="clear" w:color="auto" w:fill="D9D9D9" w:themeFill="background1" w:themeFillShade="D9"/>
          </w:tcPr>
          <w:p w:rsidR="00FD36B6" w:rsidRPr="0034515E" w:rsidRDefault="00FD36B6" w:rsidP="00FD36B6">
            <w:pPr>
              <w:pStyle w:val="tabtekst"/>
              <w:ind w:left="-277" w:firstLine="277"/>
              <w:jc w:val="center"/>
              <w:rPr>
                <w:color w:val="auto"/>
                <w:sz w:val="18"/>
                <w:szCs w:val="18"/>
              </w:rPr>
            </w:pPr>
            <w:r w:rsidRPr="0034515E">
              <w:rPr>
                <w:color w:val="auto"/>
                <w:sz w:val="18"/>
                <w:szCs w:val="18"/>
              </w:rPr>
              <w:t>plāns*</w:t>
            </w:r>
          </w:p>
        </w:tc>
      </w:tr>
      <w:tr w:rsidR="00FD36B6" w:rsidRPr="0034515E" w:rsidTr="00FD36B6">
        <w:trPr>
          <w:jc w:val="center"/>
        </w:trPr>
        <w:tc>
          <w:tcPr>
            <w:tcW w:w="2403" w:type="pct"/>
          </w:tcPr>
          <w:p w:rsidR="00FD36B6" w:rsidRPr="0034515E" w:rsidRDefault="00FD36B6" w:rsidP="00FD36B6">
            <w:pPr>
              <w:pStyle w:val="tabtekst"/>
              <w:rPr>
                <w:b/>
                <w:color w:val="auto"/>
                <w:sz w:val="18"/>
                <w:szCs w:val="18"/>
                <w:lang w:eastAsia="lv-LV"/>
              </w:rPr>
            </w:pPr>
            <w:r w:rsidRPr="0034515E">
              <w:rPr>
                <w:b/>
                <w:color w:val="auto"/>
                <w:sz w:val="18"/>
                <w:szCs w:val="18"/>
                <w:lang w:eastAsia="lv-LV"/>
              </w:rPr>
              <w:t>Akcīzes nodoklis</w:t>
            </w:r>
            <w:r w:rsidRPr="0034515E">
              <w:rPr>
                <w:color w:val="auto"/>
                <w:sz w:val="18"/>
                <w:szCs w:val="18"/>
                <w:lang w:eastAsia="lv-LV"/>
              </w:rPr>
              <w:t>, milj. </w:t>
            </w:r>
            <w:proofErr w:type="spellStart"/>
            <w:r w:rsidRPr="0034515E">
              <w:rPr>
                <w:i/>
                <w:color w:val="auto"/>
                <w:sz w:val="18"/>
                <w:szCs w:val="18"/>
                <w:lang w:eastAsia="lv-LV"/>
              </w:rPr>
              <w:t>euro</w:t>
            </w:r>
            <w:proofErr w:type="spellEnd"/>
          </w:p>
        </w:tc>
        <w:tc>
          <w:tcPr>
            <w:tcW w:w="587" w:type="pct"/>
          </w:tcPr>
          <w:p w:rsidR="00FD36B6" w:rsidRPr="0034515E" w:rsidRDefault="00FD36B6" w:rsidP="00FD36B6">
            <w:pPr>
              <w:pStyle w:val="tabtekst"/>
              <w:tabs>
                <w:tab w:val="decimal" w:pos="480"/>
              </w:tabs>
              <w:rPr>
                <w:b/>
                <w:color w:val="auto"/>
                <w:sz w:val="18"/>
                <w:szCs w:val="18"/>
              </w:rPr>
            </w:pPr>
            <w:r w:rsidRPr="0034515E">
              <w:rPr>
                <w:b/>
                <w:color w:val="auto"/>
                <w:sz w:val="18"/>
                <w:szCs w:val="18"/>
              </w:rPr>
              <w:t>1 029,2</w:t>
            </w:r>
          </w:p>
        </w:tc>
        <w:tc>
          <w:tcPr>
            <w:tcW w:w="588" w:type="pct"/>
          </w:tcPr>
          <w:p w:rsidR="00FD36B6" w:rsidRPr="0034515E" w:rsidRDefault="00FD36B6" w:rsidP="00FD36B6">
            <w:pPr>
              <w:pStyle w:val="tabtekst"/>
              <w:tabs>
                <w:tab w:val="decimal" w:pos="480"/>
              </w:tabs>
              <w:rPr>
                <w:b/>
                <w:color w:val="auto"/>
                <w:sz w:val="18"/>
                <w:szCs w:val="18"/>
              </w:rPr>
            </w:pPr>
            <w:r w:rsidRPr="0034515E">
              <w:rPr>
                <w:b/>
                <w:color w:val="auto"/>
                <w:sz w:val="18"/>
                <w:szCs w:val="18"/>
              </w:rPr>
              <w:t>1 064,1</w:t>
            </w:r>
          </w:p>
        </w:tc>
        <w:tc>
          <w:tcPr>
            <w:tcW w:w="685" w:type="pct"/>
          </w:tcPr>
          <w:p w:rsidR="00FD36B6" w:rsidRPr="0034515E" w:rsidRDefault="00FD36B6" w:rsidP="00FD36B6">
            <w:pPr>
              <w:pStyle w:val="tabtekst"/>
              <w:tabs>
                <w:tab w:val="decimal" w:pos="480"/>
              </w:tabs>
              <w:rPr>
                <w:b/>
                <w:color w:val="auto"/>
                <w:sz w:val="18"/>
                <w:szCs w:val="18"/>
              </w:rPr>
            </w:pPr>
            <w:r w:rsidRPr="0034515E">
              <w:rPr>
                <w:b/>
                <w:color w:val="auto"/>
                <w:sz w:val="18"/>
                <w:szCs w:val="18"/>
              </w:rPr>
              <w:t>1 043,0</w:t>
            </w:r>
          </w:p>
        </w:tc>
        <w:tc>
          <w:tcPr>
            <w:tcW w:w="737" w:type="pct"/>
          </w:tcPr>
          <w:p w:rsidR="00FD36B6" w:rsidRPr="0034515E" w:rsidRDefault="00FD36B6" w:rsidP="00FD36B6">
            <w:pPr>
              <w:pStyle w:val="tabtekst"/>
              <w:tabs>
                <w:tab w:val="decimal" w:pos="480"/>
              </w:tabs>
              <w:rPr>
                <w:b/>
                <w:color w:val="auto"/>
                <w:sz w:val="18"/>
                <w:szCs w:val="18"/>
              </w:rPr>
            </w:pPr>
            <w:r w:rsidRPr="0034515E">
              <w:rPr>
                <w:b/>
                <w:color w:val="auto"/>
                <w:sz w:val="18"/>
                <w:szCs w:val="18"/>
              </w:rPr>
              <w:t>1 114,5</w:t>
            </w:r>
          </w:p>
        </w:tc>
      </w:tr>
      <w:tr w:rsidR="00FD36B6" w:rsidRPr="0034515E" w:rsidTr="00FD36B6">
        <w:trPr>
          <w:jc w:val="center"/>
        </w:trPr>
        <w:tc>
          <w:tcPr>
            <w:tcW w:w="2403" w:type="pct"/>
          </w:tcPr>
          <w:p w:rsidR="00FD36B6" w:rsidRPr="0034515E" w:rsidRDefault="00FD36B6" w:rsidP="00FD36B6">
            <w:pPr>
              <w:pStyle w:val="tabtekst"/>
              <w:rPr>
                <w:i/>
                <w:color w:val="auto"/>
                <w:sz w:val="18"/>
                <w:szCs w:val="18"/>
                <w:lang w:eastAsia="lv-LV"/>
              </w:rPr>
            </w:pPr>
            <w:r w:rsidRPr="0034515E">
              <w:rPr>
                <w:i/>
                <w:color w:val="auto"/>
                <w:sz w:val="18"/>
                <w:szCs w:val="18"/>
                <w:lang w:eastAsia="lv-LV"/>
              </w:rPr>
              <w:t xml:space="preserve"> pieauguma tempi faktiskās cenās, %</w:t>
            </w:r>
          </w:p>
        </w:tc>
        <w:tc>
          <w:tcPr>
            <w:tcW w:w="587" w:type="pct"/>
          </w:tcPr>
          <w:p w:rsidR="00FD36B6" w:rsidRPr="0034515E" w:rsidRDefault="00FD36B6" w:rsidP="00FD36B6">
            <w:pPr>
              <w:pStyle w:val="tabtekst"/>
              <w:tabs>
                <w:tab w:val="decimal" w:pos="480"/>
              </w:tabs>
              <w:rPr>
                <w:i/>
                <w:color w:val="auto"/>
                <w:sz w:val="18"/>
                <w:szCs w:val="18"/>
              </w:rPr>
            </w:pPr>
            <w:r w:rsidRPr="0034515E">
              <w:rPr>
                <w:i/>
                <w:color w:val="auto"/>
                <w:sz w:val="18"/>
                <w:szCs w:val="18"/>
              </w:rPr>
              <w:t>13,5</w:t>
            </w:r>
          </w:p>
        </w:tc>
        <w:tc>
          <w:tcPr>
            <w:tcW w:w="588" w:type="pct"/>
          </w:tcPr>
          <w:p w:rsidR="00FD36B6" w:rsidRPr="0034515E" w:rsidRDefault="00FD36B6" w:rsidP="00FD36B6">
            <w:pPr>
              <w:pStyle w:val="tabtekst"/>
              <w:tabs>
                <w:tab w:val="decimal" w:pos="480"/>
              </w:tabs>
              <w:rPr>
                <w:i/>
                <w:color w:val="auto"/>
                <w:sz w:val="18"/>
                <w:szCs w:val="18"/>
              </w:rPr>
            </w:pPr>
            <w:r w:rsidRPr="0034515E">
              <w:rPr>
                <w:i/>
                <w:color w:val="auto"/>
                <w:sz w:val="18"/>
                <w:szCs w:val="18"/>
              </w:rPr>
              <w:t>3,4</w:t>
            </w:r>
          </w:p>
        </w:tc>
        <w:tc>
          <w:tcPr>
            <w:tcW w:w="685" w:type="pct"/>
          </w:tcPr>
          <w:p w:rsidR="00FD36B6" w:rsidRPr="0034515E" w:rsidRDefault="00FD36B6" w:rsidP="00FD36B6">
            <w:pPr>
              <w:pStyle w:val="tabtekst"/>
              <w:tabs>
                <w:tab w:val="decimal" w:pos="480"/>
              </w:tabs>
              <w:rPr>
                <w:i/>
                <w:color w:val="auto"/>
                <w:sz w:val="18"/>
                <w:szCs w:val="18"/>
              </w:rPr>
            </w:pPr>
            <w:r w:rsidRPr="0034515E">
              <w:rPr>
                <w:i/>
                <w:color w:val="auto"/>
                <w:sz w:val="18"/>
                <w:szCs w:val="18"/>
              </w:rPr>
              <w:t>-2,0</w:t>
            </w:r>
          </w:p>
        </w:tc>
        <w:tc>
          <w:tcPr>
            <w:tcW w:w="737" w:type="pct"/>
          </w:tcPr>
          <w:p w:rsidR="00FD36B6" w:rsidRPr="0034515E" w:rsidRDefault="00FD36B6" w:rsidP="00FD36B6">
            <w:pPr>
              <w:pStyle w:val="tabtekst"/>
              <w:tabs>
                <w:tab w:val="decimal" w:pos="480"/>
              </w:tabs>
              <w:rPr>
                <w:i/>
                <w:color w:val="auto"/>
                <w:sz w:val="18"/>
                <w:szCs w:val="18"/>
              </w:rPr>
            </w:pPr>
            <w:r w:rsidRPr="0034515E">
              <w:rPr>
                <w:i/>
                <w:color w:val="auto"/>
                <w:sz w:val="18"/>
                <w:szCs w:val="18"/>
              </w:rPr>
              <w:t>6,9</w:t>
            </w:r>
          </w:p>
        </w:tc>
      </w:tr>
      <w:tr w:rsidR="00FD36B6" w:rsidRPr="0034515E" w:rsidTr="00FD36B6">
        <w:trPr>
          <w:jc w:val="center"/>
        </w:trPr>
        <w:tc>
          <w:tcPr>
            <w:tcW w:w="2403" w:type="pct"/>
          </w:tcPr>
          <w:p w:rsidR="00FD36B6" w:rsidRPr="0034515E" w:rsidRDefault="00FD36B6" w:rsidP="00FD36B6">
            <w:pPr>
              <w:pStyle w:val="tabtekst"/>
              <w:rPr>
                <w:i/>
                <w:color w:val="auto"/>
                <w:sz w:val="18"/>
                <w:szCs w:val="18"/>
                <w:lang w:eastAsia="lv-LV"/>
              </w:rPr>
            </w:pPr>
            <w:r w:rsidRPr="0034515E">
              <w:rPr>
                <w:i/>
                <w:color w:val="auto"/>
                <w:sz w:val="18"/>
                <w:szCs w:val="18"/>
                <w:lang w:eastAsia="lv-LV"/>
              </w:rPr>
              <w:t xml:space="preserve"> % no IKP</w:t>
            </w:r>
          </w:p>
        </w:tc>
        <w:tc>
          <w:tcPr>
            <w:tcW w:w="587" w:type="pct"/>
          </w:tcPr>
          <w:p w:rsidR="00FD36B6" w:rsidRPr="0034515E" w:rsidRDefault="00FD36B6" w:rsidP="00FD36B6">
            <w:pPr>
              <w:pStyle w:val="tabtekst"/>
              <w:tabs>
                <w:tab w:val="decimal" w:pos="480"/>
              </w:tabs>
              <w:rPr>
                <w:i/>
                <w:color w:val="auto"/>
                <w:sz w:val="18"/>
                <w:szCs w:val="18"/>
              </w:rPr>
            </w:pPr>
            <w:r w:rsidRPr="0034515E">
              <w:rPr>
                <w:i/>
                <w:color w:val="auto"/>
                <w:sz w:val="18"/>
                <w:szCs w:val="18"/>
              </w:rPr>
              <w:t>3,5</w:t>
            </w:r>
          </w:p>
        </w:tc>
        <w:tc>
          <w:tcPr>
            <w:tcW w:w="588" w:type="pct"/>
          </w:tcPr>
          <w:p w:rsidR="00FD36B6" w:rsidRPr="0034515E" w:rsidRDefault="00FD36B6" w:rsidP="00FD36B6">
            <w:pPr>
              <w:pStyle w:val="tabtekst"/>
              <w:tabs>
                <w:tab w:val="decimal" w:pos="480"/>
              </w:tabs>
              <w:rPr>
                <w:i/>
                <w:color w:val="auto"/>
                <w:sz w:val="18"/>
                <w:szCs w:val="18"/>
              </w:rPr>
            </w:pPr>
            <w:r w:rsidRPr="0034515E">
              <w:rPr>
                <w:i/>
                <w:color w:val="auto"/>
                <w:sz w:val="18"/>
                <w:szCs w:val="18"/>
              </w:rPr>
              <w:t>3,5</w:t>
            </w:r>
          </w:p>
        </w:tc>
        <w:tc>
          <w:tcPr>
            <w:tcW w:w="685" w:type="pct"/>
          </w:tcPr>
          <w:p w:rsidR="00FD36B6" w:rsidRPr="0034515E" w:rsidRDefault="00FD36B6" w:rsidP="00FD36B6">
            <w:pPr>
              <w:pStyle w:val="tabtekst"/>
              <w:tabs>
                <w:tab w:val="decimal" w:pos="480"/>
              </w:tabs>
              <w:rPr>
                <w:i/>
                <w:color w:val="auto"/>
                <w:sz w:val="18"/>
                <w:szCs w:val="18"/>
              </w:rPr>
            </w:pPr>
            <w:r w:rsidRPr="0034515E">
              <w:rPr>
                <w:i/>
                <w:color w:val="auto"/>
                <w:sz w:val="18"/>
                <w:szCs w:val="18"/>
              </w:rPr>
              <w:t>3,7</w:t>
            </w:r>
          </w:p>
        </w:tc>
        <w:tc>
          <w:tcPr>
            <w:tcW w:w="737" w:type="pct"/>
          </w:tcPr>
          <w:p w:rsidR="00FD36B6" w:rsidRPr="0034515E" w:rsidRDefault="00FD36B6" w:rsidP="00FD36B6">
            <w:pPr>
              <w:pStyle w:val="tabtekst"/>
              <w:tabs>
                <w:tab w:val="decimal" w:pos="480"/>
              </w:tabs>
              <w:rPr>
                <w:i/>
                <w:color w:val="auto"/>
                <w:sz w:val="18"/>
                <w:szCs w:val="18"/>
              </w:rPr>
            </w:pPr>
            <w:r w:rsidRPr="0034515E">
              <w:rPr>
                <w:i/>
                <w:color w:val="auto"/>
                <w:sz w:val="18"/>
                <w:szCs w:val="18"/>
              </w:rPr>
              <w:t>3,7</w:t>
            </w:r>
          </w:p>
        </w:tc>
      </w:tr>
      <w:tr w:rsidR="00FD36B6" w:rsidRPr="0034515E" w:rsidTr="00FD36B6">
        <w:trPr>
          <w:jc w:val="center"/>
        </w:trPr>
        <w:tc>
          <w:tcPr>
            <w:tcW w:w="2403" w:type="pct"/>
          </w:tcPr>
          <w:p w:rsidR="00FD36B6" w:rsidRPr="0034515E" w:rsidRDefault="00FD36B6" w:rsidP="00FD36B6">
            <w:pPr>
              <w:pStyle w:val="tabtekst"/>
              <w:rPr>
                <w:color w:val="auto"/>
                <w:sz w:val="18"/>
                <w:szCs w:val="18"/>
                <w:lang w:eastAsia="lv-LV"/>
              </w:rPr>
            </w:pPr>
            <w:r w:rsidRPr="0034515E">
              <w:rPr>
                <w:color w:val="auto"/>
                <w:sz w:val="18"/>
                <w:szCs w:val="18"/>
                <w:lang w:eastAsia="lv-LV"/>
              </w:rPr>
              <w:t>Alkoholiskie dzērieni</w:t>
            </w:r>
          </w:p>
        </w:tc>
        <w:tc>
          <w:tcPr>
            <w:tcW w:w="587" w:type="pct"/>
          </w:tcPr>
          <w:p w:rsidR="00FD36B6" w:rsidRPr="0034515E" w:rsidRDefault="00FD36B6" w:rsidP="00FD36B6">
            <w:pPr>
              <w:pStyle w:val="tabtekst"/>
              <w:tabs>
                <w:tab w:val="decimal" w:pos="480"/>
              </w:tabs>
              <w:rPr>
                <w:color w:val="auto"/>
                <w:sz w:val="18"/>
                <w:szCs w:val="18"/>
              </w:rPr>
            </w:pPr>
            <w:r w:rsidRPr="0034515E">
              <w:rPr>
                <w:color w:val="auto"/>
                <w:sz w:val="18"/>
                <w:szCs w:val="18"/>
              </w:rPr>
              <w:t>188,9</w:t>
            </w:r>
          </w:p>
        </w:tc>
        <w:tc>
          <w:tcPr>
            <w:tcW w:w="588" w:type="pct"/>
          </w:tcPr>
          <w:p w:rsidR="00FD36B6" w:rsidRPr="0034515E" w:rsidRDefault="00FD36B6" w:rsidP="00FD36B6">
            <w:pPr>
              <w:pStyle w:val="tabtekst"/>
              <w:tabs>
                <w:tab w:val="decimal" w:pos="480"/>
              </w:tabs>
              <w:rPr>
                <w:color w:val="auto"/>
                <w:sz w:val="18"/>
                <w:szCs w:val="18"/>
              </w:rPr>
            </w:pPr>
            <w:r w:rsidRPr="0034515E">
              <w:rPr>
                <w:color w:val="auto"/>
                <w:sz w:val="18"/>
                <w:szCs w:val="18"/>
              </w:rPr>
              <w:t>201,2</w:t>
            </w:r>
          </w:p>
        </w:tc>
        <w:tc>
          <w:tcPr>
            <w:tcW w:w="685" w:type="pct"/>
          </w:tcPr>
          <w:p w:rsidR="00FD36B6" w:rsidRPr="0034515E" w:rsidRDefault="00FD36B6" w:rsidP="00FD36B6">
            <w:pPr>
              <w:pStyle w:val="tabtekst"/>
              <w:tabs>
                <w:tab w:val="decimal" w:pos="480"/>
              </w:tabs>
              <w:rPr>
                <w:color w:val="auto"/>
                <w:sz w:val="18"/>
                <w:szCs w:val="18"/>
              </w:rPr>
            </w:pPr>
            <w:r w:rsidRPr="0034515E">
              <w:rPr>
                <w:color w:val="auto"/>
                <w:sz w:val="18"/>
                <w:szCs w:val="18"/>
              </w:rPr>
              <w:t>184,4</w:t>
            </w:r>
          </w:p>
        </w:tc>
        <w:tc>
          <w:tcPr>
            <w:tcW w:w="737" w:type="pct"/>
          </w:tcPr>
          <w:p w:rsidR="00FD36B6" w:rsidRPr="0034515E" w:rsidRDefault="00FD36B6" w:rsidP="00FD36B6">
            <w:pPr>
              <w:pStyle w:val="tabtekst"/>
              <w:tabs>
                <w:tab w:val="decimal" w:pos="480"/>
              </w:tabs>
              <w:rPr>
                <w:color w:val="auto"/>
                <w:sz w:val="18"/>
                <w:szCs w:val="18"/>
              </w:rPr>
            </w:pPr>
            <w:r w:rsidRPr="0034515E">
              <w:rPr>
                <w:color w:val="auto"/>
                <w:sz w:val="18"/>
                <w:szCs w:val="18"/>
              </w:rPr>
              <w:t>212,5</w:t>
            </w:r>
          </w:p>
        </w:tc>
      </w:tr>
      <w:tr w:rsidR="00FD36B6" w:rsidRPr="0034515E" w:rsidTr="00FD36B6">
        <w:trPr>
          <w:jc w:val="center"/>
        </w:trPr>
        <w:tc>
          <w:tcPr>
            <w:tcW w:w="2403" w:type="pct"/>
          </w:tcPr>
          <w:p w:rsidR="00FD36B6" w:rsidRPr="0034515E" w:rsidRDefault="00FD36B6" w:rsidP="00FD36B6">
            <w:pPr>
              <w:pStyle w:val="tabtekst"/>
              <w:rPr>
                <w:color w:val="auto"/>
                <w:sz w:val="18"/>
                <w:szCs w:val="18"/>
                <w:lang w:eastAsia="lv-LV"/>
              </w:rPr>
            </w:pPr>
            <w:r w:rsidRPr="0034515E">
              <w:rPr>
                <w:color w:val="auto"/>
                <w:sz w:val="18"/>
                <w:szCs w:val="18"/>
                <w:lang w:eastAsia="lv-LV"/>
              </w:rPr>
              <w:t>Alus</w:t>
            </w:r>
          </w:p>
        </w:tc>
        <w:tc>
          <w:tcPr>
            <w:tcW w:w="587" w:type="pct"/>
          </w:tcPr>
          <w:p w:rsidR="00FD36B6" w:rsidRPr="0034515E" w:rsidRDefault="00FD36B6" w:rsidP="00FD36B6">
            <w:pPr>
              <w:pStyle w:val="tabtekst"/>
              <w:tabs>
                <w:tab w:val="decimal" w:pos="480"/>
              </w:tabs>
              <w:rPr>
                <w:color w:val="auto"/>
                <w:sz w:val="18"/>
                <w:szCs w:val="18"/>
              </w:rPr>
            </w:pPr>
            <w:r w:rsidRPr="0034515E">
              <w:rPr>
                <w:color w:val="auto"/>
                <w:sz w:val="18"/>
                <w:szCs w:val="18"/>
              </w:rPr>
              <w:t>53,1</w:t>
            </w:r>
          </w:p>
        </w:tc>
        <w:tc>
          <w:tcPr>
            <w:tcW w:w="588" w:type="pct"/>
          </w:tcPr>
          <w:p w:rsidR="00FD36B6" w:rsidRPr="0034515E" w:rsidRDefault="00FD36B6" w:rsidP="00FD36B6">
            <w:pPr>
              <w:pStyle w:val="tabtekst"/>
              <w:tabs>
                <w:tab w:val="decimal" w:pos="480"/>
              </w:tabs>
              <w:rPr>
                <w:color w:val="auto"/>
                <w:sz w:val="18"/>
                <w:szCs w:val="18"/>
              </w:rPr>
            </w:pPr>
            <w:r w:rsidRPr="0034515E">
              <w:rPr>
                <w:color w:val="auto"/>
                <w:sz w:val="18"/>
                <w:szCs w:val="18"/>
              </w:rPr>
              <w:t>54,5</w:t>
            </w:r>
          </w:p>
        </w:tc>
        <w:tc>
          <w:tcPr>
            <w:tcW w:w="685" w:type="pct"/>
          </w:tcPr>
          <w:p w:rsidR="00FD36B6" w:rsidRPr="0034515E" w:rsidRDefault="00FD36B6" w:rsidP="00FD36B6">
            <w:pPr>
              <w:pStyle w:val="tabtekst"/>
              <w:tabs>
                <w:tab w:val="decimal" w:pos="480"/>
              </w:tabs>
              <w:rPr>
                <w:color w:val="auto"/>
                <w:sz w:val="18"/>
                <w:szCs w:val="18"/>
              </w:rPr>
            </w:pPr>
            <w:r w:rsidRPr="0034515E">
              <w:rPr>
                <w:color w:val="auto"/>
                <w:sz w:val="18"/>
                <w:szCs w:val="18"/>
              </w:rPr>
              <w:t>53,0</w:t>
            </w:r>
          </w:p>
        </w:tc>
        <w:tc>
          <w:tcPr>
            <w:tcW w:w="737" w:type="pct"/>
            <w:shd w:val="clear" w:color="auto" w:fill="auto"/>
          </w:tcPr>
          <w:p w:rsidR="00FD36B6" w:rsidRPr="0034515E" w:rsidRDefault="00FD36B6" w:rsidP="00FD36B6">
            <w:pPr>
              <w:pStyle w:val="tabtekst"/>
              <w:tabs>
                <w:tab w:val="decimal" w:pos="480"/>
              </w:tabs>
              <w:rPr>
                <w:color w:val="auto"/>
                <w:sz w:val="18"/>
                <w:szCs w:val="18"/>
              </w:rPr>
            </w:pPr>
            <w:r w:rsidRPr="0034515E">
              <w:rPr>
                <w:color w:val="auto"/>
                <w:sz w:val="18"/>
                <w:szCs w:val="18"/>
              </w:rPr>
              <w:t>59,8</w:t>
            </w:r>
          </w:p>
        </w:tc>
      </w:tr>
      <w:tr w:rsidR="00FD36B6" w:rsidRPr="0034515E" w:rsidTr="00FD36B6">
        <w:trPr>
          <w:jc w:val="center"/>
        </w:trPr>
        <w:tc>
          <w:tcPr>
            <w:tcW w:w="2403" w:type="pct"/>
          </w:tcPr>
          <w:p w:rsidR="00FD36B6" w:rsidRPr="0034515E" w:rsidRDefault="00FD36B6" w:rsidP="00FD36B6">
            <w:pPr>
              <w:pStyle w:val="tabtekst"/>
              <w:rPr>
                <w:color w:val="auto"/>
                <w:sz w:val="18"/>
                <w:szCs w:val="18"/>
                <w:lang w:eastAsia="lv-LV"/>
              </w:rPr>
            </w:pPr>
            <w:r w:rsidRPr="0034515E">
              <w:rPr>
                <w:color w:val="auto"/>
                <w:sz w:val="18"/>
                <w:szCs w:val="18"/>
                <w:lang w:eastAsia="lv-LV"/>
              </w:rPr>
              <w:t>Naftas produkti</w:t>
            </w:r>
          </w:p>
        </w:tc>
        <w:tc>
          <w:tcPr>
            <w:tcW w:w="587" w:type="pct"/>
          </w:tcPr>
          <w:p w:rsidR="00FD36B6" w:rsidRPr="0034515E" w:rsidRDefault="00FD36B6" w:rsidP="00FD36B6">
            <w:pPr>
              <w:pStyle w:val="tabtekst"/>
              <w:tabs>
                <w:tab w:val="decimal" w:pos="480"/>
              </w:tabs>
              <w:rPr>
                <w:color w:val="auto"/>
                <w:sz w:val="18"/>
                <w:szCs w:val="18"/>
              </w:rPr>
            </w:pPr>
            <w:r w:rsidRPr="0034515E">
              <w:rPr>
                <w:color w:val="auto"/>
                <w:sz w:val="18"/>
                <w:szCs w:val="18"/>
              </w:rPr>
              <w:t>539,6</w:t>
            </w:r>
          </w:p>
        </w:tc>
        <w:tc>
          <w:tcPr>
            <w:tcW w:w="588" w:type="pct"/>
          </w:tcPr>
          <w:p w:rsidR="00FD36B6" w:rsidRPr="0034515E" w:rsidRDefault="00FD36B6" w:rsidP="00FD36B6">
            <w:pPr>
              <w:pStyle w:val="tabtekst"/>
              <w:tabs>
                <w:tab w:val="decimal" w:pos="480"/>
              </w:tabs>
              <w:rPr>
                <w:color w:val="auto"/>
                <w:sz w:val="18"/>
                <w:szCs w:val="18"/>
              </w:rPr>
            </w:pPr>
            <w:r w:rsidRPr="0034515E">
              <w:rPr>
                <w:color w:val="auto"/>
                <w:sz w:val="18"/>
                <w:szCs w:val="18"/>
              </w:rPr>
              <w:t>540,6</w:t>
            </w:r>
          </w:p>
        </w:tc>
        <w:tc>
          <w:tcPr>
            <w:tcW w:w="685" w:type="pct"/>
          </w:tcPr>
          <w:p w:rsidR="00FD36B6" w:rsidRPr="0034515E" w:rsidRDefault="00FD36B6" w:rsidP="00FD36B6">
            <w:pPr>
              <w:pStyle w:val="tabtekst"/>
              <w:tabs>
                <w:tab w:val="decimal" w:pos="480"/>
              </w:tabs>
              <w:rPr>
                <w:color w:val="auto"/>
                <w:sz w:val="18"/>
                <w:szCs w:val="18"/>
              </w:rPr>
            </w:pPr>
            <w:r w:rsidRPr="0034515E">
              <w:rPr>
                <w:color w:val="auto"/>
                <w:sz w:val="18"/>
                <w:szCs w:val="18"/>
              </w:rPr>
              <w:t>544,1</w:t>
            </w:r>
          </w:p>
        </w:tc>
        <w:tc>
          <w:tcPr>
            <w:tcW w:w="737" w:type="pct"/>
            <w:shd w:val="clear" w:color="auto" w:fill="auto"/>
          </w:tcPr>
          <w:p w:rsidR="00FD36B6" w:rsidRPr="0034515E" w:rsidRDefault="00FD36B6" w:rsidP="00FD36B6">
            <w:pPr>
              <w:pStyle w:val="tabtekst"/>
              <w:tabs>
                <w:tab w:val="decimal" w:pos="480"/>
              </w:tabs>
              <w:rPr>
                <w:color w:val="auto"/>
                <w:sz w:val="18"/>
                <w:szCs w:val="18"/>
              </w:rPr>
            </w:pPr>
            <w:r w:rsidRPr="0034515E">
              <w:rPr>
                <w:color w:val="auto"/>
                <w:sz w:val="18"/>
                <w:szCs w:val="18"/>
              </w:rPr>
              <w:t>567,9</w:t>
            </w:r>
          </w:p>
        </w:tc>
      </w:tr>
      <w:tr w:rsidR="00FD36B6" w:rsidRPr="0034515E" w:rsidTr="00FD36B6">
        <w:trPr>
          <w:jc w:val="center"/>
        </w:trPr>
        <w:tc>
          <w:tcPr>
            <w:tcW w:w="2403" w:type="pct"/>
          </w:tcPr>
          <w:p w:rsidR="00FD36B6" w:rsidRPr="0034515E" w:rsidRDefault="00FD36B6" w:rsidP="00FD36B6">
            <w:pPr>
              <w:pStyle w:val="tabtekst"/>
              <w:rPr>
                <w:color w:val="auto"/>
                <w:sz w:val="18"/>
                <w:szCs w:val="18"/>
                <w:lang w:eastAsia="lv-LV"/>
              </w:rPr>
            </w:pPr>
            <w:r w:rsidRPr="0034515E">
              <w:rPr>
                <w:color w:val="auto"/>
                <w:sz w:val="18"/>
                <w:szCs w:val="18"/>
                <w:lang w:eastAsia="lv-LV"/>
              </w:rPr>
              <w:t>Tabakas izstrādājumi</w:t>
            </w:r>
          </w:p>
        </w:tc>
        <w:tc>
          <w:tcPr>
            <w:tcW w:w="587" w:type="pct"/>
          </w:tcPr>
          <w:p w:rsidR="00FD36B6" w:rsidRPr="0034515E" w:rsidRDefault="00FD36B6" w:rsidP="00FD36B6">
            <w:pPr>
              <w:pStyle w:val="tabtekst"/>
              <w:tabs>
                <w:tab w:val="decimal" w:pos="480"/>
              </w:tabs>
              <w:rPr>
                <w:color w:val="auto"/>
                <w:sz w:val="18"/>
                <w:szCs w:val="18"/>
              </w:rPr>
            </w:pPr>
            <w:r w:rsidRPr="0034515E">
              <w:rPr>
                <w:color w:val="auto"/>
                <w:sz w:val="18"/>
                <w:szCs w:val="18"/>
              </w:rPr>
              <w:t>208,8</w:t>
            </w:r>
          </w:p>
        </w:tc>
        <w:tc>
          <w:tcPr>
            <w:tcW w:w="588" w:type="pct"/>
          </w:tcPr>
          <w:p w:rsidR="00FD36B6" w:rsidRPr="0034515E" w:rsidRDefault="00FD36B6" w:rsidP="00FD36B6">
            <w:pPr>
              <w:pStyle w:val="tabtekst"/>
              <w:tabs>
                <w:tab w:val="decimal" w:pos="480"/>
              </w:tabs>
              <w:rPr>
                <w:color w:val="auto"/>
                <w:sz w:val="18"/>
                <w:szCs w:val="18"/>
              </w:rPr>
            </w:pPr>
            <w:r w:rsidRPr="0034515E">
              <w:rPr>
                <w:color w:val="auto"/>
                <w:sz w:val="18"/>
                <w:szCs w:val="18"/>
              </w:rPr>
              <w:t>228,2</w:t>
            </w:r>
          </w:p>
        </w:tc>
        <w:tc>
          <w:tcPr>
            <w:tcW w:w="685" w:type="pct"/>
          </w:tcPr>
          <w:p w:rsidR="00FD36B6" w:rsidRPr="0034515E" w:rsidRDefault="00FD36B6" w:rsidP="00FD36B6">
            <w:pPr>
              <w:pStyle w:val="tabtekst"/>
              <w:tabs>
                <w:tab w:val="decimal" w:pos="480"/>
              </w:tabs>
              <w:rPr>
                <w:color w:val="auto"/>
                <w:sz w:val="18"/>
                <w:szCs w:val="18"/>
              </w:rPr>
            </w:pPr>
            <w:r w:rsidRPr="0034515E">
              <w:rPr>
                <w:color w:val="auto"/>
                <w:sz w:val="18"/>
                <w:szCs w:val="18"/>
              </w:rPr>
              <w:t>224,8</w:t>
            </w:r>
          </w:p>
        </w:tc>
        <w:tc>
          <w:tcPr>
            <w:tcW w:w="737" w:type="pct"/>
          </w:tcPr>
          <w:p w:rsidR="00FD36B6" w:rsidRPr="0034515E" w:rsidRDefault="00FD36B6" w:rsidP="00FD36B6">
            <w:pPr>
              <w:pStyle w:val="tabtekst"/>
              <w:tabs>
                <w:tab w:val="decimal" w:pos="480"/>
              </w:tabs>
              <w:rPr>
                <w:color w:val="auto"/>
                <w:sz w:val="18"/>
                <w:szCs w:val="18"/>
              </w:rPr>
            </w:pPr>
            <w:r w:rsidRPr="0034515E">
              <w:rPr>
                <w:color w:val="auto"/>
                <w:sz w:val="18"/>
                <w:szCs w:val="18"/>
              </w:rPr>
              <w:t>235,0</w:t>
            </w:r>
          </w:p>
        </w:tc>
      </w:tr>
      <w:tr w:rsidR="00FD36B6" w:rsidRPr="0034515E" w:rsidTr="00FD36B6">
        <w:trPr>
          <w:jc w:val="center"/>
        </w:trPr>
        <w:tc>
          <w:tcPr>
            <w:tcW w:w="2403" w:type="pct"/>
          </w:tcPr>
          <w:p w:rsidR="00FD36B6" w:rsidRPr="0034515E" w:rsidRDefault="00FD36B6" w:rsidP="00FD36B6">
            <w:pPr>
              <w:pStyle w:val="tabtekst"/>
              <w:rPr>
                <w:color w:val="auto"/>
                <w:sz w:val="18"/>
                <w:szCs w:val="18"/>
                <w:lang w:eastAsia="lv-LV"/>
              </w:rPr>
            </w:pPr>
            <w:r w:rsidRPr="0034515E">
              <w:rPr>
                <w:color w:val="auto"/>
                <w:sz w:val="18"/>
                <w:szCs w:val="18"/>
                <w:lang w:eastAsia="lv-LV"/>
              </w:rPr>
              <w:t>Dabasgāze</w:t>
            </w:r>
          </w:p>
        </w:tc>
        <w:tc>
          <w:tcPr>
            <w:tcW w:w="587" w:type="pct"/>
          </w:tcPr>
          <w:p w:rsidR="00FD36B6" w:rsidRPr="0034515E" w:rsidDel="00D623A8" w:rsidRDefault="00FD36B6" w:rsidP="00FD36B6">
            <w:pPr>
              <w:pStyle w:val="tabtekst"/>
              <w:tabs>
                <w:tab w:val="decimal" w:pos="480"/>
              </w:tabs>
              <w:rPr>
                <w:color w:val="auto"/>
                <w:sz w:val="18"/>
                <w:szCs w:val="18"/>
              </w:rPr>
            </w:pPr>
            <w:r w:rsidRPr="0034515E">
              <w:rPr>
                <w:color w:val="auto"/>
                <w:sz w:val="18"/>
                <w:szCs w:val="18"/>
              </w:rPr>
              <w:t>22,0</w:t>
            </w:r>
          </w:p>
        </w:tc>
        <w:tc>
          <w:tcPr>
            <w:tcW w:w="588" w:type="pct"/>
          </w:tcPr>
          <w:p w:rsidR="00FD36B6" w:rsidRPr="0034515E" w:rsidDel="00D623A8" w:rsidRDefault="00FD36B6" w:rsidP="00FD36B6">
            <w:pPr>
              <w:pStyle w:val="tabtekst"/>
              <w:tabs>
                <w:tab w:val="decimal" w:pos="480"/>
              </w:tabs>
              <w:rPr>
                <w:color w:val="auto"/>
                <w:sz w:val="18"/>
                <w:szCs w:val="18"/>
              </w:rPr>
            </w:pPr>
            <w:r w:rsidRPr="0034515E">
              <w:rPr>
                <w:color w:val="auto"/>
                <w:sz w:val="18"/>
                <w:szCs w:val="18"/>
              </w:rPr>
              <w:t>22,4</w:t>
            </w:r>
          </w:p>
        </w:tc>
        <w:tc>
          <w:tcPr>
            <w:tcW w:w="685" w:type="pct"/>
          </w:tcPr>
          <w:p w:rsidR="00FD36B6" w:rsidRPr="0034515E" w:rsidDel="00D623A8" w:rsidRDefault="00FD36B6" w:rsidP="00FD36B6">
            <w:pPr>
              <w:pStyle w:val="tabtekst"/>
              <w:tabs>
                <w:tab w:val="decimal" w:pos="480"/>
              </w:tabs>
              <w:rPr>
                <w:color w:val="auto"/>
                <w:sz w:val="18"/>
                <w:szCs w:val="18"/>
              </w:rPr>
            </w:pPr>
            <w:r w:rsidRPr="0034515E">
              <w:rPr>
                <w:color w:val="auto"/>
                <w:sz w:val="18"/>
                <w:szCs w:val="18"/>
              </w:rPr>
              <w:t>18,9</w:t>
            </w:r>
          </w:p>
        </w:tc>
        <w:tc>
          <w:tcPr>
            <w:tcW w:w="737" w:type="pct"/>
          </w:tcPr>
          <w:p w:rsidR="00FD36B6" w:rsidRPr="0034515E" w:rsidDel="00D623A8" w:rsidRDefault="00FD36B6" w:rsidP="00FD36B6">
            <w:pPr>
              <w:pStyle w:val="tabtekst"/>
              <w:tabs>
                <w:tab w:val="decimal" w:pos="480"/>
              </w:tabs>
              <w:rPr>
                <w:color w:val="auto"/>
                <w:sz w:val="18"/>
                <w:szCs w:val="18"/>
              </w:rPr>
            </w:pPr>
            <w:r w:rsidRPr="0034515E">
              <w:rPr>
                <w:color w:val="auto"/>
                <w:sz w:val="18"/>
                <w:szCs w:val="18"/>
              </w:rPr>
              <w:t>20,7</w:t>
            </w:r>
          </w:p>
        </w:tc>
      </w:tr>
      <w:tr w:rsidR="00FD36B6" w:rsidRPr="0034515E" w:rsidTr="00FD36B6">
        <w:trPr>
          <w:jc w:val="center"/>
        </w:trPr>
        <w:tc>
          <w:tcPr>
            <w:tcW w:w="2403" w:type="pct"/>
          </w:tcPr>
          <w:p w:rsidR="00FD36B6" w:rsidRPr="0034515E" w:rsidRDefault="00FD36B6" w:rsidP="00FD36B6">
            <w:pPr>
              <w:pStyle w:val="tabtekst"/>
              <w:rPr>
                <w:color w:val="auto"/>
                <w:sz w:val="18"/>
                <w:szCs w:val="18"/>
                <w:lang w:eastAsia="lv-LV"/>
              </w:rPr>
            </w:pPr>
            <w:r w:rsidRPr="0034515E">
              <w:rPr>
                <w:color w:val="auto"/>
                <w:sz w:val="18"/>
                <w:szCs w:val="18"/>
                <w:lang w:eastAsia="lv-LV"/>
              </w:rPr>
              <w:t>Pārējās akcīzes preces</w:t>
            </w:r>
          </w:p>
        </w:tc>
        <w:tc>
          <w:tcPr>
            <w:tcW w:w="587" w:type="pct"/>
          </w:tcPr>
          <w:p w:rsidR="00FD36B6" w:rsidRPr="0034515E" w:rsidRDefault="00FD36B6" w:rsidP="00FD36B6">
            <w:pPr>
              <w:pStyle w:val="tabtekst"/>
              <w:tabs>
                <w:tab w:val="decimal" w:pos="480"/>
              </w:tabs>
              <w:rPr>
                <w:color w:val="auto"/>
                <w:sz w:val="18"/>
                <w:szCs w:val="18"/>
              </w:rPr>
            </w:pPr>
            <w:r w:rsidRPr="0034515E">
              <w:rPr>
                <w:color w:val="auto"/>
                <w:sz w:val="18"/>
                <w:szCs w:val="18"/>
              </w:rPr>
              <w:t>16,8</w:t>
            </w:r>
          </w:p>
        </w:tc>
        <w:tc>
          <w:tcPr>
            <w:tcW w:w="588" w:type="pct"/>
          </w:tcPr>
          <w:p w:rsidR="00FD36B6" w:rsidRPr="0034515E" w:rsidRDefault="00FD36B6" w:rsidP="00FD36B6">
            <w:pPr>
              <w:pStyle w:val="tabtekst"/>
              <w:tabs>
                <w:tab w:val="decimal" w:pos="480"/>
              </w:tabs>
              <w:rPr>
                <w:color w:val="auto"/>
                <w:sz w:val="18"/>
                <w:szCs w:val="18"/>
              </w:rPr>
            </w:pPr>
            <w:r w:rsidRPr="0034515E">
              <w:rPr>
                <w:color w:val="auto"/>
                <w:sz w:val="18"/>
                <w:szCs w:val="18"/>
              </w:rPr>
              <w:t>17,1</w:t>
            </w:r>
          </w:p>
        </w:tc>
        <w:tc>
          <w:tcPr>
            <w:tcW w:w="685" w:type="pct"/>
          </w:tcPr>
          <w:p w:rsidR="00FD36B6" w:rsidRPr="0034515E" w:rsidRDefault="00FD36B6" w:rsidP="00FD36B6">
            <w:pPr>
              <w:pStyle w:val="tabtekst"/>
              <w:tabs>
                <w:tab w:val="decimal" w:pos="480"/>
              </w:tabs>
              <w:rPr>
                <w:color w:val="auto"/>
                <w:sz w:val="18"/>
                <w:szCs w:val="18"/>
              </w:rPr>
            </w:pPr>
            <w:r w:rsidRPr="0034515E">
              <w:rPr>
                <w:color w:val="auto"/>
                <w:sz w:val="18"/>
                <w:szCs w:val="18"/>
              </w:rPr>
              <w:t>17,8</w:t>
            </w:r>
          </w:p>
        </w:tc>
        <w:tc>
          <w:tcPr>
            <w:tcW w:w="737" w:type="pct"/>
          </w:tcPr>
          <w:p w:rsidR="00FD36B6" w:rsidRPr="0034515E" w:rsidRDefault="00FD36B6" w:rsidP="00FD36B6">
            <w:pPr>
              <w:pStyle w:val="tabtekst"/>
              <w:tabs>
                <w:tab w:val="decimal" w:pos="480"/>
              </w:tabs>
              <w:rPr>
                <w:color w:val="auto"/>
                <w:sz w:val="18"/>
                <w:szCs w:val="18"/>
              </w:rPr>
            </w:pPr>
            <w:r w:rsidRPr="0034515E">
              <w:rPr>
                <w:color w:val="auto"/>
                <w:sz w:val="18"/>
                <w:szCs w:val="18"/>
              </w:rPr>
              <w:t>18,6</w:t>
            </w:r>
          </w:p>
        </w:tc>
      </w:tr>
    </w:tbl>
    <w:bookmarkEnd w:id="14"/>
    <w:bookmarkEnd w:id="15"/>
    <w:bookmarkEnd w:id="16"/>
    <w:bookmarkEnd w:id="17"/>
    <w:p w:rsidR="00FD36B6" w:rsidRPr="0034515E" w:rsidRDefault="0034515E" w:rsidP="0034515E">
      <w:pPr>
        <w:pStyle w:val="cipari"/>
        <w:rPr>
          <w:i/>
          <w:sz w:val="20"/>
        </w:rPr>
      </w:pPr>
      <w:r>
        <w:rPr>
          <w:i/>
          <w:sz w:val="20"/>
        </w:rPr>
        <w:t>*saskaņā ar likumprojektu “</w:t>
      </w:r>
      <w:r w:rsidR="00FD36B6" w:rsidRPr="0034515E">
        <w:rPr>
          <w:i/>
          <w:sz w:val="20"/>
        </w:rPr>
        <w:t>Par valsts budžetu 2021.</w:t>
      </w:r>
      <w:r>
        <w:rPr>
          <w:i/>
          <w:sz w:val="20"/>
        </w:rPr>
        <w:t xml:space="preserve"> </w:t>
      </w:r>
      <w:r w:rsidR="00FD36B6" w:rsidRPr="0034515E">
        <w:rPr>
          <w:i/>
          <w:sz w:val="20"/>
        </w:rPr>
        <w:t>gadam”</w:t>
      </w:r>
    </w:p>
    <w:p w:rsidR="00FD36B6" w:rsidRPr="00CD4B53" w:rsidRDefault="00FD36B6" w:rsidP="0034515E">
      <w:pPr>
        <w:pStyle w:val="H4"/>
        <w:spacing w:before="240"/>
      </w:pPr>
      <w:r w:rsidRPr="00CD4B53">
        <w:t>Muitas nodoklis</w:t>
      </w:r>
    </w:p>
    <w:p w:rsidR="00FD36B6" w:rsidRDefault="00FD36B6" w:rsidP="008F4D8C">
      <w:pPr>
        <w:spacing w:before="120"/>
        <w:rPr>
          <w:bCs/>
        </w:rPr>
      </w:pPr>
      <w:r w:rsidRPr="00CD4B53">
        <w:rPr>
          <w:szCs w:val="24"/>
        </w:rPr>
        <w:t>Muitas nodokļa ieņēmumi 2020.</w:t>
      </w:r>
      <w:r w:rsidR="0034515E">
        <w:rPr>
          <w:szCs w:val="24"/>
        </w:rPr>
        <w:t xml:space="preserve"> </w:t>
      </w:r>
      <w:r w:rsidRPr="00CD4B53">
        <w:rPr>
          <w:szCs w:val="24"/>
        </w:rPr>
        <w:t>gada sešos mēnešos bija 24,4 milj. </w:t>
      </w:r>
      <w:proofErr w:type="spellStart"/>
      <w:r w:rsidRPr="00CD4B53">
        <w:rPr>
          <w:i/>
          <w:szCs w:val="24"/>
        </w:rPr>
        <w:t>euro</w:t>
      </w:r>
      <w:proofErr w:type="spellEnd"/>
      <w:r w:rsidRPr="00CD4B53">
        <w:rPr>
          <w:szCs w:val="24"/>
        </w:rPr>
        <w:t>, kas ir par 0,4 milj.</w:t>
      </w:r>
      <w:r w:rsidRPr="00CD4B53">
        <w:rPr>
          <w:sz w:val="22"/>
          <w:szCs w:val="24"/>
        </w:rPr>
        <w:t> </w:t>
      </w:r>
      <w:proofErr w:type="spellStart"/>
      <w:r w:rsidRPr="00CD4B53">
        <w:rPr>
          <w:i/>
          <w:szCs w:val="24"/>
        </w:rPr>
        <w:t>euro</w:t>
      </w:r>
      <w:proofErr w:type="spellEnd"/>
      <w:r w:rsidRPr="00CD4B53">
        <w:rPr>
          <w:szCs w:val="24"/>
        </w:rPr>
        <w:t xml:space="preserve"> jeb 1,8% mazāk nekā 2019.</w:t>
      </w:r>
      <w:r w:rsidR="0034515E">
        <w:rPr>
          <w:szCs w:val="24"/>
        </w:rPr>
        <w:t xml:space="preserve"> </w:t>
      </w:r>
      <w:r w:rsidRPr="00CD4B53">
        <w:rPr>
          <w:szCs w:val="24"/>
        </w:rPr>
        <w:t>gada atbilstošajā periodā</w:t>
      </w:r>
      <w:r w:rsidRPr="00CD4B53">
        <w:rPr>
          <w:i/>
          <w:szCs w:val="24"/>
        </w:rPr>
        <w:t xml:space="preserve">. </w:t>
      </w:r>
      <w:r w:rsidRPr="00CD4B53">
        <w:t>Salīdzinot ar plānoto, iekasēts par 2,9 milj. </w:t>
      </w:r>
      <w:proofErr w:type="spellStart"/>
      <w:r w:rsidRPr="00CD4B53">
        <w:rPr>
          <w:bCs/>
          <w:i/>
          <w:szCs w:val="24"/>
        </w:rPr>
        <w:t>euro</w:t>
      </w:r>
      <w:proofErr w:type="spellEnd"/>
      <w:r w:rsidRPr="00CD4B53">
        <w:t xml:space="preserve"> jeb 10,8% mazāk.</w:t>
      </w:r>
      <w:r w:rsidRPr="00CD6F41">
        <w:rPr>
          <w:bCs/>
        </w:rPr>
        <w:t xml:space="preserve"> </w:t>
      </w:r>
      <w:r w:rsidRPr="00AB3920">
        <w:rPr>
          <w:bCs/>
        </w:rPr>
        <w:t xml:space="preserve">Plāna neizpilde bija </w:t>
      </w:r>
      <w:r w:rsidRPr="004E0881">
        <w:rPr>
          <w:bCs/>
        </w:rPr>
        <w:t xml:space="preserve">vērojama visos mēnešos, bet martā, aprīlī, maijā un jūnijā tā lielā mērā bija saistīta ar Covid-19 krīzes dēļ noteikto ārkārtējo situāciju Latvijā un pasaulē, kā arī ar ieņēmumu no ievedmuitas nodokļa samazinājumu </w:t>
      </w:r>
      <w:r w:rsidRPr="00AB3920">
        <w:rPr>
          <w:bCs/>
        </w:rPr>
        <w:t xml:space="preserve">atsevišķās nozarēs un lēnāku pieaugumu citās nozarēs, salīdzinot ar prognozēto. </w:t>
      </w:r>
    </w:p>
    <w:p w:rsidR="00FD36B6" w:rsidRDefault="00FD36B6" w:rsidP="008F4D8C">
      <w:pPr>
        <w:spacing w:before="120"/>
        <w:rPr>
          <w:bCs/>
          <w:szCs w:val="28"/>
        </w:rPr>
      </w:pPr>
      <w:r w:rsidRPr="00CD6F41">
        <w:rPr>
          <w:bCs/>
          <w:szCs w:val="28"/>
        </w:rPr>
        <w:t>Analizējot muitas nodokļa ieņēmumu komponentes, secināms, ka ieņēmumi no ievedmuitas nodokļa, salīdzinot ar 2019.</w:t>
      </w:r>
      <w:r w:rsidR="0034515E">
        <w:rPr>
          <w:bCs/>
          <w:szCs w:val="28"/>
        </w:rPr>
        <w:t xml:space="preserve"> </w:t>
      </w:r>
      <w:r w:rsidRPr="00CD6F41">
        <w:rPr>
          <w:bCs/>
          <w:szCs w:val="28"/>
        </w:rPr>
        <w:t>gada sešiem mēnešiem, samazinājušies par 0,8 milj. </w:t>
      </w:r>
      <w:proofErr w:type="spellStart"/>
      <w:r w:rsidRPr="00CD6F41">
        <w:rPr>
          <w:bCs/>
          <w:i/>
          <w:szCs w:val="28"/>
        </w:rPr>
        <w:t>euro</w:t>
      </w:r>
      <w:proofErr w:type="spellEnd"/>
      <w:r w:rsidRPr="00CD6F41">
        <w:rPr>
          <w:bCs/>
          <w:szCs w:val="28"/>
        </w:rPr>
        <w:t xml:space="preserve"> jeb 3,6%, savukārt </w:t>
      </w:r>
      <w:r w:rsidRPr="00DB312C">
        <w:rPr>
          <w:bCs/>
          <w:szCs w:val="28"/>
        </w:rPr>
        <w:t xml:space="preserve">antidempinga maksājumi pieauguši par 0,4 milj. </w:t>
      </w:r>
      <w:proofErr w:type="spellStart"/>
      <w:r w:rsidRPr="00DB312C">
        <w:rPr>
          <w:bCs/>
          <w:i/>
          <w:szCs w:val="24"/>
        </w:rPr>
        <w:t>euro</w:t>
      </w:r>
      <w:proofErr w:type="spellEnd"/>
      <w:r w:rsidRPr="00DB312C">
        <w:rPr>
          <w:bCs/>
          <w:i/>
          <w:szCs w:val="28"/>
        </w:rPr>
        <w:t xml:space="preserve"> </w:t>
      </w:r>
      <w:r w:rsidRPr="00DB312C">
        <w:rPr>
          <w:bCs/>
          <w:szCs w:val="28"/>
        </w:rPr>
        <w:t>jeb 21,6 procentiem. Antidempinga maksājumu pieaugums saistīts ar Komisijas 2019.</w:t>
      </w:r>
      <w:r w:rsidR="0034515E">
        <w:rPr>
          <w:bCs/>
          <w:szCs w:val="28"/>
        </w:rPr>
        <w:t xml:space="preserve"> </w:t>
      </w:r>
      <w:r w:rsidRPr="00DB312C">
        <w:rPr>
          <w:bCs/>
          <w:szCs w:val="28"/>
        </w:rPr>
        <w:t>gada 26.</w:t>
      </w:r>
      <w:r w:rsidR="0034515E">
        <w:rPr>
          <w:bCs/>
          <w:szCs w:val="28"/>
        </w:rPr>
        <w:t> </w:t>
      </w:r>
      <w:r w:rsidRPr="00DB312C">
        <w:rPr>
          <w:bCs/>
          <w:szCs w:val="28"/>
        </w:rPr>
        <w:t>septembra Īstenošanas regulu (ES) 2019/1590, ar kuru groza Īstenošanas regulu (ES) 2019/159, ar ko nosaka ar galīgos aizsardzības pasākumus pret konkrētu tērauda ražojumu importu (samazināti kvotu apjomi, atsevišķām ražojumu kategorijām tiek piemērotas kvotas tikai autobūves nozarei, kā arī dažām ražojumu kategorijām eksportētājvalstij nav atļauts vienai pašai izmantot vairāk par 30% no katra pasākumu piemērošanas gada pēdējā ceturkšņa atlikušās tarifa kvotas.</w:t>
      </w:r>
    </w:p>
    <w:p w:rsidR="00FD36B6" w:rsidRDefault="00FD36B6" w:rsidP="008F4D8C">
      <w:pPr>
        <w:tabs>
          <w:tab w:val="left" w:pos="8080"/>
        </w:tabs>
        <w:spacing w:before="120"/>
        <w:rPr>
          <w:szCs w:val="26"/>
        </w:rPr>
      </w:pPr>
      <w:r w:rsidRPr="00CD6F41">
        <w:t>Saskaņā ar Centrālās statistikas pārvaldes datiem 2020.</w:t>
      </w:r>
      <w:r w:rsidR="008F4D8C">
        <w:t xml:space="preserve"> </w:t>
      </w:r>
      <w:r w:rsidRPr="00CD6F41">
        <w:t>gada piecos mēnešos, salīdzinot ar 2019.</w:t>
      </w:r>
      <w:r w:rsidR="008F4D8C">
        <w:t xml:space="preserve"> </w:t>
      </w:r>
      <w:r w:rsidRPr="00CD6F41">
        <w:t xml:space="preserve">gada pieciem mēnešiem, imports no valstīm, kas nav </w:t>
      </w:r>
      <w:r w:rsidR="008F4D8C">
        <w:t>ES</w:t>
      </w:r>
      <w:r w:rsidRPr="00CD6F41">
        <w:t xml:space="preserve"> dalībvalstis, samazinājies par 26,9</w:t>
      </w:r>
      <w:r>
        <w:t>% un bija zem 2018.</w:t>
      </w:r>
      <w:r w:rsidR="008F4D8C">
        <w:t xml:space="preserve"> </w:t>
      </w:r>
      <w:r>
        <w:t>gada līmeņa.</w:t>
      </w:r>
      <w:r w:rsidRPr="00CD6F41">
        <w:t xml:space="preserve"> Savukārt sa</w:t>
      </w:r>
      <w:r w:rsidRPr="00CD6F41">
        <w:rPr>
          <w:szCs w:val="26"/>
        </w:rPr>
        <w:t xml:space="preserve">skaņā ar </w:t>
      </w:r>
      <w:r w:rsidR="008F4D8C">
        <w:rPr>
          <w:szCs w:val="26"/>
        </w:rPr>
        <w:t>VID</w:t>
      </w:r>
      <w:r w:rsidRPr="00CD6F41">
        <w:rPr>
          <w:szCs w:val="26"/>
        </w:rPr>
        <w:t xml:space="preserve"> sniegto informāciju, šī gada sešos mēnešos, salīdzinot ar 2019.gada atbilstošo periodu, brīvā apgrozībā laisto preču apjoms samazinājies par 7,1% jeb 230,3 tūkst. tonnām, bet statistiskā vērtība samazinājusies par 22,7% jeb 446,9 milj. </w:t>
      </w:r>
      <w:proofErr w:type="spellStart"/>
      <w:r w:rsidRPr="000B42B0">
        <w:rPr>
          <w:bCs/>
          <w:i/>
          <w:szCs w:val="24"/>
        </w:rPr>
        <w:t>euro</w:t>
      </w:r>
      <w:proofErr w:type="spellEnd"/>
      <w:r>
        <w:rPr>
          <w:szCs w:val="26"/>
        </w:rPr>
        <w:t>,</w:t>
      </w:r>
      <w:r w:rsidRPr="00CD6F41">
        <w:rPr>
          <w:sz w:val="26"/>
          <w:szCs w:val="26"/>
        </w:rPr>
        <w:t xml:space="preserve"> </w:t>
      </w:r>
      <w:r w:rsidRPr="000B42B0">
        <w:rPr>
          <w:szCs w:val="26"/>
        </w:rPr>
        <w:t>ko būtiski ietekmēja importa ierobežojumi sakarā ar Covid-19 pandēmijas izplatību pasaulē.</w:t>
      </w:r>
    </w:p>
    <w:p w:rsidR="00FD36B6" w:rsidRPr="00B2681D" w:rsidRDefault="00FD36B6" w:rsidP="00FD36B6">
      <w:pPr>
        <w:tabs>
          <w:tab w:val="left" w:pos="8080"/>
        </w:tabs>
        <w:spacing w:after="0"/>
        <w:rPr>
          <w:lang w:eastAsia="lv-LV"/>
        </w:rPr>
      </w:pPr>
      <w:r w:rsidRPr="00E4517E">
        <w:rPr>
          <w:lang w:eastAsia="lv-LV"/>
        </w:rPr>
        <w:t xml:space="preserve">Papildus muitas nodokļa </w:t>
      </w:r>
      <w:r w:rsidRPr="00B2681D">
        <w:rPr>
          <w:lang w:eastAsia="lv-LV"/>
        </w:rPr>
        <w:t xml:space="preserve">ieņēmumus ietekmēja piemērotie atbrīvojumi no ievedmuitas nodokļa par Covid-19 ietvaros ievesto aizsarglīdzekļu importu (laika periodā no </w:t>
      </w:r>
      <w:r>
        <w:rPr>
          <w:lang w:eastAsia="lv-LV"/>
        </w:rPr>
        <w:t>2020.</w:t>
      </w:r>
      <w:r w:rsidR="008F4D8C">
        <w:rPr>
          <w:lang w:eastAsia="lv-LV"/>
        </w:rPr>
        <w:t xml:space="preserve"> </w:t>
      </w:r>
      <w:r>
        <w:rPr>
          <w:lang w:eastAsia="lv-LV"/>
        </w:rPr>
        <w:t>gada 17.</w:t>
      </w:r>
      <w:r w:rsidR="008F4D8C">
        <w:rPr>
          <w:lang w:eastAsia="lv-LV"/>
        </w:rPr>
        <w:t> </w:t>
      </w:r>
      <w:r>
        <w:rPr>
          <w:lang w:eastAsia="lv-LV"/>
        </w:rPr>
        <w:t>aprīļa līdz 30.jūnijam</w:t>
      </w:r>
      <w:r w:rsidRPr="00B2681D">
        <w:rPr>
          <w:lang w:eastAsia="lv-LV"/>
        </w:rPr>
        <w:t xml:space="preserve"> tie veidoja 1,8 milj. </w:t>
      </w:r>
      <w:proofErr w:type="spellStart"/>
      <w:r w:rsidRPr="00B2681D">
        <w:rPr>
          <w:bCs/>
          <w:i/>
          <w:szCs w:val="24"/>
          <w:lang w:eastAsia="lv-LV"/>
        </w:rPr>
        <w:t>euro</w:t>
      </w:r>
      <w:proofErr w:type="spellEnd"/>
      <w:r w:rsidRPr="00B2681D">
        <w:rPr>
          <w:lang w:eastAsia="lv-LV"/>
        </w:rPr>
        <w:t>).</w:t>
      </w:r>
    </w:p>
    <w:p w:rsidR="00FD36B6" w:rsidRPr="00D81C66" w:rsidRDefault="00FD36B6" w:rsidP="008F4D8C">
      <w:pPr>
        <w:spacing w:before="120"/>
        <w:rPr>
          <w:color w:val="FF0000"/>
        </w:rPr>
      </w:pPr>
      <w:r w:rsidRPr="00D81C66">
        <w:lastRenderedPageBreak/>
        <w:t>Ņemot v</w:t>
      </w:r>
      <w:r>
        <w:t xml:space="preserve">ērā iepriekš uzskaitītos faktus </w:t>
      </w:r>
      <w:r w:rsidRPr="0029054D">
        <w:t>un prognozēto preču importa apjomu 2020.</w:t>
      </w:r>
      <w:r w:rsidR="008F4D8C">
        <w:t> </w:t>
      </w:r>
      <w:r w:rsidRPr="0029054D">
        <w:t>gadam, muitas nodokļa ieņēmumi 2020.</w:t>
      </w:r>
      <w:r w:rsidR="008F4D8C">
        <w:t xml:space="preserve"> </w:t>
      </w:r>
      <w:r w:rsidRPr="0029054D">
        <w:t xml:space="preserve">gadā tiek prognozēti 50,7 milj. </w:t>
      </w:r>
      <w:proofErr w:type="spellStart"/>
      <w:r w:rsidRPr="0029054D">
        <w:rPr>
          <w:bCs/>
          <w:i/>
          <w:szCs w:val="24"/>
        </w:rPr>
        <w:t>euro</w:t>
      </w:r>
      <w:proofErr w:type="spellEnd"/>
      <w:r w:rsidRPr="0029054D">
        <w:t xml:space="preserve"> apmērā, kas ir par 6,5 milj. </w:t>
      </w:r>
      <w:proofErr w:type="spellStart"/>
      <w:r w:rsidRPr="0029054D">
        <w:rPr>
          <w:bCs/>
          <w:i/>
          <w:szCs w:val="24"/>
        </w:rPr>
        <w:t>euro</w:t>
      </w:r>
      <w:proofErr w:type="spellEnd"/>
      <w:r w:rsidRPr="0029054D">
        <w:t xml:space="preserve"> jeb 11,4% mazāk nekā plānots.</w:t>
      </w:r>
    </w:p>
    <w:p w:rsidR="00FD36B6" w:rsidRPr="0077276D" w:rsidRDefault="00FD36B6" w:rsidP="008F4D8C">
      <w:pPr>
        <w:spacing w:before="120" w:line="259" w:lineRule="auto"/>
      </w:pPr>
      <w:r w:rsidRPr="00D81C66">
        <w:t>Sagatavojot 2021.</w:t>
      </w:r>
      <w:r w:rsidR="008F4D8C">
        <w:t xml:space="preserve"> </w:t>
      </w:r>
      <w:r w:rsidRPr="00D81C66">
        <w:t>gada muitas nodokļa ieņēmumu plānu, tika ņemta vērā jaunā 2020.</w:t>
      </w:r>
      <w:r w:rsidR="008F4D8C">
        <w:t> </w:t>
      </w:r>
      <w:r w:rsidRPr="00D81C66">
        <w:t>gada prognozētā bāze, prognozētais preču importa apjoma pieaugums 202</w:t>
      </w:r>
      <w:r>
        <w:t>1</w:t>
      </w:r>
      <w:r w:rsidRPr="00D81C66">
        <w:t>.</w:t>
      </w:r>
      <w:r w:rsidR="008F4D8C">
        <w:t xml:space="preserve"> </w:t>
      </w:r>
      <w:r w:rsidRPr="00D81C66">
        <w:t xml:space="preserve">gadā no valstīm, kas nav </w:t>
      </w:r>
      <w:r w:rsidR="008F4D8C">
        <w:t>ES</w:t>
      </w:r>
      <w:r w:rsidRPr="00D81C66">
        <w:t xml:space="preserve"> dalībvalstis, </w:t>
      </w:r>
      <w:r w:rsidR="008F4D8C">
        <w:t>ES</w:t>
      </w:r>
      <w:r w:rsidRPr="00D81C66">
        <w:t xml:space="preserve"> vidējās svērtās muitas nodokļa likmes prognozes. </w:t>
      </w:r>
      <w:r>
        <w:t xml:space="preserve">Prognozēs ņemta vērā </w:t>
      </w:r>
      <w:r w:rsidRPr="0029054D">
        <w:t>arī Apvienotās Karalistes izstāšan</w:t>
      </w:r>
      <w:r>
        <w:t>ā</w:t>
      </w:r>
      <w:r w:rsidRPr="0029054D">
        <w:t xml:space="preserve">s no </w:t>
      </w:r>
      <w:r w:rsidR="008F4D8C">
        <w:t>ES</w:t>
      </w:r>
      <w:r w:rsidRPr="0029054D">
        <w:t xml:space="preserve"> </w:t>
      </w:r>
      <w:r w:rsidRPr="0077276D">
        <w:t>(aplēses par ietekmi uz muitas nodokļa ieņēmumiem 2021.gadā +2,8 milj. </w:t>
      </w:r>
      <w:proofErr w:type="spellStart"/>
      <w:r w:rsidRPr="0077276D">
        <w:rPr>
          <w:bCs/>
          <w:i/>
        </w:rPr>
        <w:t>euro</w:t>
      </w:r>
      <w:proofErr w:type="spellEnd"/>
      <w:r w:rsidRPr="0077276D">
        <w:rPr>
          <w:bCs/>
        </w:rPr>
        <w:t>)</w:t>
      </w:r>
      <w:r w:rsidRPr="0077276D">
        <w:rPr>
          <w:bCs/>
          <w:i/>
        </w:rPr>
        <w:t xml:space="preserve">. </w:t>
      </w:r>
    </w:p>
    <w:p w:rsidR="00FD36B6" w:rsidRPr="00D81C66" w:rsidRDefault="00FD36B6" w:rsidP="008F4D8C">
      <w:pPr>
        <w:spacing w:before="120"/>
      </w:pPr>
      <w:r w:rsidRPr="00D81C66">
        <w:t>2021.</w:t>
      </w:r>
      <w:r w:rsidR="008F4D8C">
        <w:t xml:space="preserve"> </w:t>
      </w:r>
      <w:r w:rsidRPr="00D81C66">
        <w:t>gada ieņēmumi no muitas nodokļa saskaņā a</w:t>
      </w:r>
      <w:r w:rsidR="008F4D8C">
        <w:t>r likumprojektu “</w:t>
      </w:r>
      <w:r w:rsidRPr="00D81C66">
        <w:t>Par valsts budžetu 2021.</w:t>
      </w:r>
      <w:r w:rsidR="008F4D8C">
        <w:t xml:space="preserve"> </w:t>
      </w:r>
      <w:r w:rsidRPr="00D81C66">
        <w:t>gadam” tiek plānoti 55,9 milj. </w:t>
      </w:r>
      <w:proofErr w:type="spellStart"/>
      <w:r w:rsidRPr="00D81C66">
        <w:rPr>
          <w:i/>
        </w:rPr>
        <w:t>euro</w:t>
      </w:r>
      <w:proofErr w:type="spellEnd"/>
      <w:r w:rsidRPr="00D81C66">
        <w:t xml:space="preserve"> apmērā, kas salīdzinājumā ar 2020.</w:t>
      </w:r>
      <w:r w:rsidR="008F4D8C">
        <w:t xml:space="preserve"> </w:t>
      </w:r>
      <w:r w:rsidRPr="00D81C66">
        <w:t>gada prognozētajiem ieņēmumiem ir par 5,2 milj. </w:t>
      </w:r>
      <w:proofErr w:type="spellStart"/>
      <w:r w:rsidRPr="00D81C66">
        <w:rPr>
          <w:i/>
        </w:rPr>
        <w:t>euro</w:t>
      </w:r>
      <w:proofErr w:type="spellEnd"/>
      <w:r w:rsidRPr="00D81C66">
        <w:t xml:space="preserve"> jeb 10,3% vairāk.</w:t>
      </w:r>
    </w:p>
    <w:p w:rsidR="00FD36B6" w:rsidRPr="008F4D8C" w:rsidRDefault="00FD36B6" w:rsidP="008F4D8C">
      <w:pPr>
        <w:pStyle w:val="T"/>
        <w:spacing w:before="240"/>
        <w:rPr>
          <w:i w:val="0"/>
        </w:rPr>
      </w:pPr>
      <w:r w:rsidRPr="008F4D8C">
        <w:t>3.13. tabula</w:t>
      </w:r>
      <w:r w:rsidR="008F4D8C">
        <w:t xml:space="preserve"> </w:t>
      </w:r>
      <w:r w:rsidRPr="008F4D8C">
        <w:rPr>
          <w:i w:val="0"/>
        </w:rPr>
        <w:t>Muitas nodokļa ieņēmumi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741"/>
        <w:gridCol w:w="1069"/>
        <w:gridCol w:w="993"/>
        <w:gridCol w:w="1134"/>
        <w:gridCol w:w="1124"/>
      </w:tblGrid>
      <w:tr w:rsidR="00FD36B6" w:rsidRPr="008F4D8C" w:rsidTr="00FD36B6">
        <w:trPr>
          <w:jc w:val="center"/>
        </w:trPr>
        <w:tc>
          <w:tcPr>
            <w:tcW w:w="2616" w:type="pct"/>
            <w:vMerge w:val="restart"/>
            <w:shd w:val="clear" w:color="auto" w:fill="D9D9D9" w:themeFill="background1" w:themeFillShade="D9"/>
          </w:tcPr>
          <w:p w:rsidR="00FD36B6" w:rsidRPr="008F4D8C" w:rsidRDefault="00FD36B6" w:rsidP="00FD36B6">
            <w:pPr>
              <w:pStyle w:val="tabtekst"/>
              <w:jc w:val="center"/>
              <w:rPr>
                <w:b/>
                <w:color w:val="auto"/>
                <w:sz w:val="18"/>
                <w:szCs w:val="18"/>
              </w:rPr>
            </w:pPr>
          </w:p>
        </w:tc>
        <w:tc>
          <w:tcPr>
            <w:tcW w:w="590" w:type="pct"/>
            <w:shd w:val="clear" w:color="auto" w:fill="D9D9D9" w:themeFill="background1" w:themeFillShade="D9"/>
          </w:tcPr>
          <w:p w:rsidR="00FD36B6" w:rsidRPr="008F4D8C" w:rsidRDefault="00FD36B6" w:rsidP="00FD36B6">
            <w:pPr>
              <w:pStyle w:val="tabtekst"/>
              <w:jc w:val="center"/>
              <w:rPr>
                <w:b/>
                <w:color w:val="auto"/>
                <w:sz w:val="18"/>
                <w:szCs w:val="18"/>
              </w:rPr>
            </w:pPr>
            <w:r w:rsidRPr="008F4D8C">
              <w:rPr>
                <w:b/>
                <w:color w:val="auto"/>
                <w:sz w:val="18"/>
                <w:szCs w:val="18"/>
              </w:rPr>
              <w:t>2018</w:t>
            </w:r>
          </w:p>
        </w:tc>
        <w:tc>
          <w:tcPr>
            <w:tcW w:w="548" w:type="pct"/>
            <w:shd w:val="clear" w:color="auto" w:fill="D9D9D9" w:themeFill="background1" w:themeFillShade="D9"/>
          </w:tcPr>
          <w:p w:rsidR="00FD36B6" w:rsidRPr="008F4D8C" w:rsidRDefault="00FD36B6" w:rsidP="00FD36B6">
            <w:pPr>
              <w:pStyle w:val="tabtekst"/>
              <w:jc w:val="center"/>
              <w:rPr>
                <w:b/>
                <w:color w:val="auto"/>
                <w:sz w:val="18"/>
                <w:szCs w:val="18"/>
              </w:rPr>
            </w:pPr>
            <w:r w:rsidRPr="008F4D8C">
              <w:rPr>
                <w:b/>
                <w:color w:val="auto"/>
                <w:sz w:val="18"/>
                <w:szCs w:val="18"/>
              </w:rPr>
              <w:t>2019</w:t>
            </w:r>
          </w:p>
        </w:tc>
        <w:tc>
          <w:tcPr>
            <w:tcW w:w="626" w:type="pct"/>
            <w:shd w:val="clear" w:color="auto" w:fill="D9D9D9" w:themeFill="background1" w:themeFillShade="D9"/>
          </w:tcPr>
          <w:p w:rsidR="00FD36B6" w:rsidRPr="008F4D8C" w:rsidRDefault="00FD36B6" w:rsidP="00FD36B6">
            <w:pPr>
              <w:pStyle w:val="tabtekst"/>
              <w:jc w:val="center"/>
              <w:rPr>
                <w:b/>
                <w:color w:val="auto"/>
                <w:sz w:val="18"/>
                <w:szCs w:val="18"/>
              </w:rPr>
            </w:pPr>
            <w:r w:rsidRPr="008F4D8C">
              <w:rPr>
                <w:b/>
                <w:color w:val="auto"/>
                <w:sz w:val="18"/>
                <w:szCs w:val="18"/>
              </w:rPr>
              <w:t>2020</w:t>
            </w:r>
          </w:p>
        </w:tc>
        <w:tc>
          <w:tcPr>
            <w:tcW w:w="620" w:type="pct"/>
            <w:shd w:val="clear" w:color="auto" w:fill="D9D9D9" w:themeFill="background1" w:themeFillShade="D9"/>
          </w:tcPr>
          <w:p w:rsidR="00FD36B6" w:rsidRPr="008F4D8C" w:rsidRDefault="00FD36B6" w:rsidP="00FD36B6">
            <w:pPr>
              <w:pStyle w:val="tabtekst"/>
              <w:jc w:val="center"/>
              <w:rPr>
                <w:b/>
                <w:color w:val="auto"/>
                <w:sz w:val="18"/>
                <w:szCs w:val="18"/>
              </w:rPr>
            </w:pPr>
            <w:r w:rsidRPr="008F4D8C">
              <w:rPr>
                <w:b/>
                <w:color w:val="auto"/>
                <w:sz w:val="18"/>
                <w:szCs w:val="18"/>
              </w:rPr>
              <w:t>2021</w:t>
            </w:r>
          </w:p>
        </w:tc>
      </w:tr>
      <w:tr w:rsidR="00FD36B6" w:rsidRPr="008F4D8C" w:rsidTr="00FD36B6">
        <w:trPr>
          <w:jc w:val="center"/>
        </w:trPr>
        <w:tc>
          <w:tcPr>
            <w:tcW w:w="2616" w:type="pct"/>
            <w:vMerge/>
            <w:shd w:val="clear" w:color="auto" w:fill="D9D9D9" w:themeFill="background1" w:themeFillShade="D9"/>
          </w:tcPr>
          <w:p w:rsidR="00FD36B6" w:rsidRPr="008F4D8C" w:rsidRDefault="00FD36B6" w:rsidP="00FD36B6">
            <w:pPr>
              <w:pStyle w:val="tabtekst"/>
              <w:jc w:val="center"/>
              <w:rPr>
                <w:b/>
                <w:color w:val="auto"/>
                <w:sz w:val="18"/>
                <w:szCs w:val="18"/>
              </w:rPr>
            </w:pPr>
          </w:p>
        </w:tc>
        <w:tc>
          <w:tcPr>
            <w:tcW w:w="1138" w:type="pct"/>
            <w:gridSpan w:val="2"/>
            <w:shd w:val="clear" w:color="auto" w:fill="D9D9D9" w:themeFill="background1" w:themeFillShade="D9"/>
          </w:tcPr>
          <w:p w:rsidR="00FD36B6" w:rsidRPr="008F4D8C" w:rsidRDefault="00FD36B6" w:rsidP="00FD36B6">
            <w:pPr>
              <w:pStyle w:val="tabtekst"/>
              <w:jc w:val="center"/>
              <w:rPr>
                <w:color w:val="auto"/>
                <w:sz w:val="18"/>
                <w:szCs w:val="18"/>
              </w:rPr>
            </w:pPr>
            <w:r w:rsidRPr="008F4D8C">
              <w:rPr>
                <w:color w:val="auto"/>
                <w:sz w:val="18"/>
                <w:szCs w:val="18"/>
              </w:rPr>
              <w:t>fakts</w:t>
            </w:r>
          </w:p>
        </w:tc>
        <w:tc>
          <w:tcPr>
            <w:tcW w:w="626" w:type="pct"/>
            <w:shd w:val="clear" w:color="auto" w:fill="D9D9D9" w:themeFill="background1" w:themeFillShade="D9"/>
          </w:tcPr>
          <w:p w:rsidR="00FD36B6" w:rsidRPr="008F4D8C" w:rsidRDefault="00FD36B6" w:rsidP="00FD36B6">
            <w:pPr>
              <w:pStyle w:val="tabtekst"/>
              <w:jc w:val="center"/>
              <w:rPr>
                <w:color w:val="auto"/>
                <w:sz w:val="18"/>
                <w:szCs w:val="18"/>
              </w:rPr>
            </w:pPr>
            <w:r w:rsidRPr="008F4D8C">
              <w:rPr>
                <w:color w:val="auto"/>
                <w:sz w:val="18"/>
                <w:szCs w:val="18"/>
              </w:rPr>
              <w:t>prognoze</w:t>
            </w:r>
          </w:p>
        </w:tc>
        <w:tc>
          <w:tcPr>
            <w:tcW w:w="620" w:type="pct"/>
            <w:shd w:val="clear" w:color="auto" w:fill="D9D9D9" w:themeFill="background1" w:themeFillShade="D9"/>
          </w:tcPr>
          <w:p w:rsidR="00FD36B6" w:rsidRPr="008F4D8C" w:rsidRDefault="00FD36B6" w:rsidP="00FD36B6">
            <w:pPr>
              <w:pStyle w:val="tabtekst"/>
              <w:jc w:val="center"/>
              <w:rPr>
                <w:color w:val="auto"/>
                <w:sz w:val="18"/>
                <w:szCs w:val="18"/>
              </w:rPr>
            </w:pPr>
            <w:r w:rsidRPr="008F4D8C">
              <w:rPr>
                <w:color w:val="auto"/>
                <w:sz w:val="18"/>
                <w:szCs w:val="18"/>
              </w:rPr>
              <w:t>plāns*</w:t>
            </w:r>
          </w:p>
        </w:tc>
      </w:tr>
      <w:tr w:rsidR="00FD36B6" w:rsidRPr="008F4D8C" w:rsidTr="00FD36B6">
        <w:trPr>
          <w:jc w:val="center"/>
        </w:trPr>
        <w:tc>
          <w:tcPr>
            <w:tcW w:w="2616" w:type="pct"/>
          </w:tcPr>
          <w:p w:rsidR="00FD36B6" w:rsidRPr="008F4D8C" w:rsidRDefault="00FD36B6" w:rsidP="00FD36B6">
            <w:pPr>
              <w:pStyle w:val="tabtekst"/>
              <w:rPr>
                <w:b/>
                <w:color w:val="auto"/>
                <w:sz w:val="18"/>
                <w:szCs w:val="18"/>
                <w:lang w:eastAsia="lv-LV"/>
              </w:rPr>
            </w:pPr>
            <w:r w:rsidRPr="008F4D8C">
              <w:rPr>
                <w:b/>
                <w:color w:val="auto"/>
                <w:sz w:val="18"/>
                <w:szCs w:val="18"/>
                <w:lang w:eastAsia="lv-LV"/>
              </w:rPr>
              <w:t>Muitas nodoklis,</w:t>
            </w:r>
            <w:r w:rsidRPr="008F4D8C">
              <w:rPr>
                <w:color w:val="auto"/>
                <w:sz w:val="18"/>
                <w:szCs w:val="18"/>
                <w:lang w:eastAsia="lv-LV"/>
              </w:rPr>
              <w:t xml:space="preserve"> milj. </w:t>
            </w:r>
            <w:proofErr w:type="spellStart"/>
            <w:r w:rsidRPr="008F4D8C">
              <w:rPr>
                <w:i/>
                <w:color w:val="auto"/>
                <w:sz w:val="18"/>
                <w:szCs w:val="18"/>
                <w:lang w:eastAsia="lv-LV"/>
              </w:rPr>
              <w:t>euro</w:t>
            </w:r>
            <w:proofErr w:type="spellEnd"/>
          </w:p>
        </w:tc>
        <w:tc>
          <w:tcPr>
            <w:tcW w:w="590" w:type="pct"/>
          </w:tcPr>
          <w:p w:rsidR="00FD36B6" w:rsidRPr="008F4D8C" w:rsidRDefault="00FD36B6" w:rsidP="00FD36B6">
            <w:pPr>
              <w:pStyle w:val="tabtekst"/>
              <w:jc w:val="center"/>
              <w:rPr>
                <w:b/>
                <w:color w:val="auto"/>
                <w:sz w:val="18"/>
                <w:szCs w:val="18"/>
              </w:rPr>
            </w:pPr>
            <w:r w:rsidRPr="008F4D8C">
              <w:rPr>
                <w:b/>
                <w:color w:val="auto"/>
                <w:sz w:val="18"/>
                <w:szCs w:val="18"/>
              </w:rPr>
              <w:t>52,8</w:t>
            </w:r>
          </w:p>
        </w:tc>
        <w:tc>
          <w:tcPr>
            <w:tcW w:w="548" w:type="pct"/>
          </w:tcPr>
          <w:p w:rsidR="00FD36B6" w:rsidRPr="008F4D8C" w:rsidRDefault="00FD36B6" w:rsidP="00FD36B6">
            <w:pPr>
              <w:pStyle w:val="tabtekst"/>
              <w:jc w:val="center"/>
              <w:rPr>
                <w:b/>
                <w:color w:val="auto"/>
                <w:sz w:val="18"/>
                <w:szCs w:val="18"/>
              </w:rPr>
            </w:pPr>
            <w:r w:rsidRPr="008F4D8C">
              <w:rPr>
                <w:b/>
                <w:color w:val="auto"/>
                <w:sz w:val="18"/>
                <w:szCs w:val="18"/>
              </w:rPr>
              <w:t>49,7</w:t>
            </w:r>
          </w:p>
        </w:tc>
        <w:tc>
          <w:tcPr>
            <w:tcW w:w="626" w:type="pct"/>
          </w:tcPr>
          <w:p w:rsidR="00FD36B6" w:rsidRPr="008F4D8C" w:rsidRDefault="00FD36B6" w:rsidP="00FD36B6">
            <w:pPr>
              <w:pStyle w:val="tabtekst"/>
              <w:jc w:val="center"/>
              <w:rPr>
                <w:b/>
                <w:color w:val="auto"/>
                <w:sz w:val="18"/>
                <w:szCs w:val="18"/>
              </w:rPr>
            </w:pPr>
            <w:r w:rsidRPr="008F4D8C">
              <w:rPr>
                <w:b/>
                <w:color w:val="auto"/>
                <w:sz w:val="18"/>
                <w:szCs w:val="18"/>
              </w:rPr>
              <w:t>50,7</w:t>
            </w:r>
          </w:p>
        </w:tc>
        <w:tc>
          <w:tcPr>
            <w:tcW w:w="620" w:type="pct"/>
          </w:tcPr>
          <w:p w:rsidR="00FD36B6" w:rsidRPr="008F4D8C" w:rsidRDefault="00FD36B6" w:rsidP="00FD36B6">
            <w:pPr>
              <w:pStyle w:val="tabtekst"/>
              <w:jc w:val="center"/>
              <w:rPr>
                <w:b/>
                <w:color w:val="auto"/>
                <w:sz w:val="18"/>
                <w:szCs w:val="18"/>
              </w:rPr>
            </w:pPr>
            <w:r w:rsidRPr="008F4D8C">
              <w:rPr>
                <w:b/>
                <w:color w:val="auto"/>
                <w:sz w:val="18"/>
                <w:szCs w:val="18"/>
              </w:rPr>
              <w:t>55,9</w:t>
            </w:r>
          </w:p>
        </w:tc>
      </w:tr>
      <w:tr w:rsidR="00FD36B6" w:rsidRPr="008F4D8C" w:rsidTr="00FD36B6">
        <w:trPr>
          <w:jc w:val="center"/>
        </w:trPr>
        <w:tc>
          <w:tcPr>
            <w:tcW w:w="2616" w:type="pct"/>
          </w:tcPr>
          <w:p w:rsidR="00FD36B6" w:rsidRPr="008F4D8C" w:rsidRDefault="00FD36B6" w:rsidP="00FD36B6">
            <w:pPr>
              <w:pStyle w:val="tabtekst"/>
              <w:rPr>
                <w:i/>
                <w:color w:val="auto"/>
                <w:sz w:val="18"/>
                <w:szCs w:val="18"/>
                <w:lang w:eastAsia="lv-LV"/>
              </w:rPr>
            </w:pPr>
            <w:r w:rsidRPr="008F4D8C">
              <w:rPr>
                <w:i/>
                <w:color w:val="auto"/>
                <w:sz w:val="18"/>
                <w:szCs w:val="18"/>
                <w:lang w:eastAsia="lv-LV"/>
              </w:rPr>
              <w:t xml:space="preserve"> pieauguma tempi faktiskās cenās, %</w:t>
            </w:r>
          </w:p>
        </w:tc>
        <w:tc>
          <w:tcPr>
            <w:tcW w:w="590" w:type="pct"/>
          </w:tcPr>
          <w:p w:rsidR="00FD36B6" w:rsidRPr="008F4D8C" w:rsidRDefault="00FD36B6" w:rsidP="00FD36B6">
            <w:pPr>
              <w:pStyle w:val="tabtekst"/>
              <w:jc w:val="center"/>
              <w:rPr>
                <w:i/>
                <w:color w:val="auto"/>
                <w:sz w:val="18"/>
                <w:szCs w:val="18"/>
              </w:rPr>
            </w:pPr>
            <w:r w:rsidRPr="008F4D8C">
              <w:rPr>
                <w:i/>
                <w:color w:val="auto"/>
                <w:sz w:val="18"/>
                <w:szCs w:val="18"/>
              </w:rPr>
              <w:t>16,5</w:t>
            </w:r>
          </w:p>
        </w:tc>
        <w:tc>
          <w:tcPr>
            <w:tcW w:w="548" w:type="pct"/>
          </w:tcPr>
          <w:p w:rsidR="00FD36B6" w:rsidRPr="008F4D8C" w:rsidRDefault="00FD36B6" w:rsidP="00FD36B6">
            <w:pPr>
              <w:pStyle w:val="tabtekst"/>
              <w:jc w:val="center"/>
              <w:rPr>
                <w:i/>
                <w:color w:val="auto"/>
                <w:sz w:val="18"/>
                <w:szCs w:val="18"/>
              </w:rPr>
            </w:pPr>
            <w:r w:rsidRPr="008F4D8C">
              <w:rPr>
                <w:i/>
                <w:color w:val="auto"/>
                <w:sz w:val="18"/>
                <w:szCs w:val="18"/>
              </w:rPr>
              <w:t>-5,9</w:t>
            </w:r>
          </w:p>
        </w:tc>
        <w:tc>
          <w:tcPr>
            <w:tcW w:w="626" w:type="pct"/>
          </w:tcPr>
          <w:p w:rsidR="00FD36B6" w:rsidRPr="008F4D8C" w:rsidRDefault="00FD36B6" w:rsidP="00FD36B6">
            <w:pPr>
              <w:pStyle w:val="tabtekst"/>
              <w:jc w:val="center"/>
              <w:rPr>
                <w:i/>
                <w:color w:val="auto"/>
                <w:sz w:val="18"/>
                <w:szCs w:val="18"/>
              </w:rPr>
            </w:pPr>
            <w:r w:rsidRPr="008F4D8C">
              <w:rPr>
                <w:i/>
                <w:color w:val="auto"/>
                <w:sz w:val="18"/>
                <w:szCs w:val="18"/>
              </w:rPr>
              <w:t>2,1</w:t>
            </w:r>
          </w:p>
        </w:tc>
        <w:tc>
          <w:tcPr>
            <w:tcW w:w="620" w:type="pct"/>
          </w:tcPr>
          <w:p w:rsidR="00FD36B6" w:rsidRPr="008F4D8C" w:rsidRDefault="00FD36B6" w:rsidP="00FD36B6">
            <w:pPr>
              <w:pStyle w:val="tabtekst"/>
              <w:jc w:val="center"/>
              <w:rPr>
                <w:i/>
                <w:color w:val="auto"/>
                <w:sz w:val="18"/>
                <w:szCs w:val="18"/>
              </w:rPr>
            </w:pPr>
            <w:r w:rsidRPr="008F4D8C">
              <w:rPr>
                <w:i/>
                <w:color w:val="auto"/>
                <w:sz w:val="18"/>
                <w:szCs w:val="18"/>
              </w:rPr>
              <w:t>10,3</w:t>
            </w:r>
          </w:p>
        </w:tc>
      </w:tr>
      <w:tr w:rsidR="00FD36B6" w:rsidRPr="008F4D8C" w:rsidTr="00FD36B6">
        <w:trPr>
          <w:trHeight w:val="225"/>
          <w:jc w:val="center"/>
        </w:trPr>
        <w:tc>
          <w:tcPr>
            <w:tcW w:w="2616" w:type="pct"/>
          </w:tcPr>
          <w:p w:rsidR="00FD36B6" w:rsidRPr="008F4D8C" w:rsidRDefault="00FD36B6" w:rsidP="00FD36B6">
            <w:pPr>
              <w:pStyle w:val="tabtekst"/>
              <w:rPr>
                <w:i/>
                <w:color w:val="auto"/>
                <w:sz w:val="18"/>
                <w:szCs w:val="18"/>
                <w:lang w:eastAsia="lv-LV"/>
              </w:rPr>
            </w:pPr>
            <w:r w:rsidRPr="008F4D8C">
              <w:rPr>
                <w:i/>
                <w:color w:val="auto"/>
                <w:sz w:val="18"/>
                <w:szCs w:val="18"/>
                <w:lang w:eastAsia="lv-LV"/>
              </w:rPr>
              <w:t xml:space="preserve"> % no IKP</w:t>
            </w:r>
          </w:p>
        </w:tc>
        <w:tc>
          <w:tcPr>
            <w:tcW w:w="590" w:type="pct"/>
          </w:tcPr>
          <w:p w:rsidR="00FD36B6" w:rsidRPr="008F4D8C" w:rsidRDefault="00FD36B6" w:rsidP="00FD36B6">
            <w:pPr>
              <w:pStyle w:val="tabtekst"/>
              <w:jc w:val="center"/>
              <w:rPr>
                <w:i/>
                <w:color w:val="auto"/>
                <w:sz w:val="18"/>
                <w:szCs w:val="18"/>
              </w:rPr>
            </w:pPr>
            <w:r w:rsidRPr="008F4D8C">
              <w:rPr>
                <w:i/>
                <w:color w:val="auto"/>
                <w:sz w:val="18"/>
                <w:szCs w:val="18"/>
              </w:rPr>
              <w:t>0,2</w:t>
            </w:r>
          </w:p>
        </w:tc>
        <w:tc>
          <w:tcPr>
            <w:tcW w:w="548" w:type="pct"/>
          </w:tcPr>
          <w:p w:rsidR="00FD36B6" w:rsidRPr="008F4D8C" w:rsidRDefault="00FD36B6" w:rsidP="00FD36B6">
            <w:pPr>
              <w:pStyle w:val="tabtekst"/>
              <w:jc w:val="center"/>
              <w:rPr>
                <w:i/>
                <w:color w:val="auto"/>
                <w:sz w:val="18"/>
                <w:szCs w:val="18"/>
              </w:rPr>
            </w:pPr>
            <w:r w:rsidRPr="008F4D8C">
              <w:rPr>
                <w:i/>
                <w:color w:val="auto"/>
                <w:sz w:val="18"/>
                <w:szCs w:val="18"/>
              </w:rPr>
              <w:t>0,2</w:t>
            </w:r>
          </w:p>
        </w:tc>
        <w:tc>
          <w:tcPr>
            <w:tcW w:w="626" w:type="pct"/>
          </w:tcPr>
          <w:p w:rsidR="00FD36B6" w:rsidRPr="008F4D8C" w:rsidRDefault="00FD36B6" w:rsidP="00FD36B6">
            <w:pPr>
              <w:pStyle w:val="tabtekst"/>
              <w:jc w:val="center"/>
              <w:rPr>
                <w:i/>
                <w:color w:val="auto"/>
                <w:sz w:val="18"/>
                <w:szCs w:val="18"/>
              </w:rPr>
            </w:pPr>
            <w:r w:rsidRPr="008F4D8C">
              <w:rPr>
                <w:i/>
                <w:color w:val="auto"/>
                <w:sz w:val="18"/>
                <w:szCs w:val="18"/>
              </w:rPr>
              <w:t>0,2</w:t>
            </w:r>
          </w:p>
        </w:tc>
        <w:tc>
          <w:tcPr>
            <w:tcW w:w="620" w:type="pct"/>
          </w:tcPr>
          <w:p w:rsidR="00FD36B6" w:rsidRPr="008F4D8C" w:rsidRDefault="00FD36B6" w:rsidP="00FD36B6">
            <w:pPr>
              <w:pStyle w:val="tabtekst"/>
              <w:jc w:val="center"/>
              <w:rPr>
                <w:i/>
                <w:color w:val="auto"/>
                <w:sz w:val="18"/>
                <w:szCs w:val="18"/>
              </w:rPr>
            </w:pPr>
            <w:r w:rsidRPr="008F4D8C">
              <w:rPr>
                <w:i/>
                <w:color w:val="auto"/>
                <w:sz w:val="18"/>
                <w:szCs w:val="18"/>
              </w:rPr>
              <w:t>0,2</w:t>
            </w:r>
          </w:p>
        </w:tc>
      </w:tr>
    </w:tbl>
    <w:p w:rsidR="00FD36B6" w:rsidRPr="008F4D8C" w:rsidRDefault="00FD36B6" w:rsidP="008F4D8C">
      <w:pPr>
        <w:pStyle w:val="cipari"/>
        <w:rPr>
          <w:i/>
          <w:sz w:val="20"/>
        </w:rPr>
      </w:pPr>
      <w:r w:rsidRPr="008F4D8C">
        <w:rPr>
          <w:i/>
          <w:sz w:val="14"/>
          <w:szCs w:val="18"/>
        </w:rPr>
        <w:t xml:space="preserve"> </w:t>
      </w:r>
      <w:r w:rsidRPr="008F4D8C">
        <w:rPr>
          <w:i/>
          <w:sz w:val="20"/>
        </w:rPr>
        <w:t>*saskaņā ar likumprojektu „Par valsts budžetu 2021.</w:t>
      </w:r>
      <w:r w:rsidR="008F4D8C">
        <w:rPr>
          <w:i/>
          <w:sz w:val="20"/>
        </w:rPr>
        <w:t xml:space="preserve"> </w:t>
      </w:r>
      <w:r w:rsidRPr="008F4D8C">
        <w:rPr>
          <w:i/>
          <w:sz w:val="20"/>
        </w:rPr>
        <w:t>gadam”</w:t>
      </w:r>
    </w:p>
    <w:p w:rsidR="00FD36B6" w:rsidRPr="00DE0290" w:rsidRDefault="00FD36B6" w:rsidP="00DE0290">
      <w:pPr>
        <w:pStyle w:val="H4"/>
        <w:spacing w:before="240"/>
      </w:pPr>
      <w:r w:rsidRPr="00DE0290">
        <w:rPr>
          <w:szCs w:val="28"/>
        </w:rPr>
        <w:t>Transportlīdzekļu ekspluatācijas nodoklis</w:t>
      </w:r>
    </w:p>
    <w:p w:rsidR="00930C1A" w:rsidRPr="00930C1A" w:rsidRDefault="00930C1A" w:rsidP="00930C1A">
      <w:pPr>
        <w:rPr>
          <w:szCs w:val="24"/>
        </w:rPr>
      </w:pPr>
      <w:r w:rsidRPr="00930C1A">
        <w:rPr>
          <w:szCs w:val="24"/>
        </w:rPr>
        <w:t>Transportlīdzekļu ekspluatācijas nodokļa ieņēmumi 2020.gada sešos mēnešos bija 50,8 milj. </w:t>
      </w:r>
      <w:proofErr w:type="spellStart"/>
      <w:r w:rsidRPr="00930C1A">
        <w:rPr>
          <w:i/>
          <w:szCs w:val="24"/>
        </w:rPr>
        <w:t>euro</w:t>
      </w:r>
      <w:proofErr w:type="spellEnd"/>
      <w:r w:rsidRPr="00930C1A">
        <w:rPr>
          <w:szCs w:val="24"/>
        </w:rPr>
        <w:t>, kas salīdzinājumā ar 2019.gada sešiem mēnešiem ir par 0,3 milj. </w:t>
      </w:r>
      <w:proofErr w:type="spellStart"/>
      <w:r w:rsidRPr="00930C1A">
        <w:rPr>
          <w:i/>
          <w:szCs w:val="24"/>
        </w:rPr>
        <w:t>euro</w:t>
      </w:r>
      <w:proofErr w:type="spellEnd"/>
      <w:r w:rsidRPr="00930C1A">
        <w:rPr>
          <w:szCs w:val="24"/>
        </w:rPr>
        <w:t xml:space="preserve"> jeb 0,6% mazāk. Salīdzinājumā ar 2020.gada sešu mēnešu plānu ieņēmumi atpaliek par 2,8 milj. </w:t>
      </w:r>
      <w:proofErr w:type="spellStart"/>
      <w:r w:rsidRPr="00930C1A">
        <w:rPr>
          <w:i/>
          <w:szCs w:val="24"/>
        </w:rPr>
        <w:t>euro</w:t>
      </w:r>
      <w:proofErr w:type="spellEnd"/>
      <w:r w:rsidRPr="00930C1A">
        <w:rPr>
          <w:szCs w:val="24"/>
        </w:rPr>
        <w:t xml:space="preserve"> jeb 5,3 procentiem.. </w:t>
      </w:r>
      <w:r w:rsidRPr="00930C1A">
        <w:t xml:space="preserve">Nodokļa plāna neizpilde saistīta ar 2020.gada 12.martā visā valsts teritorijā izsludināto ārkārtējo situāciju līdz 2020.gada 9.jūnijam ar mērķi ierobežot Covid-19 izplatību ārkārtējās situācijas spēkā esamības laikā. Līdz ar to prognoze 2020.gadam ir samazināta par 4,4 milj. </w:t>
      </w:r>
      <w:proofErr w:type="spellStart"/>
      <w:r w:rsidRPr="00930C1A">
        <w:rPr>
          <w:i/>
        </w:rPr>
        <w:t>euro</w:t>
      </w:r>
      <w:proofErr w:type="spellEnd"/>
      <w:r w:rsidRPr="00930C1A">
        <w:rPr>
          <w:i/>
        </w:rPr>
        <w:t xml:space="preserve"> </w:t>
      </w:r>
      <w:r w:rsidRPr="00930C1A">
        <w:t>jeb par 4,4% no plāna.</w:t>
      </w:r>
    </w:p>
    <w:p w:rsidR="00930C1A" w:rsidRPr="00930C1A" w:rsidRDefault="00930C1A" w:rsidP="00930C1A">
      <w:r w:rsidRPr="00930C1A">
        <w:t>Saskaņā ar likumprojektu „Par valsts budžetu 2021.gadam” transportlīdzekļu ekspluatācijas nodokļa ieņēmumi 2021.gadā tiek plānoti 103,7 milj. </w:t>
      </w:r>
      <w:proofErr w:type="spellStart"/>
      <w:r w:rsidRPr="00930C1A">
        <w:rPr>
          <w:i/>
        </w:rPr>
        <w:t>euro</w:t>
      </w:r>
      <w:proofErr w:type="spellEnd"/>
      <w:r w:rsidRPr="00930C1A">
        <w:t>, kas salīdzinājumā ar 2020.gada prognozi ir par 7,0 milj. </w:t>
      </w:r>
      <w:proofErr w:type="spellStart"/>
      <w:r w:rsidRPr="00930C1A">
        <w:rPr>
          <w:i/>
        </w:rPr>
        <w:t>euro</w:t>
      </w:r>
      <w:proofErr w:type="spellEnd"/>
      <w:r w:rsidRPr="00930C1A">
        <w:t xml:space="preserve"> jeb 7,3%</w:t>
      </w:r>
      <w:r w:rsidRPr="00930C1A" w:rsidDel="0045001E">
        <w:t xml:space="preserve"> </w:t>
      </w:r>
      <w:r w:rsidRPr="00930C1A">
        <w:t>vairāk.</w:t>
      </w:r>
    </w:p>
    <w:p w:rsidR="00930C1A" w:rsidRPr="00930C1A" w:rsidRDefault="00930C1A" w:rsidP="00930C1A">
      <w:pPr>
        <w:spacing w:before="120"/>
        <w:rPr>
          <w:szCs w:val="24"/>
        </w:rPr>
      </w:pPr>
      <w:r w:rsidRPr="00930C1A">
        <w:t xml:space="preserve">Sagatavojot transportlīdzekļu ekspluatācijas nodokļa ieņēmumu plānu 2021.gadam, tika </w:t>
      </w:r>
      <w:r w:rsidRPr="00930C1A">
        <w:rPr>
          <w:rFonts w:eastAsia="Calibri"/>
          <w:szCs w:val="24"/>
        </w:rPr>
        <w:t>ņemtas vērā 2020.gada transportlīdzekļu ekspluatācijas nodokļa ieņēmumu izpildes tendences un reģistrēto transportlīdzekļu, par kuriem maksājams nodoklis, struktūra un skaita pieaugums.</w:t>
      </w:r>
      <w:r w:rsidRPr="00930C1A">
        <w:rPr>
          <w:szCs w:val="24"/>
        </w:rPr>
        <w:t xml:space="preserve"> Tāpat, 2020.gada 9.oktobrī Ministru kabinetā tika atbalstīti pasākumi, kas, sākot ar 2021.gadu, paredz:</w:t>
      </w:r>
    </w:p>
    <w:p w:rsidR="00930C1A" w:rsidRPr="00930C1A" w:rsidRDefault="00930C1A" w:rsidP="00930C1A">
      <w:pPr>
        <w:pStyle w:val="ListParagraph"/>
        <w:numPr>
          <w:ilvl w:val="0"/>
          <w:numId w:val="32"/>
        </w:numPr>
        <w:spacing w:before="120"/>
        <w:rPr>
          <w:szCs w:val="24"/>
        </w:rPr>
      </w:pPr>
      <w:r w:rsidRPr="00930C1A">
        <w:rPr>
          <w:iCs/>
          <w:lang w:eastAsia="lv-LV"/>
        </w:rPr>
        <w:t xml:space="preserve">piemērot jaunu transportlīdzekļa ekspluatācijas nodokļa likmju aprēķinu kravas transportlīdzekļiem ar pilnu masu no 3500 kg līdz 12000 kg, ņemot vērā EURO izmešu līmeni, kravas transportlīdzekļiem ar pilnu masu no 3,5 t līdz 12 t, ņemot vērā EURO izmešu līmeni, kravas transportlīdzekļiem ar pilnu masu virs 12 t un seglu vilcējiem, ņemot vērā EURO izmešu līmeni un asu skaitu (fiskālā ietekme +4,3 milj. </w:t>
      </w:r>
      <w:proofErr w:type="spellStart"/>
      <w:r w:rsidRPr="00930C1A">
        <w:rPr>
          <w:i/>
          <w:iCs/>
          <w:lang w:eastAsia="lv-LV"/>
        </w:rPr>
        <w:t>euro</w:t>
      </w:r>
      <w:proofErr w:type="spellEnd"/>
      <w:r w:rsidRPr="00930C1A">
        <w:rPr>
          <w:iCs/>
          <w:lang w:eastAsia="lv-LV"/>
        </w:rPr>
        <w:t>);</w:t>
      </w:r>
    </w:p>
    <w:p w:rsidR="00930C1A" w:rsidRPr="00930C1A" w:rsidRDefault="00930C1A" w:rsidP="00930C1A">
      <w:pPr>
        <w:pStyle w:val="ListParagraph"/>
        <w:numPr>
          <w:ilvl w:val="0"/>
          <w:numId w:val="31"/>
        </w:numPr>
        <w:spacing w:before="120"/>
        <w:rPr>
          <w:szCs w:val="24"/>
        </w:rPr>
      </w:pPr>
      <w:r w:rsidRPr="00930C1A">
        <w:rPr>
          <w:szCs w:val="24"/>
        </w:rPr>
        <w:t xml:space="preserve">piemērot kravas transportlīdzekļiem ar pilnu masu līdz </w:t>
      </w:r>
      <w:r w:rsidRPr="00930C1A">
        <w:rPr>
          <w:iCs/>
          <w:lang w:eastAsia="lv-LV"/>
        </w:rPr>
        <w:t>3 500 kg (kategorija N1) vieglo transportlīdzekļu ekspluatācijas nodokļa piemērošanas principus (fiskālā ietekme neitrāla);</w:t>
      </w:r>
    </w:p>
    <w:p w:rsidR="00930C1A" w:rsidRPr="00930C1A" w:rsidRDefault="00930C1A" w:rsidP="00930C1A">
      <w:pPr>
        <w:pStyle w:val="ListParagraph"/>
        <w:numPr>
          <w:ilvl w:val="0"/>
          <w:numId w:val="31"/>
        </w:numPr>
        <w:spacing w:before="120"/>
        <w:rPr>
          <w:szCs w:val="24"/>
        </w:rPr>
      </w:pPr>
      <w:r w:rsidRPr="00930C1A">
        <w:rPr>
          <w:iCs/>
          <w:lang w:eastAsia="lv-LV"/>
        </w:rPr>
        <w:t xml:space="preserve">noapaļot transportlīdzekļa nodokļa likmes motocikliem, tricikliem, kvadricikliem (fiskālā ietekme +0,03 milj. </w:t>
      </w:r>
      <w:proofErr w:type="spellStart"/>
      <w:r w:rsidRPr="00930C1A">
        <w:rPr>
          <w:i/>
          <w:iCs/>
          <w:lang w:eastAsia="lv-LV"/>
        </w:rPr>
        <w:t>euro</w:t>
      </w:r>
      <w:proofErr w:type="spellEnd"/>
      <w:r w:rsidRPr="00930C1A">
        <w:rPr>
          <w:iCs/>
          <w:lang w:eastAsia="lv-LV"/>
        </w:rPr>
        <w:t>);</w:t>
      </w:r>
    </w:p>
    <w:p w:rsidR="00930C1A" w:rsidRPr="00930C1A" w:rsidRDefault="00930C1A" w:rsidP="00930C1A">
      <w:pPr>
        <w:pStyle w:val="ListParagraph"/>
        <w:numPr>
          <w:ilvl w:val="0"/>
          <w:numId w:val="31"/>
        </w:numPr>
        <w:spacing w:before="120"/>
        <w:rPr>
          <w:szCs w:val="24"/>
        </w:rPr>
      </w:pPr>
      <w:r w:rsidRPr="00930C1A">
        <w:rPr>
          <w:iCs/>
          <w:lang w:eastAsia="lv-LV"/>
        </w:rPr>
        <w:t xml:space="preserve">noapaļot transportlīdzekļa nodokļa likmes autobusiem ar pilnu masu virs 3500 kg (fiskālā ietekme +0,3 milj. </w:t>
      </w:r>
      <w:proofErr w:type="spellStart"/>
      <w:r w:rsidRPr="00930C1A">
        <w:rPr>
          <w:i/>
          <w:iCs/>
          <w:lang w:eastAsia="lv-LV"/>
        </w:rPr>
        <w:t>euro</w:t>
      </w:r>
      <w:proofErr w:type="spellEnd"/>
      <w:r w:rsidRPr="00930C1A">
        <w:rPr>
          <w:iCs/>
          <w:lang w:eastAsia="lv-LV"/>
        </w:rPr>
        <w:t>);</w:t>
      </w:r>
    </w:p>
    <w:p w:rsidR="00930C1A" w:rsidRPr="00930C1A" w:rsidRDefault="00930C1A" w:rsidP="00930C1A">
      <w:pPr>
        <w:pStyle w:val="ListParagraph"/>
        <w:numPr>
          <w:ilvl w:val="0"/>
          <w:numId w:val="31"/>
        </w:numPr>
        <w:spacing w:before="120"/>
        <w:rPr>
          <w:szCs w:val="24"/>
        </w:rPr>
      </w:pPr>
      <w:r w:rsidRPr="00930C1A">
        <w:rPr>
          <w:szCs w:val="24"/>
        </w:rPr>
        <w:lastRenderedPageBreak/>
        <w:t xml:space="preserve">noapaļot transportlīdzekļa ekspluatācijas nodokļa likmes </w:t>
      </w:r>
      <w:proofErr w:type="spellStart"/>
      <w:r w:rsidRPr="00930C1A">
        <w:rPr>
          <w:szCs w:val="24"/>
        </w:rPr>
        <w:t>vienass</w:t>
      </w:r>
      <w:proofErr w:type="spellEnd"/>
      <w:r w:rsidRPr="00930C1A">
        <w:rPr>
          <w:szCs w:val="24"/>
        </w:rPr>
        <w:t xml:space="preserve"> piekabēm un puspiekabēm, ka arī pilnveidot transportlīdzekļa ekspluatācijas nodokļa likmes </w:t>
      </w:r>
      <w:proofErr w:type="spellStart"/>
      <w:r w:rsidRPr="00930C1A">
        <w:rPr>
          <w:szCs w:val="24"/>
        </w:rPr>
        <w:t>divasu</w:t>
      </w:r>
      <w:proofErr w:type="spellEnd"/>
      <w:r w:rsidRPr="00930C1A">
        <w:rPr>
          <w:szCs w:val="24"/>
        </w:rPr>
        <w:t xml:space="preserve">, </w:t>
      </w:r>
      <w:proofErr w:type="spellStart"/>
      <w:r w:rsidRPr="00930C1A">
        <w:rPr>
          <w:szCs w:val="24"/>
        </w:rPr>
        <w:t>trīsasu</w:t>
      </w:r>
      <w:proofErr w:type="spellEnd"/>
      <w:r w:rsidRPr="00930C1A">
        <w:rPr>
          <w:szCs w:val="24"/>
        </w:rPr>
        <w:t xml:space="preserve"> un vairāku asu piekabēm un puspiekabēm  (fiskālā ietekme neitrāla);</w:t>
      </w:r>
    </w:p>
    <w:p w:rsidR="00930C1A" w:rsidRPr="00930C1A" w:rsidRDefault="00930C1A" w:rsidP="00930C1A">
      <w:pPr>
        <w:pStyle w:val="ListParagraph"/>
        <w:numPr>
          <w:ilvl w:val="0"/>
          <w:numId w:val="31"/>
        </w:numPr>
        <w:spacing w:before="120"/>
        <w:rPr>
          <w:szCs w:val="24"/>
        </w:rPr>
      </w:pPr>
      <w:r w:rsidRPr="00930C1A">
        <w:rPr>
          <w:iCs/>
          <w:lang w:eastAsia="lv-LV"/>
        </w:rPr>
        <w:t>piemērot jaunu transportlīdzekļa ekspluatācijas nodokļa likmju aprēķinu tiem transportlīdzekļiem, kuriem CO</w:t>
      </w:r>
      <w:r w:rsidRPr="00930C1A">
        <w:rPr>
          <w:iCs/>
          <w:vertAlign w:val="superscript"/>
          <w:lang w:eastAsia="lv-LV"/>
        </w:rPr>
        <w:t>2</w:t>
      </w:r>
      <w:r w:rsidRPr="00930C1A">
        <w:rPr>
          <w:iCs/>
          <w:lang w:eastAsia="lv-LV"/>
        </w:rPr>
        <w:t xml:space="preserve"> </w:t>
      </w:r>
      <w:proofErr w:type="spellStart"/>
      <w:r w:rsidRPr="00930C1A">
        <w:rPr>
          <w:iCs/>
          <w:lang w:eastAsia="lv-LV"/>
        </w:rPr>
        <w:t>izmeši</w:t>
      </w:r>
      <w:proofErr w:type="spellEnd"/>
      <w:r w:rsidRPr="00930C1A">
        <w:rPr>
          <w:iCs/>
          <w:lang w:eastAsia="lv-LV"/>
        </w:rPr>
        <w:t xml:space="preserve"> ir noteikti atbilstoši jaunajai CO</w:t>
      </w:r>
      <w:r w:rsidRPr="00930C1A">
        <w:rPr>
          <w:iCs/>
          <w:vertAlign w:val="superscript"/>
          <w:lang w:eastAsia="lv-LV"/>
        </w:rPr>
        <w:t>2</w:t>
      </w:r>
      <w:r w:rsidRPr="00930C1A">
        <w:rPr>
          <w:iCs/>
          <w:lang w:eastAsia="lv-LV"/>
        </w:rPr>
        <w:t xml:space="preserve"> izmešu metodei (WLTP) (fiskālā ietekme neitrāla).</w:t>
      </w:r>
    </w:p>
    <w:p w:rsidR="00930C1A" w:rsidRPr="00930C1A" w:rsidRDefault="00930C1A" w:rsidP="00930C1A">
      <w:pPr>
        <w:jc w:val="center"/>
        <w:rPr>
          <w:b/>
        </w:rPr>
      </w:pPr>
      <w:r w:rsidRPr="00930C1A">
        <w:rPr>
          <w:b/>
          <w:i/>
        </w:rPr>
        <w:t>3.14. tabula.</w:t>
      </w:r>
      <w:r w:rsidRPr="00930C1A">
        <w:rPr>
          <w:b/>
        </w:rPr>
        <w:t xml:space="preserve"> Transportlīdzekļa ekspluatācijas nodokļa ieņēmumi</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816"/>
        <w:gridCol w:w="850"/>
        <w:gridCol w:w="778"/>
        <w:gridCol w:w="915"/>
        <w:gridCol w:w="1425"/>
      </w:tblGrid>
      <w:tr w:rsidR="00930C1A" w:rsidRPr="00930C1A" w:rsidTr="00F74A5E">
        <w:trPr>
          <w:trHeight w:val="215"/>
          <w:tblHeader/>
          <w:jc w:val="center"/>
        </w:trPr>
        <w:tc>
          <w:tcPr>
            <w:tcW w:w="2741" w:type="pct"/>
            <w:vMerge w:val="restart"/>
            <w:shd w:val="clear" w:color="auto" w:fill="D9D9D9" w:themeFill="background1" w:themeFillShade="D9"/>
          </w:tcPr>
          <w:p w:rsidR="00930C1A" w:rsidRPr="00930C1A" w:rsidRDefault="00930C1A" w:rsidP="00F74A5E">
            <w:pPr>
              <w:pStyle w:val="tabtekst"/>
              <w:rPr>
                <w:b/>
                <w:color w:val="000000" w:themeColor="text1"/>
              </w:rPr>
            </w:pPr>
          </w:p>
        </w:tc>
        <w:tc>
          <w:tcPr>
            <w:tcW w:w="484" w:type="pct"/>
            <w:tcBorders>
              <w:bottom w:val="single" w:sz="4" w:space="0" w:color="auto"/>
            </w:tcBorders>
            <w:shd w:val="clear" w:color="auto" w:fill="D9D9D9" w:themeFill="background1" w:themeFillShade="D9"/>
          </w:tcPr>
          <w:p w:rsidR="00930C1A" w:rsidRPr="00930C1A" w:rsidRDefault="00930C1A" w:rsidP="00F74A5E">
            <w:pPr>
              <w:pStyle w:val="tabtekst"/>
              <w:jc w:val="center"/>
              <w:rPr>
                <w:b/>
                <w:color w:val="000000" w:themeColor="text1"/>
              </w:rPr>
            </w:pPr>
            <w:r w:rsidRPr="00930C1A">
              <w:rPr>
                <w:b/>
                <w:color w:val="000000" w:themeColor="text1"/>
              </w:rPr>
              <w:t>2018</w:t>
            </w:r>
          </w:p>
        </w:tc>
        <w:tc>
          <w:tcPr>
            <w:tcW w:w="443" w:type="pct"/>
            <w:tcBorders>
              <w:bottom w:val="single" w:sz="4" w:space="0" w:color="auto"/>
            </w:tcBorders>
            <w:shd w:val="clear" w:color="auto" w:fill="D9D9D9" w:themeFill="background1" w:themeFillShade="D9"/>
          </w:tcPr>
          <w:p w:rsidR="00930C1A" w:rsidRPr="00930C1A" w:rsidRDefault="00930C1A" w:rsidP="00F74A5E">
            <w:pPr>
              <w:pStyle w:val="tabtekst"/>
              <w:jc w:val="center"/>
              <w:rPr>
                <w:b/>
                <w:color w:val="000000" w:themeColor="text1"/>
              </w:rPr>
            </w:pPr>
            <w:r w:rsidRPr="00930C1A">
              <w:rPr>
                <w:b/>
                <w:color w:val="000000" w:themeColor="text1"/>
              </w:rPr>
              <w:t>2019</w:t>
            </w:r>
          </w:p>
        </w:tc>
        <w:tc>
          <w:tcPr>
            <w:tcW w:w="521" w:type="pct"/>
            <w:shd w:val="clear" w:color="auto" w:fill="D9D9D9" w:themeFill="background1" w:themeFillShade="D9"/>
          </w:tcPr>
          <w:p w:rsidR="00930C1A" w:rsidRPr="00930C1A" w:rsidRDefault="00930C1A" w:rsidP="00F74A5E">
            <w:pPr>
              <w:pStyle w:val="tabtekst"/>
              <w:jc w:val="center"/>
              <w:rPr>
                <w:b/>
                <w:color w:val="000000" w:themeColor="text1"/>
              </w:rPr>
            </w:pPr>
            <w:r w:rsidRPr="00930C1A">
              <w:rPr>
                <w:b/>
                <w:color w:val="000000" w:themeColor="text1"/>
              </w:rPr>
              <w:t>2020</w:t>
            </w:r>
          </w:p>
        </w:tc>
        <w:tc>
          <w:tcPr>
            <w:tcW w:w="811" w:type="pct"/>
            <w:shd w:val="clear" w:color="auto" w:fill="D9D9D9" w:themeFill="background1" w:themeFillShade="D9"/>
          </w:tcPr>
          <w:p w:rsidR="00930C1A" w:rsidRPr="00930C1A" w:rsidRDefault="00930C1A" w:rsidP="00F74A5E">
            <w:pPr>
              <w:pStyle w:val="tabtekst"/>
              <w:jc w:val="center"/>
              <w:rPr>
                <w:b/>
                <w:color w:val="000000" w:themeColor="text1"/>
              </w:rPr>
            </w:pPr>
            <w:r w:rsidRPr="00930C1A">
              <w:rPr>
                <w:b/>
                <w:color w:val="000000" w:themeColor="text1"/>
              </w:rPr>
              <w:t>2021</w:t>
            </w:r>
          </w:p>
        </w:tc>
      </w:tr>
      <w:tr w:rsidR="00930C1A" w:rsidRPr="00930C1A" w:rsidTr="00F74A5E">
        <w:trPr>
          <w:trHeight w:val="215"/>
          <w:tblHeader/>
          <w:jc w:val="center"/>
        </w:trPr>
        <w:tc>
          <w:tcPr>
            <w:tcW w:w="2741" w:type="pct"/>
            <w:vMerge/>
            <w:shd w:val="clear" w:color="auto" w:fill="D9D9D9" w:themeFill="background1" w:themeFillShade="D9"/>
          </w:tcPr>
          <w:p w:rsidR="00930C1A" w:rsidRPr="00930C1A" w:rsidRDefault="00930C1A" w:rsidP="00F74A5E">
            <w:pPr>
              <w:pStyle w:val="tabtekst"/>
              <w:rPr>
                <w:b/>
                <w:color w:val="000000" w:themeColor="text1"/>
              </w:rPr>
            </w:pPr>
          </w:p>
        </w:tc>
        <w:tc>
          <w:tcPr>
            <w:tcW w:w="927" w:type="pct"/>
            <w:gridSpan w:val="2"/>
            <w:shd w:val="clear" w:color="auto" w:fill="D9D9D9" w:themeFill="background1" w:themeFillShade="D9"/>
          </w:tcPr>
          <w:p w:rsidR="00930C1A" w:rsidRPr="00930C1A" w:rsidRDefault="00930C1A" w:rsidP="00F74A5E">
            <w:pPr>
              <w:pStyle w:val="tabtekst"/>
              <w:jc w:val="center"/>
              <w:rPr>
                <w:color w:val="000000" w:themeColor="text1"/>
              </w:rPr>
            </w:pPr>
            <w:r w:rsidRPr="00930C1A">
              <w:rPr>
                <w:color w:val="000000" w:themeColor="text1"/>
              </w:rPr>
              <w:t>fakts</w:t>
            </w:r>
          </w:p>
        </w:tc>
        <w:tc>
          <w:tcPr>
            <w:tcW w:w="521" w:type="pct"/>
            <w:shd w:val="clear" w:color="auto" w:fill="D9D9D9" w:themeFill="background1" w:themeFillShade="D9"/>
          </w:tcPr>
          <w:p w:rsidR="00930C1A" w:rsidRPr="00930C1A" w:rsidRDefault="00930C1A" w:rsidP="00F74A5E">
            <w:pPr>
              <w:pStyle w:val="tabtekst"/>
              <w:jc w:val="center"/>
              <w:rPr>
                <w:color w:val="000000" w:themeColor="text1"/>
              </w:rPr>
            </w:pPr>
            <w:r w:rsidRPr="00930C1A">
              <w:rPr>
                <w:color w:val="000000" w:themeColor="text1"/>
              </w:rPr>
              <w:t>prognoze</w:t>
            </w:r>
          </w:p>
        </w:tc>
        <w:tc>
          <w:tcPr>
            <w:tcW w:w="811" w:type="pct"/>
            <w:shd w:val="clear" w:color="auto" w:fill="D9D9D9" w:themeFill="background1" w:themeFillShade="D9"/>
          </w:tcPr>
          <w:p w:rsidR="00930C1A" w:rsidRPr="00930C1A" w:rsidRDefault="00930C1A" w:rsidP="00F74A5E">
            <w:pPr>
              <w:pStyle w:val="tabtekst"/>
              <w:jc w:val="center"/>
              <w:rPr>
                <w:color w:val="000000" w:themeColor="text1"/>
              </w:rPr>
            </w:pPr>
            <w:r w:rsidRPr="00930C1A">
              <w:rPr>
                <w:color w:val="000000" w:themeColor="text1"/>
              </w:rPr>
              <w:t>plāns*</w:t>
            </w:r>
          </w:p>
        </w:tc>
      </w:tr>
      <w:tr w:rsidR="00930C1A" w:rsidRPr="00930C1A" w:rsidTr="00F74A5E">
        <w:trPr>
          <w:trHeight w:val="431"/>
          <w:jc w:val="center"/>
        </w:trPr>
        <w:tc>
          <w:tcPr>
            <w:tcW w:w="2741" w:type="pct"/>
            <w:shd w:val="clear" w:color="auto" w:fill="auto"/>
          </w:tcPr>
          <w:p w:rsidR="00930C1A" w:rsidRPr="00930C1A" w:rsidRDefault="00930C1A" w:rsidP="00F74A5E">
            <w:pPr>
              <w:pStyle w:val="tabtekst"/>
              <w:rPr>
                <w:color w:val="000000" w:themeColor="text1"/>
              </w:rPr>
            </w:pPr>
            <w:r w:rsidRPr="00930C1A">
              <w:rPr>
                <w:b/>
                <w:color w:val="auto"/>
                <w:lang w:eastAsia="lv-LV"/>
              </w:rPr>
              <w:t>Transportlīdzekļa ekspluatācijas nodoklis,</w:t>
            </w:r>
            <w:r w:rsidRPr="00930C1A">
              <w:rPr>
                <w:color w:val="auto"/>
                <w:lang w:eastAsia="lv-LV"/>
              </w:rPr>
              <w:t xml:space="preserve"> milj. </w:t>
            </w:r>
            <w:proofErr w:type="spellStart"/>
            <w:r w:rsidRPr="00930C1A">
              <w:rPr>
                <w:i/>
                <w:color w:val="auto"/>
                <w:lang w:eastAsia="lv-LV"/>
              </w:rPr>
              <w:t>euro</w:t>
            </w:r>
            <w:proofErr w:type="spellEnd"/>
          </w:p>
        </w:tc>
        <w:tc>
          <w:tcPr>
            <w:tcW w:w="484" w:type="pct"/>
            <w:tcBorders>
              <w:bottom w:val="single" w:sz="4" w:space="0" w:color="auto"/>
            </w:tcBorders>
            <w:shd w:val="clear" w:color="auto" w:fill="auto"/>
            <w:vAlign w:val="center"/>
          </w:tcPr>
          <w:p w:rsidR="00930C1A" w:rsidRPr="00930C1A" w:rsidRDefault="00930C1A" w:rsidP="00F74A5E">
            <w:pPr>
              <w:spacing w:after="0"/>
              <w:ind w:firstLine="0"/>
              <w:jc w:val="center"/>
              <w:rPr>
                <w:b/>
                <w:snapToGrid w:val="0"/>
                <w:color w:val="000000" w:themeColor="text1"/>
                <w:sz w:val="20"/>
              </w:rPr>
            </w:pPr>
            <w:r w:rsidRPr="00930C1A">
              <w:rPr>
                <w:b/>
                <w:snapToGrid w:val="0"/>
                <w:color w:val="000000" w:themeColor="text1"/>
                <w:sz w:val="20"/>
              </w:rPr>
              <w:t>94,3</w:t>
            </w:r>
          </w:p>
        </w:tc>
        <w:tc>
          <w:tcPr>
            <w:tcW w:w="443" w:type="pct"/>
            <w:tcBorders>
              <w:bottom w:val="single" w:sz="4" w:space="0" w:color="auto"/>
            </w:tcBorders>
            <w:shd w:val="clear" w:color="auto" w:fill="auto"/>
            <w:vAlign w:val="center"/>
          </w:tcPr>
          <w:p w:rsidR="00930C1A" w:rsidRPr="00930C1A" w:rsidRDefault="00930C1A" w:rsidP="00F74A5E">
            <w:pPr>
              <w:spacing w:after="0"/>
              <w:ind w:firstLine="0"/>
              <w:jc w:val="center"/>
              <w:rPr>
                <w:b/>
                <w:snapToGrid w:val="0"/>
                <w:color w:val="000000" w:themeColor="text1"/>
                <w:sz w:val="20"/>
              </w:rPr>
            </w:pPr>
            <w:r w:rsidRPr="00930C1A">
              <w:rPr>
                <w:b/>
                <w:snapToGrid w:val="0"/>
                <w:color w:val="000000" w:themeColor="text1"/>
                <w:sz w:val="20"/>
              </w:rPr>
              <w:t>95,3</w:t>
            </w:r>
          </w:p>
        </w:tc>
        <w:tc>
          <w:tcPr>
            <w:tcW w:w="521" w:type="pct"/>
            <w:tcBorders>
              <w:bottom w:val="single" w:sz="4" w:space="0" w:color="auto"/>
            </w:tcBorders>
            <w:vAlign w:val="center"/>
          </w:tcPr>
          <w:p w:rsidR="00930C1A" w:rsidRPr="00930C1A" w:rsidRDefault="00930C1A" w:rsidP="00F74A5E">
            <w:pPr>
              <w:spacing w:after="0"/>
              <w:ind w:firstLine="0"/>
              <w:jc w:val="center"/>
              <w:rPr>
                <w:b/>
                <w:snapToGrid w:val="0"/>
                <w:color w:val="000000" w:themeColor="text1"/>
                <w:sz w:val="20"/>
              </w:rPr>
            </w:pPr>
            <w:r w:rsidRPr="00930C1A">
              <w:rPr>
                <w:b/>
                <w:snapToGrid w:val="0"/>
                <w:color w:val="000000" w:themeColor="text1"/>
                <w:sz w:val="20"/>
              </w:rPr>
              <w:t>96,6</w:t>
            </w:r>
          </w:p>
        </w:tc>
        <w:tc>
          <w:tcPr>
            <w:tcW w:w="811" w:type="pct"/>
            <w:tcBorders>
              <w:bottom w:val="single" w:sz="4" w:space="0" w:color="auto"/>
            </w:tcBorders>
            <w:shd w:val="clear" w:color="auto" w:fill="auto"/>
            <w:vAlign w:val="center"/>
          </w:tcPr>
          <w:p w:rsidR="00930C1A" w:rsidRPr="00930C1A" w:rsidRDefault="00930C1A" w:rsidP="00F74A5E">
            <w:pPr>
              <w:spacing w:after="0"/>
              <w:ind w:firstLine="0"/>
              <w:jc w:val="center"/>
              <w:rPr>
                <w:b/>
                <w:snapToGrid w:val="0"/>
                <w:color w:val="000000" w:themeColor="text1"/>
                <w:sz w:val="20"/>
              </w:rPr>
            </w:pPr>
            <w:r w:rsidRPr="00930C1A">
              <w:rPr>
                <w:b/>
                <w:snapToGrid w:val="0"/>
                <w:color w:val="000000" w:themeColor="text1"/>
                <w:sz w:val="20"/>
              </w:rPr>
              <w:t>103,7</w:t>
            </w:r>
          </w:p>
        </w:tc>
      </w:tr>
      <w:tr w:rsidR="00930C1A" w:rsidRPr="00930C1A" w:rsidTr="00F74A5E">
        <w:trPr>
          <w:trHeight w:val="215"/>
          <w:jc w:val="center"/>
        </w:trPr>
        <w:tc>
          <w:tcPr>
            <w:tcW w:w="2741" w:type="pct"/>
            <w:shd w:val="clear" w:color="auto" w:fill="auto"/>
          </w:tcPr>
          <w:p w:rsidR="00930C1A" w:rsidRPr="00930C1A" w:rsidRDefault="00930C1A" w:rsidP="00F74A5E">
            <w:pPr>
              <w:pStyle w:val="tabtekst"/>
              <w:rPr>
                <w:i/>
                <w:color w:val="000000" w:themeColor="text1"/>
              </w:rPr>
            </w:pPr>
            <w:r w:rsidRPr="00930C1A">
              <w:rPr>
                <w:i/>
                <w:color w:val="000000" w:themeColor="text1"/>
              </w:rPr>
              <w:t xml:space="preserve">   pieauguma tempi faktiskās cenās, %</w:t>
            </w:r>
          </w:p>
        </w:tc>
        <w:tc>
          <w:tcPr>
            <w:tcW w:w="484" w:type="pct"/>
            <w:tcBorders>
              <w:top w:val="single" w:sz="4" w:space="0" w:color="auto"/>
              <w:left w:val="nil"/>
              <w:bottom w:val="single" w:sz="4" w:space="0" w:color="auto"/>
              <w:right w:val="single" w:sz="4" w:space="0" w:color="auto"/>
            </w:tcBorders>
            <w:shd w:val="clear" w:color="auto" w:fill="auto"/>
            <w:vAlign w:val="bottom"/>
          </w:tcPr>
          <w:p w:rsidR="00930C1A" w:rsidRPr="00930C1A" w:rsidRDefault="00930C1A" w:rsidP="00F74A5E">
            <w:pPr>
              <w:pStyle w:val="tabtekst"/>
              <w:jc w:val="center"/>
              <w:rPr>
                <w:i/>
                <w:color w:val="000000" w:themeColor="text1"/>
              </w:rPr>
            </w:pPr>
            <w:r w:rsidRPr="00930C1A">
              <w:rPr>
                <w:i/>
                <w:color w:val="000000" w:themeColor="text1"/>
              </w:rPr>
              <w:t>+3,6</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rsidR="00930C1A" w:rsidRPr="00930C1A" w:rsidRDefault="00930C1A" w:rsidP="00F74A5E">
            <w:pPr>
              <w:pStyle w:val="tabtekst"/>
              <w:jc w:val="center"/>
              <w:rPr>
                <w:i/>
                <w:color w:val="000000" w:themeColor="text1"/>
              </w:rPr>
            </w:pPr>
            <w:r w:rsidRPr="00930C1A">
              <w:rPr>
                <w:i/>
                <w:color w:val="000000" w:themeColor="text1"/>
              </w:rPr>
              <w:t>+1,1</w:t>
            </w:r>
          </w:p>
        </w:tc>
        <w:tc>
          <w:tcPr>
            <w:tcW w:w="521" w:type="pct"/>
            <w:tcBorders>
              <w:top w:val="single" w:sz="4" w:space="0" w:color="auto"/>
              <w:left w:val="single" w:sz="4" w:space="0" w:color="auto"/>
              <w:bottom w:val="single" w:sz="4" w:space="0" w:color="auto"/>
              <w:right w:val="single" w:sz="4" w:space="0" w:color="auto"/>
            </w:tcBorders>
          </w:tcPr>
          <w:p w:rsidR="00930C1A" w:rsidRPr="00930C1A" w:rsidRDefault="00930C1A" w:rsidP="00F74A5E">
            <w:pPr>
              <w:pStyle w:val="tabtekst"/>
              <w:jc w:val="center"/>
              <w:rPr>
                <w:i/>
                <w:color w:val="000000" w:themeColor="text1"/>
              </w:rPr>
            </w:pPr>
            <w:r w:rsidRPr="00930C1A">
              <w:rPr>
                <w:i/>
                <w:color w:val="000000" w:themeColor="text1"/>
              </w:rPr>
              <w:t>+1,4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930C1A" w:rsidRPr="00930C1A" w:rsidRDefault="00930C1A" w:rsidP="00F74A5E">
            <w:pPr>
              <w:pStyle w:val="tabtekst"/>
              <w:jc w:val="center"/>
              <w:rPr>
                <w:i/>
                <w:color w:val="000000" w:themeColor="text1"/>
              </w:rPr>
            </w:pPr>
            <w:r w:rsidRPr="00930C1A">
              <w:rPr>
                <w:i/>
                <w:color w:val="000000" w:themeColor="text1"/>
              </w:rPr>
              <w:t>+7,3</w:t>
            </w:r>
          </w:p>
        </w:tc>
      </w:tr>
      <w:tr w:rsidR="00930C1A" w:rsidRPr="00930C1A" w:rsidTr="00F74A5E">
        <w:trPr>
          <w:trHeight w:val="202"/>
          <w:jc w:val="center"/>
        </w:trPr>
        <w:tc>
          <w:tcPr>
            <w:tcW w:w="2741" w:type="pct"/>
          </w:tcPr>
          <w:p w:rsidR="00930C1A" w:rsidRPr="00930C1A" w:rsidRDefault="00930C1A" w:rsidP="00F74A5E">
            <w:pPr>
              <w:pStyle w:val="tabtekst"/>
              <w:rPr>
                <w:i/>
                <w:color w:val="000000" w:themeColor="text1"/>
              </w:rPr>
            </w:pPr>
            <w:r w:rsidRPr="00930C1A">
              <w:rPr>
                <w:i/>
                <w:color w:val="000000" w:themeColor="text1"/>
              </w:rPr>
              <w:t xml:space="preserve">   % no IKP</w:t>
            </w:r>
          </w:p>
        </w:tc>
        <w:tc>
          <w:tcPr>
            <w:tcW w:w="484" w:type="pct"/>
            <w:tcBorders>
              <w:top w:val="single" w:sz="4" w:space="0" w:color="auto"/>
              <w:left w:val="nil"/>
              <w:bottom w:val="single" w:sz="4" w:space="0" w:color="auto"/>
              <w:right w:val="single" w:sz="4" w:space="0" w:color="auto"/>
            </w:tcBorders>
            <w:shd w:val="clear" w:color="auto" w:fill="auto"/>
            <w:vAlign w:val="bottom"/>
          </w:tcPr>
          <w:p w:rsidR="00930C1A" w:rsidRPr="00930C1A" w:rsidRDefault="00930C1A" w:rsidP="00F74A5E">
            <w:pPr>
              <w:pStyle w:val="tabtekst"/>
              <w:jc w:val="center"/>
              <w:rPr>
                <w:i/>
                <w:color w:val="000000" w:themeColor="text1"/>
              </w:rPr>
            </w:pPr>
            <w:r w:rsidRPr="00930C1A">
              <w:rPr>
                <w:i/>
                <w:color w:val="000000" w:themeColor="text1"/>
              </w:rPr>
              <w:t>0,3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rsidR="00930C1A" w:rsidRPr="00930C1A" w:rsidRDefault="00930C1A" w:rsidP="00F74A5E">
            <w:pPr>
              <w:pStyle w:val="tabtekst"/>
              <w:jc w:val="center"/>
              <w:rPr>
                <w:i/>
                <w:color w:val="000000" w:themeColor="text1"/>
              </w:rPr>
            </w:pPr>
            <w:r w:rsidRPr="00930C1A">
              <w:rPr>
                <w:i/>
                <w:color w:val="000000" w:themeColor="text1"/>
              </w:rPr>
              <w:t>0,3</w:t>
            </w:r>
          </w:p>
        </w:tc>
        <w:tc>
          <w:tcPr>
            <w:tcW w:w="521" w:type="pct"/>
            <w:tcBorders>
              <w:top w:val="single" w:sz="4" w:space="0" w:color="auto"/>
              <w:left w:val="single" w:sz="4" w:space="0" w:color="auto"/>
              <w:bottom w:val="single" w:sz="4" w:space="0" w:color="auto"/>
              <w:right w:val="single" w:sz="4" w:space="0" w:color="auto"/>
            </w:tcBorders>
          </w:tcPr>
          <w:p w:rsidR="00930C1A" w:rsidRPr="00930C1A" w:rsidRDefault="00930C1A" w:rsidP="00F74A5E">
            <w:pPr>
              <w:pStyle w:val="tabtekst"/>
              <w:jc w:val="center"/>
              <w:rPr>
                <w:i/>
                <w:color w:val="000000" w:themeColor="text1"/>
              </w:rPr>
            </w:pPr>
            <w:r w:rsidRPr="00930C1A">
              <w:rPr>
                <w:i/>
                <w:color w:val="000000" w:themeColor="text1"/>
              </w:rPr>
              <w:t>0,3</w:t>
            </w:r>
          </w:p>
        </w:tc>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930C1A" w:rsidRPr="00930C1A" w:rsidRDefault="00930C1A" w:rsidP="00F74A5E">
            <w:pPr>
              <w:pStyle w:val="tabtekst"/>
              <w:jc w:val="center"/>
              <w:rPr>
                <w:i/>
                <w:color w:val="000000" w:themeColor="text1"/>
              </w:rPr>
            </w:pPr>
            <w:r w:rsidRPr="00930C1A">
              <w:rPr>
                <w:i/>
                <w:color w:val="000000" w:themeColor="text1"/>
              </w:rPr>
              <w:t>0,4</w:t>
            </w:r>
          </w:p>
        </w:tc>
      </w:tr>
    </w:tbl>
    <w:p w:rsidR="00930C1A" w:rsidRPr="005E14BE" w:rsidRDefault="00930C1A" w:rsidP="00930C1A">
      <w:pPr>
        <w:ind w:firstLine="0"/>
        <w:rPr>
          <w:b/>
        </w:rPr>
      </w:pPr>
      <w:r w:rsidRPr="00930C1A">
        <w:rPr>
          <w:b/>
          <w:i/>
          <w:sz w:val="20"/>
        </w:rPr>
        <w:t xml:space="preserve">  *</w:t>
      </w:r>
      <w:r w:rsidRPr="00930C1A">
        <w:rPr>
          <w:i/>
          <w:sz w:val="20"/>
        </w:rPr>
        <w:t>saskaņā ar likumprojektu „Par valsts budžetu 2021.gadam”</w:t>
      </w:r>
      <w:r w:rsidRPr="005E14BE">
        <w:rPr>
          <w:b/>
        </w:rPr>
        <w:t xml:space="preserve"> </w:t>
      </w:r>
    </w:p>
    <w:p w:rsidR="00FD36B6" w:rsidRPr="00DE0290" w:rsidRDefault="00FD36B6" w:rsidP="00DE0290">
      <w:pPr>
        <w:pStyle w:val="H4"/>
        <w:spacing w:before="240"/>
      </w:pPr>
      <w:r w:rsidRPr="00DE0290">
        <w:rPr>
          <w:szCs w:val="28"/>
        </w:rPr>
        <w:t>Uzņēmumu vieglo transportlīdzekļu nodoklis</w:t>
      </w:r>
    </w:p>
    <w:p w:rsidR="00FD36B6" w:rsidRPr="00324699" w:rsidRDefault="00FD36B6" w:rsidP="00FD36B6">
      <w:pPr>
        <w:rPr>
          <w:szCs w:val="24"/>
          <w:highlight w:val="yellow"/>
        </w:rPr>
      </w:pPr>
      <w:r w:rsidRPr="000561CB">
        <w:t>Uzņēmumu vieglo transportlīdzekļu nodokļa ieņēmumi 2020.</w:t>
      </w:r>
      <w:r w:rsidR="00DE0290">
        <w:t xml:space="preserve"> </w:t>
      </w:r>
      <w:r w:rsidRPr="000561CB">
        <w:t>gada sešos mēnešos sastādīja 10,2 milj. </w:t>
      </w:r>
      <w:proofErr w:type="spellStart"/>
      <w:r w:rsidRPr="000561CB">
        <w:rPr>
          <w:i/>
        </w:rPr>
        <w:t>euro</w:t>
      </w:r>
      <w:proofErr w:type="spellEnd"/>
      <w:r w:rsidRPr="000561CB">
        <w:t>, kas salīdzinājumā ar 2019.</w:t>
      </w:r>
      <w:r w:rsidR="00DE0290">
        <w:t xml:space="preserve"> </w:t>
      </w:r>
      <w:r w:rsidRPr="000561CB">
        <w:t>gada sešiem mēnešiem ir par 0,3 milj. </w:t>
      </w:r>
      <w:proofErr w:type="spellStart"/>
      <w:r w:rsidRPr="000561CB">
        <w:rPr>
          <w:i/>
        </w:rPr>
        <w:t>euro</w:t>
      </w:r>
      <w:proofErr w:type="spellEnd"/>
      <w:r w:rsidRPr="000561CB">
        <w:t xml:space="preserve"> jeb </w:t>
      </w:r>
      <w:r>
        <w:t>3,4</w:t>
      </w:r>
      <w:r w:rsidRPr="000561CB">
        <w:t xml:space="preserve">% </w:t>
      </w:r>
      <w:r>
        <w:t>vairāk</w:t>
      </w:r>
      <w:r w:rsidRPr="000561CB">
        <w:t xml:space="preserve">. </w:t>
      </w:r>
      <w:r>
        <w:t>Tāpat</w:t>
      </w:r>
      <w:r w:rsidRPr="000561CB">
        <w:t xml:space="preserve"> ieņēmumi salīdzinājumā ar plānoto sešos mēnešos palielinājušies par 0,2 milj. </w:t>
      </w:r>
      <w:proofErr w:type="spellStart"/>
      <w:r w:rsidRPr="000561CB">
        <w:rPr>
          <w:i/>
        </w:rPr>
        <w:t>euro</w:t>
      </w:r>
      <w:proofErr w:type="spellEnd"/>
      <w:r w:rsidRPr="000561CB">
        <w:t xml:space="preserve"> jeb 1,8</w:t>
      </w:r>
      <w:r>
        <w:t xml:space="preserve"> procentiem. </w:t>
      </w:r>
    </w:p>
    <w:p w:rsidR="00FD36B6" w:rsidRPr="00324699" w:rsidRDefault="00DE0290" w:rsidP="00FD36B6">
      <w:pPr>
        <w:rPr>
          <w:highlight w:val="yellow"/>
        </w:rPr>
      </w:pPr>
      <w:r>
        <w:t>Saskaņā ar likumprojektu “</w:t>
      </w:r>
      <w:r w:rsidR="00FD36B6" w:rsidRPr="000561CB">
        <w:t>Par valsts budžetu 2021.</w:t>
      </w:r>
      <w:r>
        <w:t xml:space="preserve"> </w:t>
      </w:r>
      <w:r w:rsidR="00FD36B6" w:rsidRPr="000561CB">
        <w:t>gadam” uzņēmumu vieglo transportlīdzekļu nodokļa ieņēmumi 2021.</w:t>
      </w:r>
      <w:r>
        <w:t xml:space="preserve"> </w:t>
      </w:r>
      <w:r w:rsidR="00FD36B6" w:rsidRPr="000561CB">
        <w:t xml:space="preserve">gadā tiek plānoti </w:t>
      </w:r>
      <w:r w:rsidR="00FD36B6">
        <w:t>23,2</w:t>
      </w:r>
      <w:r w:rsidR="00FD36B6" w:rsidRPr="000561CB">
        <w:t> milj. </w:t>
      </w:r>
      <w:proofErr w:type="spellStart"/>
      <w:r w:rsidR="00FD36B6" w:rsidRPr="000561CB">
        <w:rPr>
          <w:i/>
        </w:rPr>
        <w:t>euro</w:t>
      </w:r>
      <w:proofErr w:type="spellEnd"/>
      <w:r w:rsidR="00FD36B6" w:rsidRPr="000561CB">
        <w:t xml:space="preserve"> apmērā. </w:t>
      </w:r>
    </w:p>
    <w:p w:rsidR="00FD36B6" w:rsidRDefault="00FD36B6" w:rsidP="00FD36B6">
      <w:pPr>
        <w:spacing w:before="120"/>
        <w:rPr>
          <w:szCs w:val="24"/>
        </w:rPr>
      </w:pPr>
      <w:r w:rsidRPr="000561CB">
        <w:t>Nosakot uzņēmumu vieglo transportlīdzekļu nodokļa ieņēmumu plānu 2021.</w:t>
      </w:r>
      <w:r w:rsidR="00DE0290">
        <w:t xml:space="preserve"> </w:t>
      </w:r>
      <w:r w:rsidRPr="000561CB">
        <w:t xml:space="preserve">gadam, tika ņemts vērā komersantu rīcībā esošo vieglo transportlīdzekļu skaits, tā sadalījums, balstoties uz piemērojamām likmēm, kā arī </w:t>
      </w:r>
      <w:r w:rsidRPr="000561CB">
        <w:rPr>
          <w:rFonts w:eastAsia="Calibri"/>
          <w:szCs w:val="24"/>
        </w:rPr>
        <w:t>iepriekšējo gadu uzņēmumu vieglo transportlīdzekļu nodokļa ieņēmumu izpildes tendence</w:t>
      </w:r>
      <w:r w:rsidRPr="000561CB">
        <w:t>s</w:t>
      </w:r>
      <w:r w:rsidRPr="004A1729">
        <w:t>.</w:t>
      </w:r>
      <w:r w:rsidRPr="004A1729">
        <w:rPr>
          <w:szCs w:val="24"/>
        </w:rPr>
        <w:t xml:space="preserve"> </w:t>
      </w:r>
      <w:r w:rsidRPr="0032136F">
        <w:rPr>
          <w:szCs w:val="24"/>
        </w:rPr>
        <w:t>Tāpat, 2020.</w:t>
      </w:r>
      <w:r w:rsidR="00DE0290">
        <w:rPr>
          <w:szCs w:val="24"/>
        </w:rPr>
        <w:t xml:space="preserve"> </w:t>
      </w:r>
      <w:r w:rsidRPr="0032136F">
        <w:rPr>
          <w:szCs w:val="24"/>
        </w:rPr>
        <w:t>gada 22.</w:t>
      </w:r>
      <w:r w:rsidR="00DE0290">
        <w:rPr>
          <w:szCs w:val="24"/>
        </w:rPr>
        <w:t xml:space="preserve"> </w:t>
      </w:r>
      <w:r w:rsidRPr="0032136F">
        <w:rPr>
          <w:szCs w:val="24"/>
        </w:rPr>
        <w:t xml:space="preserve">septembrī </w:t>
      </w:r>
      <w:r w:rsidR="00DE0290">
        <w:rPr>
          <w:szCs w:val="24"/>
        </w:rPr>
        <w:t>MK</w:t>
      </w:r>
      <w:r w:rsidRPr="0032136F">
        <w:rPr>
          <w:szCs w:val="24"/>
        </w:rPr>
        <w:t xml:space="preserve"> tika atbalstīti pasākumi,</w:t>
      </w:r>
      <w:r>
        <w:rPr>
          <w:szCs w:val="24"/>
        </w:rPr>
        <w:t xml:space="preserve"> </w:t>
      </w:r>
      <w:r w:rsidRPr="00C71390">
        <w:rPr>
          <w:szCs w:val="24"/>
        </w:rPr>
        <w:t>kas, sākot ar 2021.</w:t>
      </w:r>
      <w:r w:rsidR="00DE0290">
        <w:rPr>
          <w:szCs w:val="24"/>
        </w:rPr>
        <w:t xml:space="preserve"> </w:t>
      </w:r>
      <w:r w:rsidRPr="00C71390">
        <w:rPr>
          <w:szCs w:val="24"/>
        </w:rPr>
        <w:t>gadu, paredz:</w:t>
      </w:r>
    </w:p>
    <w:p w:rsidR="00FD36B6" w:rsidRPr="00EB3F80" w:rsidRDefault="00FD36B6" w:rsidP="00373FD4">
      <w:pPr>
        <w:pStyle w:val="ListParagraph"/>
        <w:numPr>
          <w:ilvl w:val="0"/>
          <w:numId w:val="15"/>
        </w:numPr>
        <w:spacing w:before="120"/>
        <w:rPr>
          <w:szCs w:val="24"/>
        </w:rPr>
      </w:pPr>
      <w:r w:rsidRPr="00EB3F80">
        <w:rPr>
          <w:szCs w:val="24"/>
          <w:lang w:eastAsia="lv-LV"/>
        </w:rPr>
        <w:t>vieglo transportlīdzekļu nodokļa likmes indeksāciju, ņemot vērā inflācijas pieauguma tempu no 2017.</w:t>
      </w:r>
      <w:r w:rsidR="00DE0290">
        <w:rPr>
          <w:szCs w:val="24"/>
          <w:lang w:eastAsia="lv-LV"/>
        </w:rPr>
        <w:t xml:space="preserve"> </w:t>
      </w:r>
      <w:r w:rsidRPr="00EB3F80">
        <w:rPr>
          <w:szCs w:val="24"/>
          <w:lang w:eastAsia="lv-LV"/>
        </w:rPr>
        <w:t>gada un uzņēmumu vieglo</w:t>
      </w:r>
      <w:r>
        <w:rPr>
          <w:szCs w:val="24"/>
          <w:lang w:eastAsia="lv-LV"/>
        </w:rPr>
        <w:t xml:space="preserve"> transportlīdzekļu nodokļa likmes noteikšanu </w:t>
      </w:r>
      <w:r w:rsidRPr="00EB3F80">
        <w:rPr>
          <w:szCs w:val="24"/>
          <w:lang w:eastAsia="lv-LV"/>
        </w:rPr>
        <w:t>transportlīdzekļiem, kuru motora tilpums pārsnied</w:t>
      </w:r>
      <w:r>
        <w:rPr>
          <w:szCs w:val="24"/>
          <w:lang w:eastAsia="lv-LV"/>
        </w:rPr>
        <w:t>z 3000 kubikcentimetrus (</w:t>
      </w:r>
      <w:r w:rsidRPr="00EB3F80">
        <w:rPr>
          <w:szCs w:val="24"/>
          <w:lang w:eastAsia="lv-LV"/>
        </w:rPr>
        <w:t xml:space="preserve">fiskālā ietekme </w:t>
      </w:r>
      <w:r>
        <w:rPr>
          <w:szCs w:val="24"/>
          <w:lang w:eastAsia="lv-LV"/>
        </w:rPr>
        <w:t>+</w:t>
      </w:r>
      <w:r w:rsidRPr="00EB3F80">
        <w:rPr>
          <w:szCs w:val="24"/>
          <w:lang w:eastAsia="lv-LV"/>
        </w:rPr>
        <w:t xml:space="preserve">1,7 milj. </w:t>
      </w:r>
      <w:proofErr w:type="spellStart"/>
      <w:r w:rsidRPr="00EB3F80">
        <w:rPr>
          <w:i/>
          <w:szCs w:val="24"/>
          <w:lang w:eastAsia="lv-LV"/>
        </w:rPr>
        <w:t>euro</w:t>
      </w:r>
      <w:proofErr w:type="spellEnd"/>
      <w:r w:rsidRPr="00EB3F80">
        <w:rPr>
          <w:szCs w:val="24"/>
          <w:lang w:eastAsia="lv-LV"/>
        </w:rPr>
        <w:t>).</w:t>
      </w:r>
    </w:p>
    <w:p w:rsidR="00FD36B6" w:rsidRPr="00DE0290" w:rsidRDefault="00FD36B6" w:rsidP="00DE0290">
      <w:pPr>
        <w:spacing w:before="240"/>
        <w:ind w:firstLine="0"/>
        <w:jc w:val="center"/>
        <w:rPr>
          <w:b/>
        </w:rPr>
      </w:pPr>
      <w:r w:rsidRPr="00DE0290">
        <w:rPr>
          <w:b/>
          <w:i/>
        </w:rPr>
        <w:t>3.15. tabula</w:t>
      </w:r>
      <w:r w:rsidRPr="00DE0290">
        <w:rPr>
          <w:b/>
        </w:rPr>
        <w:t xml:space="preserve"> Uzņēmumu vieglo transportlīdzekļu nodokļa ieņēmumi</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959"/>
        <w:gridCol w:w="849"/>
        <w:gridCol w:w="850"/>
        <w:gridCol w:w="993"/>
        <w:gridCol w:w="1133"/>
      </w:tblGrid>
      <w:tr w:rsidR="00FD36B6" w:rsidRPr="00DE0290" w:rsidTr="00FD36B6">
        <w:trPr>
          <w:trHeight w:val="215"/>
          <w:tblHeader/>
          <w:jc w:val="center"/>
        </w:trPr>
        <w:tc>
          <w:tcPr>
            <w:tcW w:w="2823" w:type="pct"/>
            <w:vMerge w:val="restart"/>
            <w:shd w:val="clear" w:color="auto" w:fill="D9D9D9" w:themeFill="background1" w:themeFillShade="D9"/>
          </w:tcPr>
          <w:p w:rsidR="00FD36B6" w:rsidRPr="00DE0290" w:rsidRDefault="00FD36B6" w:rsidP="00FD36B6">
            <w:pPr>
              <w:pStyle w:val="tabtekst"/>
              <w:rPr>
                <w:b/>
                <w:color w:val="000000" w:themeColor="text1"/>
                <w:sz w:val="18"/>
                <w:szCs w:val="18"/>
              </w:rPr>
            </w:pPr>
          </w:p>
        </w:tc>
        <w:tc>
          <w:tcPr>
            <w:tcW w:w="483" w:type="pct"/>
            <w:tcBorders>
              <w:bottom w:val="single" w:sz="4" w:space="0" w:color="auto"/>
            </w:tcBorders>
            <w:shd w:val="clear" w:color="auto" w:fill="D9D9D9" w:themeFill="background1" w:themeFillShade="D9"/>
          </w:tcPr>
          <w:p w:rsidR="00FD36B6" w:rsidRPr="00DE0290" w:rsidRDefault="00FD36B6" w:rsidP="00FD36B6">
            <w:pPr>
              <w:pStyle w:val="tabtekst"/>
              <w:jc w:val="center"/>
              <w:rPr>
                <w:b/>
                <w:color w:val="000000" w:themeColor="text1"/>
                <w:sz w:val="18"/>
                <w:szCs w:val="18"/>
              </w:rPr>
            </w:pPr>
            <w:r w:rsidRPr="00DE0290">
              <w:rPr>
                <w:b/>
                <w:color w:val="000000" w:themeColor="text1"/>
                <w:sz w:val="18"/>
                <w:szCs w:val="18"/>
              </w:rPr>
              <w:t>2018</w:t>
            </w:r>
          </w:p>
        </w:tc>
        <w:tc>
          <w:tcPr>
            <w:tcW w:w="484" w:type="pct"/>
            <w:tcBorders>
              <w:bottom w:val="single" w:sz="4" w:space="0" w:color="auto"/>
            </w:tcBorders>
            <w:shd w:val="clear" w:color="auto" w:fill="D9D9D9" w:themeFill="background1" w:themeFillShade="D9"/>
          </w:tcPr>
          <w:p w:rsidR="00FD36B6" w:rsidRPr="00DE0290" w:rsidRDefault="00FD36B6" w:rsidP="00FD36B6">
            <w:pPr>
              <w:pStyle w:val="tabtekst"/>
              <w:jc w:val="center"/>
              <w:rPr>
                <w:b/>
                <w:color w:val="000000" w:themeColor="text1"/>
                <w:sz w:val="18"/>
                <w:szCs w:val="18"/>
              </w:rPr>
            </w:pPr>
            <w:r w:rsidRPr="00DE0290">
              <w:rPr>
                <w:b/>
                <w:color w:val="000000" w:themeColor="text1"/>
                <w:sz w:val="18"/>
                <w:szCs w:val="18"/>
              </w:rPr>
              <w:t>2019</w:t>
            </w:r>
          </w:p>
        </w:tc>
        <w:tc>
          <w:tcPr>
            <w:tcW w:w="565" w:type="pct"/>
            <w:shd w:val="clear" w:color="auto" w:fill="D9D9D9" w:themeFill="background1" w:themeFillShade="D9"/>
          </w:tcPr>
          <w:p w:rsidR="00FD36B6" w:rsidRPr="00DE0290" w:rsidRDefault="00FD36B6" w:rsidP="00FD36B6">
            <w:pPr>
              <w:pStyle w:val="tabtekst"/>
              <w:jc w:val="center"/>
              <w:rPr>
                <w:b/>
                <w:color w:val="000000" w:themeColor="text1"/>
                <w:sz w:val="18"/>
                <w:szCs w:val="18"/>
              </w:rPr>
            </w:pPr>
            <w:r w:rsidRPr="00DE0290">
              <w:rPr>
                <w:b/>
                <w:color w:val="000000" w:themeColor="text1"/>
                <w:sz w:val="18"/>
                <w:szCs w:val="18"/>
              </w:rPr>
              <w:t>2020</w:t>
            </w:r>
          </w:p>
        </w:tc>
        <w:tc>
          <w:tcPr>
            <w:tcW w:w="645" w:type="pct"/>
            <w:shd w:val="clear" w:color="auto" w:fill="D9D9D9" w:themeFill="background1" w:themeFillShade="D9"/>
          </w:tcPr>
          <w:p w:rsidR="00FD36B6" w:rsidRPr="00DE0290" w:rsidRDefault="00FD36B6" w:rsidP="00FD36B6">
            <w:pPr>
              <w:pStyle w:val="tabtekst"/>
              <w:jc w:val="center"/>
              <w:rPr>
                <w:b/>
                <w:color w:val="000000" w:themeColor="text1"/>
                <w:sz w:val="18"/>
                <w:szCs w:val="18"/>
              </w:rPr>
            </w:pPr>
            <w:r w:rsidRPr="00DE0290">
              <w:rPr>
                <w:b/>
                <w:color w:val="000000" w:themeColor="text1"/>
                <w:sz w:val="18"/>
                <w:szCs w:val="18"/>
              </w:rPr>
              <w:t>2021</w:t>
            </w:r>
          </w:p>
        </w:tc>
      </w:tr>
      <w:tr w:rsidR="00FD36B6" w:rsidRPr="00DE0290" w:rsidTr="00FD36B6">
        <w:trPr>
          <w:trHeight w:val="215"/>
          <w:tblHeader/>
          <w:jc w:val="center"/>
        </w:trPr>
        <w:tc>
          <w:tcPr>
            <w:tcW w:w="2823" w:type="pct"/>
            <w:vMerge/>
            <w:shd w:val="clear" w:color="auto" w:fill="D9D9D9" w:themeFill="background1" w:themeFillShade="D9"/>
          </w:tcPr>
          <w:p w:rsidR="00FD36B6" w:rsidRPr="00DE0290" w:rsidRDefault="00FD36B6" w:rsidP="00FD36B6">
            <w:pPr>
              <w:pStyle w:val="tabtekst"/>
              <w:rPr>
                <w:b/>
                <w:color w:val="000000" w:themeColor="text1"/>
                <w:sz w:val="18"/>
                <w:szCs w:val="18"/>
              </w:rPr>
            </w:pPr>
          </w:p>
        </w:tc>
        <w:tc>
          <w:tcPr>
            <w:tcW w:w="967" w:type="pct"/>
            <w:gridSpan w:val="2"/>
            <w:shd w:val="clear" w:color="auto" w:fill="D9D9D9" w:themeFill="background1" w:themeFillShade="D9"/>
          </w:tcPr>
          <w:p w:rsidR="00FD36B6" w:rsidRPr="00DE0290" w:rsidRDefault="00FD36B6" w:rsidP="00FD36B6">
            <w:pPr>
              <w:pStyle w:val="tabtekst"/>
              <w:jc w:val="center"/>
              <w:rPr>
                <w:color w:val="000000" w:themeColor="text1"/>
                <w:sz w:val="18"/>
                <w:szCs w:val="18"/>
              </w:rPr>
            </w:pPr>
            <w:r w:rsidRPr="00DE0290">
              <w:rPr>
                <w:color w:val="000000" w:themeColor="text1"/>
                <w:sz w:val="18"/>
                <w:szCs w:val="18"/>
              </w:rPr>
              <w:t>fakts</w:t>
            </w:r>
          </w:p>
        </w:tc>
        <w:tc>
          <w:tcPr>
            <w:tcW w:w="565" w:type="pct"/>
            <w:shd w:val="clear" w:color="auto" w:fill="D9D9D9" w:themeFill="background1" w:themeFillShade="D9"/>
          </w:tcPr>
          <w:p w:rsidR="00FD36B6" w:rsidRPr="00DE0290" w:rsidRDefault="00FD36B6" w:rsidP="00FD36B6">
            <w:pPr>
              <w:pStyle w:val="tabtekst"/>
              <w:jc w:val="center"/>
              <w:rPr>
                <w:color w:val="000000" w:themeColor="text1"/>
                <w:sz w:val="18"/>
                <w:szCs w:val="18"/>
              </w:rPr>
            </w:pPr>
            <w:r w:rsidRPr="00DE0290">
              <w:rPr>
                <w:color w:val="000000" w:themeColor="text1"/>
                <w:sz w:val="18"/>
                <w:szCs w:val="18"/>
              </w:rPr>
              <w:t>prognoze</w:t>
            </w:r>
          </w:p>
        </w:tc>
        <w:tc>
          <w:tcPr>
            <w:tcW w:w="645" w:type="pct"/>
            <w:shd w:val="clear" w:color="auto" w:fill="D9D9D9" w:themeFill="background1" w:themeFillShade="D9"/>
          </w:tcPr>
          <w:p w:rsidR="00FD36B6" w:rsidRPr="00DE0290" w:rsidRDefault="00FD36B6" w:rsidP="00FD36B6">
            <w:pPr>
              <w:pStyle w:val="tabtekst"/>
              <w:jc w:val="center"/>
              <w:rPr>
                <w:color w:val="000000" w:themeColor="text1"/>
                <w:sz w:val="18"/>
                <w:szCs w:val="18"/>
              </w:rPr>
            </w:pPr>
            <w:r w:rsidRPr="00DE0290">
              <w:rPr>
                <w:color w:val="000000" w:themeColor="text1"/>
                <w:sz w:val="18"/>
                <w:szCs w:val="18"/>
              </w:rPr>
              <w:t>plāns*</w:t>
            </w:r>
          </w:p>
        </w:tc>
      </w:tr>
      <w:tr w:rsidR="00FD36B6" w:rsidRPr="00DE0290" w:rsidTr="00FD36B6">
        <w:trPr>
          <w:trHeight w:val="431"/>
          <w:jc w:val="center"/>
        </w:trPr>
        <w:tc>
          <w:tcPr>
            <w:tcW w:w="2823" w:type="pct"/>
            <w:shd w:val="clear" w:color="auto" w:fill="auto"/>
          </w:tcPr>
          <w:p w:rsidR="00FD36B6" w:rsidRPr="00DE0290" w:rsidRDefault="00FD36B6" w:rsidP="00FD36B6">
            <w:pPr>
              <w:pStyle w:val="tabtekst"/>
              <w:rPr>
                <w:color w:val="000000" w:themeColor="text1"/>
                <w:sz w:val="18"/>
                <w:szCs w:val="18"/>
              </w:rPr>
            </w:pPr>
            <w:r w:rsidRPr="00DE0290">
              <w:rPr>
                <w:b/>
                <w:color w:val="auto"/>
                <w:sz w:val="18"/>
                <w:szCs w:val="18"/>
                <w:lang w:eastAsia="lv-LV"/>
              </w:rPr>
              <w:t>Uzņēmumu vieglo transportlīdzekļu nodoklis,</w:t>
            </w:r>
            <w:r w:rsidRPr="00DE0290">
              <w:rPr>
                <w:color w:val="auto"/>
                <w:sz w:val="18"/>
                <w:szCs w:val="18"/>
                <w:lang w:eastAsia="lv-LV"/>
              </w:rPr>
              <w:t xml:space="preserve"> milj. </w:t>
            </w:r>
            <w:proofErr w:type="spellStart"/>
            <w:r w:rsidRPr="00DE0290">
              <w:rPr>
                <w:i/>
                <w:color w:val="auto"/>
                <w:sz w:val="18"/>
                <w:szCs w:val="18"/>
                <w:lang w:eastAsia="lv-LV"/>
              </w:rPr>
              <w:t>euro</w:t>
            </w:r>
            <w:proofErr w:type="spellEnd"/>
          </w:p>
        </w:tc>
        <w:tc>
          <w:tcPr>
            <w:tcW w:w="483" w:type="pct"/>
            <w:tcBorders>
              <w:bottom w:val="single" w:sz="4" w:space="0" w:color="auto"/>
            </w:tcBorders>
            <w:shd w:val="clear" w:color="auto" w:fill="auto"/>
            <w:vAlign w:val="center"/>
          </w:tcPr>
          <w:p w:rsidR="00FD36B6" w:rsidRPr="00DE0290" w:rsidRDefault="00FD36B6" w:rsidP="00FD36B6">
            <w:pPr>
              <w:spacing w:after="0"/>
              <w:ind w:firstLine="0"/>
              <w:jc w:val="center"/>
              <w:rPr>
                <w:b/>
                <w:snapToGrid w:val="0"/>
                <w:color w:val="000000" w:themeColor="text1"/>
                <w:sz w:val="18"/>
                <w:szCs w:val="18"/>
              </w:rPr>
            </w:pPr>
            <w:r w:rsidRPr="00DE0290">
              <w:rPr>
                <w:b/>
                <w:snapToGrid w:val="0"/>
                <w:color w:val="000000" w:themeColor="text1"/>
                <w:sz w:val="18"/>
                <w:szCs w:val="18"/>
              </w:rPr>
              <w:t>21,5</w:t>
            </w:r>
          </w:p>
        </w:tc>
        <w:tc>
          <w:tcPr>
            <w:tcW w:w="484" w:type="pct"/>
            <w:tcBorders>
              <w:bottom w:val="single" w:sz="4" w:space="0" w:color="auto"/>
            </w:tcBorders>
            <w:shd w:val="clear" w:color="auto" w:fill="auto"/>
            <w:vAlign w:val="center"/>
          </w:tcPr>
          <w:p w:rsidR="00FD36B6" w:rsidRPr="00DE0290" w:rsidRDefault="00FD36B6" w:rsidP="00FD36B6">
            <w:pPr>
              <w:spacing w:after="0"/>
              <w:ind w:firstLine="0"/>
              <w:jc w:val="center"/>
              <w:rPr>
                <w:b/>
                <w:snapToGrid w:val="0"/>
                <w:color w:val="000000" w:themeColor="text1"/>
                <w:sz w:val="18"/>
                <w:szCs w:val="18"/>
              </w:rPr>
            </w:pPr>
            <w:r w:rsidRPr="00DE0290">
              <w:rPr>
                <w:b/>
                <w:snapToGrid w:val="0"/>
                <w:color w:val="000000" w:themeColor="text1"/>
                <w:sz w:val="18"/>
                <w:szCs w:val="18"/>
              </w:rPr>
              <w:t>21,1</w:t>
            </w:r>
          </w:p>
        </w:tc>
        <w:tc>
          <w:tcPr>
            <w:tcW w:w="565" w:type="pct"/>
            <w:tcBorders>
              <w:bottom w:val="single" w:sz="4" w:space="0" w:color="auto"/>
            </w:tcBorders>
            <w:vAlign w:val="center"/>
          </w:tcPr>
          <w:p w:rsidR="00FD36B6" w:rsidRPr="00DE0290" w:rsidRDefault="00FD36B6" w:rsidP="00FD36B6">
            <w:pPr>
              <w:spacing w:after="0"/>
              <w:ind w:firstLine="0"/>
              <w:jc w:val="center"/>
              <w:rPr>
                <w:b/>
                <w:snapToGrid w:val="0"/>
                <w:color w:val="000000" w:themeColor="text1"/>
                <w:sz w:val="18"/>
                <w:szCs w:val="18"/>
              </w:rPr>
            </w:pPr>
            <w:r w:rsidRPr="00DE0290">
              <w:rPr>
                <w:b/>
                <w:snapToGrid w:val="0"/>
                <w:color w:val="000000" w:themeColor="text1"/>
                <w:sz w:val="18"/>
                <w:szCs w:val="18"/>
              </w:rPr>
              <w:t>21,5</w:t>
            </w:r>
          </w:p>
        </w:tc>
        <w:tc>
          <w:tcPr>
            <w:tcW w:w="645" w:type="pct"/>
            <w:tcBorders>
              <w:bottom w:val="single" w:sz="4" w:space="0" w:color="auto"/>
            </w:tcBorders>
            <w:shd w:val="clear" w:color="auto" w:fill="auto"/>
            <w:vAlign w:val="center"/>
          </w:tcPr>
          <w:p w:rsidR="00FD36B6" w:rsidRPr="00DE0290" w:rsidRDefault="00FD36B6" w:rsidP="00FD36B6">
            <w:pPr>
              <w:spacing w:after="0"/>
              <w:ind w:firstLine="0"/>
              <w:jc w:val="center"/>
              <w:rPr>
                <w:b/>
                <w:snapToGrid w:val="0"/>
                <w:color w:val="000000" w:themeColor="text1"/>
                <w:sz w:val="18"/>
                <w:szCs w:val="18"/>
              </w:rPr>
            </w:pPr>
            <w:r w:rsidRPr="00DE0290">
              <w:rPr>
                <w:b/>
                <w:snapToGrid w:val="0"/>
                <w:color w:val="000000" w:themeColor="text1"/>
                <w:sz w:val="18"/>
                <w:szCs w:val="18"/>
              </w:rPr>
              <w:t>23,2</w:t>
            </w:r>
          </w:p>
        </w:tc>
      </w:tr>
      <w:tr w:rsidR="00FD36B6" w:rsidRPr="00DE0290" w:rsidTr="00FD36B6">
        <w:trPr>
          <w:trHeight w:val="215"/>
          <w:jc w:val="center"/>
        </w:trPr>
        <w:tc>
          <w:tcPr>
            <w:tcW w:w="2823" w:type="pct"/>
            <w:shd w:val="clear" w:color="auto" w:fill="auto"/>
          </w:tcPr>
          <w:p w:rsidR="00FD36B6" w:rsidRPr="00DE0290" w:rsidRDefault="00FD36B6" w:rsidP="00FD36B6">
            <w:pPr>
              <w:pStyle w:val="tabtekst"/>
              <w:rPr>
                <w:i/>
                <w:color w:val="000000" w:themeColor="text1"/>
                <w:sz w:val="18"/>
                <w:szCs w:val="18"/>
              </w:rPr>
            </w:pPr>
            <w:r w:rsidRPr="00DE0290">
              <w:rPr>
                <w:i/>
                <w:color w:val="000000" w:themeColor="text1"/>
                <w:sz w:val="18"/>
                <w:szCs w:val="18"/>
              </w:rPr>
              <w:t xml:space="preserve">   pieauguma tempi faktiskās cenās, %</w:t>
            </w:r>
          </w:p>
        </w:tc>
        <w:tc>
          <w:tcPr>
            <w:tcW w:w="483" w:type="pct"/>
            <w:tcBorders>
              <w:top w:val="single" w:sz="4" w:space="0" w:color="auto"/>
              <w:left w:val="nil"/>
              <w:bottom w:val="single" w:sz="4" w:space="0" w:color="auto"/>
              <w:right w:val="single" w:sz="4" w:space="0" w:color="auto"/>
            </w:tcBorders>
            <w:shd w:val="clear" w:color="auto" w:fill="auto"/>
            <w:vAlign w:val="bottom"/>
          </w:tcPr>
          <w:p w:rsidR="00FD36B6" w:rsidRPr="00DE0290" w:rsidRDefault="00FD36B6" w:rsidP="00FD36B6">
            <w:pPr>
              <w:pStyle w:val="tabtekst"/>
              <w:jc w:val="center"/>
              <w:rPr>
                <w:i/>
                <w:color w:val="000000" w:themeColor="text1"/>
                <w:sz w:val="18"/>
                <w:szCs w:val="18"/>
              </w:rPr>
            </w:pPr>
            <w:r w:rsidRPr="00DE0290">
              <w:rPr>
                <w:i/>
                <w:color w:val="000000" w:themeColor="text1"/>
                <w:sz w:val="18"/>
                <w:szCs w:val="18"/>
              </w:rPr>
              <w:t>-1,5</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rsidR="00FD36B6" w:rsidRPr="00DE0290" w:rsidRDefault="00FD36B6" w:rsidP="00FD36B6">
            <w:pPr>
              <w:pStyle w:val="tabtekst"/>
              <w:jc w:val="center"/>
              <w:rPr>
                <w:i/>
                <w:color w:val="000000" w:themeColor="text1"/>
                <w:sz w:val="18"/>
                <w:szCs w:val="18"/>
              </w:rPr>
            </w:pPr>
            <w:r w:rsidRPr="00DE0290">
              <w:rPr>
                <w:i/>
                <w:color w:val="000000" w:themeColor="text1"/>
                <w:sz w:val="18"/>
                <w:szCs w:val="18"/>
              </w:rPr>
              <w:t>-1,8</w:t>
            </w:r>
          </w:p>
        </w:tc>
        <w:tc>
          <w:tcPr>
            <w:tcW w:w="565" w:type="pct"/>
            <w:tcBorders>
              <w:top w:val="single" w:sz="4" w:space="0" w:color="auto"/>
              <w:left w:val="single" w:sz="4" w:space="0" w:color="auto"/>
              <w:bottom w:val="single" w:sz="4" w:space="0" w:color="auto"/>
              <w:right w:val="single" w:sz="4" w:space="0" w:color="auto"/>
            </w:tcBorders>
          </w:tcPr>
          <w:p w:rsidR="00FD36B6" w:rsidRPr="00DE0290" w:rsidRDefault="00FD36B6" w:rsidP="00FD36B6">
            <w:pPr>
              <w:pStyle w:val="tabtekst"/>
              <w:jc w:val="center"/>
              <w:rPr>
                <w:i/>
                <w:color w:val="000000" w:themeColor="text1"/>
                <w:sz w:val="18"/>
                <w:szCs w:val="18"/>
              </w:rPr>
            </w:pPr>
            <w:r w:rsidRPr="00DE0290">
              <w:rPr>
                <w:i/>
                <w:color w:val="000000" w:themeColor="text1"/>
                <w:sz w:val="18"/>
                <w:szCs w:val="18"/>
              </w:rPr>
              <w:t>+1,8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FD36B6" w:rsidRPr="00DE0290" w:rsidRDefault="00FD36B6" w:rsidP="00FD36B6">
            <w:pPr>
              <w:pStyle w:val="tabtekst"/>
              <w:jc w:val="center"/>
              <w:rPr>
                <w:i/>
                <w:color w:val="000000" w:themeColor="text1"/>
                <w:sz w:val="18"/>
                <w:szCs w:val="18"/>
              </w:rPr>
            </w:pPr>
            <w:r w:rsidRPr="00DE0290">
              <w:rPr>
                <w:i/>
                <w:color w:val="000000" w:themeColor="text1"/>
                <w:sz w:val="18"/>
                <w:szCs w:val="18"/>
              </w:rPr>
              <w:t>+7,9</w:t>
            </w:r>
          </w:p>
        </w:tc>
      </w:tr>
      <w:tr w:rsidR="00FD36B6" w:rsidRPr="00DE0290" w:rsidTr="00FD36B6">
        <w:trPr>
          <w:trHeight w:val="202"/>
          <w:jc w:val="center"/>
        </w:trPr>
        <w:tc>
          <w:tcPr>
            <w:tcW w:w="2823" w:type="pct"/>
          </w:tcPr>
          <w:p w:rsidR="00FD36B6" w:rsidRPr="00DE0290" w:rsidRDefault="00FD36B6" w:rsidP="00FD36B6">
            <w:pPr>
              <w:pStyle w:val="tabtekst"/>
              <w:rPr>
                <w:i/>
                <w:color w:val="000000" w:themeColor="text1"/>
                <w:sz w:val="18"/>
                <w:szCs w:val="18"/>
              </w:rPr>
            </w:pPr>
            <w:r w:rsidRPr="00DE0290">
              <w:rPr>
                <w:i/>
                <w:color w:val="000000" w:themeColor="text1"/>
                <w:sz w:val="18"/>
                <w:szCs w:val="18"/>
              </w:rPr>
              <w:t xml:space="preserve">   % no IKP</w:t>
            </w:r>
          </w:p>
        </w:tc>
        <w:tc>
          <w:tcPr>
            <w:tcW w:w="483" w:type="pct"/>
            <w:tcBorders>
              <w:top w:val="single" w:sz="4" w:space="0" w:color="auto"/>
              <w:left w:val="nil"/>
              <w:bottom w:val="single" w:sz="4" w:space="0" w:color="auto"/>
              <w:right w:val="single" w:sz="4" w:space="0" w:color="auto"/>
            </w:tcBorders>
            <w:shd w:val="clear" w:color="auto" w:fill="auto"/>
            <w:vAlign w:val="bottom"/>
          </w:tcPr>
          <w:p w:rsidR="00FD36B6" w:rsidRPr="00DE0290" w:rsidRDefault="00FD36B6" w:rsidP="00FD36B6">
            <w:pPr>
              <w:pStyle w:val="tabtekst"/>
              <w:jc w:val="center"/>
              <w:rPr>
                <w:i/>
                <w:color w:val="000000" w:themeColor="text1"/>
                <w:sz w:val="18"/>
                <w:szCs w:val="18"/>
              </w:rPr>
            </w:pPr>
            <w:r w:rsidRPr="00DE0290">
              <w:rPr>
                <w:i/>
                <w:color w:val="000000" w:themeColor="text1"/>
                <w:sz w:val="18"/>
                <w:szCs w:val="18"/>
              </w:rPr>
              <w:t>0,07</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rsidR="00FD36B6" w:rsidRPr="00DE0290" w:rsidRDefault="00FD36B6" w:rsidP="00FD36B6">
            <w:pPr>
              <w:pStyle w:val="tabtekst"/>
              <w:jc w:val="center"/>
              <w:rPr>
                <w:i/>
                <w:color w:val="000000" w:themeColor="text1"/>
                <w:sz w:val="18"/>
                <w:szCs w:val="18"/>
              </w:rPr>
            </w:pPr>
            <w:r w:rsidRPr="00DE0290">
              <w:rPr>
                <w:i/>
                <w:color w:val="000000" w:themeColor="text1"/>
                <w:sz w:val="18"/>
                <w:szCs w:val="18"/>
              </w:rPr>
              <w:t>0,07</w:t>
            </w:r>
          </w:p>
        </w:tc>
        <w:tc>
          <w:tcPr>
            <w:tcW w:w="565" w:type="pct"/>
            <w:tcBorders>
              <w:top w:val="single" w:sz="4" w:space="0" w:color="auto"/>
              <w:left w:val="single" w:sz="4" w:space="0" w:color="auto"/>
              <w:bottom w:val="single" w:sz="4" w:space="0" w:color="auto"/>
              <w:right w:val="single" w:sz="4" w:space="0" w:color="auto"/>
            </w:tcBorders>
          </w:tcPr>
          <w:p w:rsidR="00FD36B6" w:rsidRPr="00DE0290" w:rsidRDefault="00FD36B6" w:rsidP="00FD36B6">
            <w:pPr>
              <w:pStyle w:val="tabtekst"/>
              <w:jc w:val="center"/>
              <w:rPr>
                <w:i/>
                <w:color w:val="000000" w:themeColor="text1"/>
                <w:sz w:val="18"/>
                <w:szCs w:val="18"/>
              </w:rPr>
            </w:pPr>
            <w:r w:rsidRPr="00DE0290">
              <w:rPr>
                <w:i/>
                <w:color w:val="000000" w:themeColor="text1"/>
                <w:sz w:val="18"/>
                <w:szCs w:val="18"/>
              </w:rPr>
              <w:t>0,08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FD36B6" w:rsidRPr="00DE0290" w:rsidRDefault="00FD36B6" w:rsidP="00FD36B6">
            <w:pPr>
              <w:pStyle w:val="tabtekst"/>
              <w:jc w:val="center"/>
              <w:rPr>
                <w:i/>
                <w:color w:val="000000" w:themeColor="text1"/>
                <w:sz w:val="18"/>
                <w:szCs w:val="18"/>
              </w:rPr>
            </w:pPr>
            <w:r w:rsidRPr="00DE0290">
              <w:rPr>
                <w:i/>
                <w:color w:val="000000" w:themeColor="text1"/>
                <w:sz w:val="18"/>
                <w:szCs w:val="18"/>
              </w:rPr>
              <w:t>0,08</w:t>
            </w:r>
          </w:p>
        </w:tc>
      </w:tr>
    </w:tbl>
    <w:p w:rsidR="00FD36B6" w:rsidRDefault="00FD36B6" w:rsidP="00FD36B6">
      <w:pPr>
        <w:pStyle w:val="cipari"/>
        <w:ind w:left="0" w:firstLine="0"/>
        <w:rPr>
          <w:i/>
          <w:sz w:val="20"/>
        </w:rPr>
      </w:pPr>
      <w:r w:rsidRPr="00957F94">
        <w:rPr>
          <w:b/>
          <w:i/>
          <w:sz w:val="20"/>
        </w:rPr>
        <w:t xml:space="preserve">  *</w:t>
      </w:r>
      <w:r w:rsidRPr="00957F94">
        <w:rPr>
          <w:i/>
          <w:sz w:val="20"/>
        </w:rPr>
        <w:t>saskaņā ar likump</w:t>
      </w:r>
      <w:r w:rsidR="00DE0290">
        <w:rPr>
          <w:i/>
          <w:sz w:val="20"/>
        </w:rPr>
        <w:t>rojektu “</w:t>
      </w:r>
      <w:r>
        <w:rPr>
          <w:i/>
          <w:sz w:val="20"/>
        </w:rPr>
        <w:t>Par valsts budžetu 2021</w:t>
      </w:r>
      <w:r w:rsidRPr="00957F94">
        <w:rPr>
          <w:i/>
          <w:sz w:val="20"/>
        </w:rPr>
        <w:t>.</w:t>
      </w:r>
      <w:r w:rsidR="00DE0290">
        <w:rPr>
          <w:i/>
          <w:sz w:val="20"/>
        </w:rPr>
        <w:t xml:space="preserve"> </w:t>
      </w:r>
      <w:r w:rsidRPr="00957F94">
        <w:rPr>
          <w:i/>
          <w:sz w:val="20"/>
        </w:rPr>
        <w:t>gadam</w:t>
      </w:r>
    </w:p>
    <w:bookmarkEnd w:id="0"/>
    <w:bookmarkEnd w:id="1"/>
    <w:bookmarkEnd w:id="2"/>
    <w:bookmarkEnd w:id="3"/>
    <w:bookmarkEnd w:id="4"/>
    <w:p w:rsidR="0080704D" w:rsidRDefault="003613E3" w:rsidP="004D65F6">
      <w:pPr>
        <w:pStyle w:val="H3"/>
        <w:spacing w:before="360"/>
      </w:pPr>
      <w:r w:rsidRPr="00221972">
        <w:t>3.</w:t>
      </w:r>
      <w:r w:rsidR="00BE4104">
        <w:t>2</w:t>
      </w:r>
      <w:r w:rsidRPr="00221972">
        <w:t>.3. Pārējie nodokļi</w:t>
      </w:r>
    </w:p>
    <w:p w:rsidR="004D65F6" w:rsidRPr="007158C3" w:rsidRDefault="004D65F6" w:rsidP="004D65F6">
      <w:pPr>
        <w:pStyle w:val="H4"/>
        <w:spacing w:before="240" w:after="240"/>
      </w:pPr>
      <w:r w:rsidRPr="007158C3">
        <w:t>Dabas resursu nodoklis</w:t>
      </w:r>
    </w:p>
    <w:p w:rsidR="004D65F6" w:rsidRPr="00D81C66" w:rsidRDefault="004D65F6" w:rsidP="004D65F6">
      <w:pPr>
        <w:spacing w:before="240"/>
      </w:pPr>
      <w:r w:rsidRPr="007158C3">
        <w:t>Dabas resursu nodokļa maksājumi ir tieši saistīti ar Latvijas uzņēmumu ekonomiskajām aktivitātēm un to izraisītajām vides noslodzē</w:t>
      </w:r>
      <w:r w:rsidRPr="007158C3">
        <w:rPr>
          <w:szCs w:val="24"/>
        </w:rPr>
        <w:t xml:space="preserve">m, kā arī veiktajiem vides aizsardzības pasākumiem. </w:t>
      </w:r>
      <w:r w:rsidRPr="007158C3">
        <w:t>Līdz ar to nodokļa ieņēmumi gan palielinās, palielinoties kopējai ekonomiskai aktivitātei, gan arī samazinās, uzņēmumiem un pašvaldībām</w:t>
      </w:r>
      <w:r w:rsidRPr="00D81C66">
        <w:t xml:space="preserve"> veicot vides aizsardzības </w:t>
      </w:r>
      <w:r w:rsidRPr="00D81C66">
        <w:lastRenderedPageBreak/>
        <w:t>pasākumus. Dabas resursu nodokļa ieņēmumi tiek ieskaitīti valsts pamatbudžetā un pašvaldību budžetā.</w:t>
      </w:r>
    </w:p>
    <w:p w:rsidR="004D65F6" w:rsidRPr="00A603BE" w:rsidRDefault="004D65F6" w:rsidP="004D65F6">
      <w:pPr>
        <w:spacing w:before="120" w:after="0"/>
        <w:contextualSpacing/>
      </w:pPr>
      <w:r w:rsidRPr="00D81C66">
        <w:t>Dabas resursu nodokļa ieņēmumi valsts pamatbudžetā un pašvaldību budžetā 2020.</w:t>
      </w:r>
      <w:r>
        <w:t> </w:t>
      </w:r>
      <w:r w:rsidRPr="00D81C66">
        <w:t>gada sešos mēnešos bija 16,9 milj. </w:t>
      </w:r>
      <w:proofErr w:type="spellStart"/>
      <w:r w:rsidRPr="00D81C66">
        <w:rPr>
          <w:i/>
        </w:rPr>
        <w:t>euro</w:t>
      </w:r>
      <w:proofErr w:type="spellEnd"/>
      <w:r w:rsidRPr="00D81C66">
        <w:t>, kas ir par 1,9 milj. </w:t>
      </w:r>
      <w:proofErr w:type="spellStart"/>
      <w:r w:rsidRPr="00D81C66">
        <w:rPr>
          <w:i/>
        </w:rPr>
        <w:t>euro</w:t>
      </w:r>
      <w:proofErr w:type="spellEnd"/>
      <w:r w:rsidRPr="00D81C66">
        <w:t xml:space="preserve"> jeb 12,7% </w:t>
      </w:r>
      <w:r>
        <w:t>vairāk</w:t>
      </w:r>
      <w:r w:rsidRPr="00D81C66">
        <w:t xml:space="preserve"> nekā 2019.</w:t>
      </w:r>
      <w:r w:rsidR="00C23525">
        <w:t xml:space="preserve"> </w:t>
      </w:r>
      <w:r w:rsidRPr="00D81C66">
        <w:t xml:space="preserve">gada </w:t>
      </w:r>
      <w:r>
        <w:t xml:space="preserve">atbilstošajā periodā, bet </w:t>
      </w:r>
      <w:r w:rsidRPr="00C905C6">
        <w:t>par 1,2 milj. </w:t>
      </w:r>
      <w:proofErr w:type="spellStart"/>
      <w:r w:rsidRPr="00C905C6">
        <w:rPr>
          <w:bCs/>
          <w:i/>
          <w:szCs w:val="24"/>
        </w:rPr>
        <w:t>euro</w:t>
      </w:r>
      <w:proofErr w:type="spellEnd"/>
      <w:r w:rsidRPr="00C905C6">
        <w:t xml:space="preserve"> jeb 6,5% mazāk nekā plānots. Valsts pamatbudžetā 2020.</w:t>
      </w:r>
      <w:r w:rsidR="00C23525">
        <w:t xml:space="preserve"> </w:t>
      </w:r>
      <w:r w:rsidRPr="00C905C6">
        <w:t>gada sešos mēnešos iekasēts 12,5 milj. </w:t>
      </w:r>
      <w:proofErr w:type="spellStart"/>
      <w:r w:rsidRPr="00C905C6">
        <w:rPr>
          <w:i/>
        </w:rPr>
        <w:t>euro</w:t>
      </w:r>
      <w:proofErr w:type="spellEnd"/>
      <w:r w:rsidRPr="00C905C6">
        <w:t>, kas, salīdzinot ar 2019.</w:t>
      </w:r>
      <w:r w:rsidR="00C23525">
        <w:t xml:space="preserve"> </w:t>
      </w:r>
      <w:r w:rsidRPr="00C905C6">
        <w:t>gada atbilstošo periodu, ir par 3,4 milj. </w:t>
      </w:r>
      <w:proofErr w:type="spellStart"/>
      <w:r w:rsidRPr="00C905C6">
        <w:rPr>
          <w:i/>
        </w:rPr>
        <w:t>euro</w:t>
      </w:r>
      <w:proofErr w:type="spellEnd"/>
      <w:r w:rsidRPr="00C905C6">
        <w:t xml:space="preserve"> jeb 37,8% vairāk. Salīdzinot ar plānoto, iekasēts par 1,0 milj</w:t>
      </w:r>
      <w:r w:rsidRPr="00C905C6">
        <w:rPr>
          <w:sz w:val="28"/>
        </w:rPr>
        <w:t>. </w:t>
      </w:r>
      <w:proofErr w:type="spellStart"/>
      <w:r w:rsidRPr="00C905C6">
        <w:rPr>
          <w:bCs/>
          <w:i/>
          <w:szCs w:val="24"/>
        </w:rPr>
        <w:t>euro</w:t>
      </w:r>
      <w:proofErr w:type="spellEnd"/>
      <w:r w:rsidRPr="00C905C6">
        <w:t xml:space="preserve"> jeb 7,3% mazāk. Dabas resursu nodokļa ieņēmumi pašvaldību budžetā 2020.</w:t>
      </w:r>
      <w:r w:rsidR="00C23525">
        <w:t> </w:t>
      </w:r>
      <w:r w:rsidRPr="00C905C6">
        <w:t>gada sešos mēnešos bija 4,4 milj. </w:t>
      </w:r>
      <w:proofErr w:type="spellStart"/>
      <w:r w:rsidRPr="00C905C6">
        <w:rPr>
          <w:bCs/>
          <w:i/>
          <w:szCs w:val="24"/>
        </w:rPr>
        <w:t>euro</w:t>
      </w:r>
      <w:proofErr w:type="spellEnd"/>
      <w:r w:rsidRPr="00C905C6">
        <w:rPr>
          <w:bCs/>
          <w:i/>
          <w:szCs w:val="24"/>
        </w:rPr>
        <w:t>,</w:t>
      </w:r>
      <w:r w:rsidRPr="00C905C6">
        <w:t xml:space="preserve"> un, salīdzinot ar 2019.</w:t>
      </w:r>
      <w:r w:rsidR="00C23525">
        <w:t xml:space="preserve"> </w:t>
      </w:r>
      <w:r w:rsidRPr="00C905C6">
        <w:t>gada sešiem mēnešiem, tie ir samazinājušies par 1,5 milj. </w:t>
      </w:r>
      <w:proofErr w:type="spellStart"/>
      <w:r w:rsidRPr="00C905C6">
        <w:rPr>
          <w:i/>
        </w:rPr>
        <w:t>euro</w:t>
      </w:r>
      <w:proofErr w:type="spellEnd"/>
      <w:r w:rsidRPr="00C905C6">
        <w:t xml:space="preserve"> jeb 25,9 procentiem.</w:t>
      </w:r>
      <w:r>
        <w:t xml:space="preserve"> </w:t>
      </w:r>
      <w:r w:rsidRPr="00C905C6">
        <w:t xml:space="preserve">Salīdzinot ar plānoto, iekasēts par 0,2 milj. </w:t>
      </w:r>
      <w:proofErr w:type="spellStart"/>
      <w:r w:rsidRPr="00C905C6">
        <w:rPr>
          <w:bCs/>
          <w:i/>
          <w:szCs w:val="24"/>
        </w:rPr>
        <w:t>euro</w:t>
      </w:r>
      <w:proofErr w:type="spellEnd"/>
      <w:r w:rsidRPr="00C905C6">
        <w:t xml:space="preserve"> jeb 4,3% mazāk. </w:t>
      </w:r>
      <w:r>
        <w:t>Nodokļa ieņēmumu pieaugums valsts pamatbudžetā un samazinājums pašvaldību budžetā ir tieši saistīts ar izmaiņām nodokļa ieņēmumu sadalījumā starp valsts un pašvaldību budžetiem, kas stājās spēkā ar 2020.</w:t>
      </w:r>
      <w:r w:rsidR="00C23525">
        <w:t xml:space="preserve"> </w:t>
      </w:r>
      <w:r>
        <w:t>gada 1.</w:t>
      </w:r>
      <w:r w:rsidR="00C23525">
        <w:t xml:space="preserve"> </w:t>
      </w:r>
      <w:r>
        <w:t>janvāri (palielinot valsts pamatbudžetā ieskaitāmo daļu no dabas resursu nodokļa ieņēmumiem par atkritumu apglabāšanu no 40% līdz</w:t>
      </w:r>
      <w:r w:rsidR="00121617">
        <w:t xml:space="preserve"> </w:t>
      </w:r>
      <w:r>
        <w:t>100%, par dabas resursu ieguvi un vides piesārņošanu no 40% līdz 60% un par oglekļa dioksīda (CO</w:t>
      </w:r>
      <w:r w:rsidRPr="00A603BE">
        <w:rPr>
          <w:vertAlign w:val="subscript"/>
        </w:rPr>
        <w:t>2</w:t>
      </w:r>
      <w:r>
        <w:t>) emisiju no 60% līdz 100%).</w:t>
      </w:r>
    </w:p>
    <w:p w:rsidR="004D65F6" w:rsidRDefault="004D65F6" w:rsidP="004D65F6">
      <w:pPr>
        <w:spacing w:before="120"/>
        <w:rPr>
          <w:bCs/>
        </w:rPr>
      </w:pPr>
      <w:r w:rsidRPr="003E0836">
        <w:t xml:space="preserve">Kopējie dabas resursu nodokļa ieņēmumi palielinājušies galvenokārt par ūdens resursu lietošanu elektroenerģijas ražošanai un </w:t>
      </w:r>
      <w:r w:rsidRPr="003E0836">
        <w:rPr>
          <w:bCs/>
        </w:rPr>
        <w:t>par dabas resursu ieguvi un vides piesārņošanu (par atkritumu apglabāšanu), bet samazinājušies par pirmo reizi Latvijas Republikā reģistrētajiem transportlīdzekļiem un par videi kaitīgām precēm.</w:t>
      </w:r>
      <w:r>
        <w:rPr>
          <w:bCs/>
        </w:rPr>
        <w:t xml:space="preserve"> </w:t>
      </w:r>
    </w:p>
    <w:p w:rsidR="004D65F6" w:rsidRPr="00E13867" w:rsidRDefault="004D65F6" w:rsidP="004D65F6">
      <w:pPr>
        <w:rPr>
          <w:color w:val="C0504D" w:themeColor="accent2"/>
        </w:rPr>
      </w:pPr>
      <w:r w:rsidRPr="0029054D">
        <w:rPr>
          <w:bCs/>
        </w:rPr>
        <w:t>Plāna neizpilde saistīta ar 2016. un 2019.</w:t>
      </w:r>
      <w:r w:rsidR="00C23525">
        <w:rPr>
          <w:bCs/>
        </w:rPr>
        <w:t xml:space="preserve"> </w:t>
      </w:r>
      <w:r w:rsidRPr="0029054D">
        <w:rPr>
          <w:bCs/>
        </w:rPr>
        <w:t xml:space="preserve">gadā veikto </w:t>
      </w:r>
      <w:r w:rsidRPr="0077276D">
        <w:rPr>
          <w:bCs/>
        </w:rPr>
        <w:t xml:space="preserve">grozījumu Dabas resursu nodokļa likumā fiskālo ietekmju neizpildi, kā arī Covid-19 izraisītās krīzes atstāto ietekmi. </w:t>
      </w:r>
      <w:r w:rsidRPr="0077276D">
        <w:t xml:space="preserve">Tāpat plāna neizpilde un salīdzinoši lēnais ieņēmumu pieaugums saistīts ar uzņēmumu </w:t>
      </w:r>
      <w:r w:rsidRPr="00C905C6">
        <w:t>piesārņojošo darbību un radītā piesārņojuma apjoma samazināšanu, resursu efektīvāku un pārdomātāku izmantošanu</w:t>
      </w:r>
      <w:r w:rsidRPr="00E13867">
        <w:rPr>
          <w:color w:val="C0504D" w:themeColor="accent2"/>
        </w:rPr>
        <w:t xml:space="preserve">. </w:t>
      </w:r>
    </w:p>
    <w:p w:rsidR="004D65F6" w:rsidRDefault="004D65F6" w:rsidP="004D65F6">
      <w:pPr>
        <w:widowControl w:val="0"/>
        <w:spacing w:after="0"/>
        <w:rPr>
          <w:szCs w:val="24"/>
        </w:rPr>
      </w:pPr>
      <w:r w:rsidRPr="00E13867">
        <w:rPr>
          <w:szCs w:val="24"/>
        </w:rPr>
        <w:t>Saskaņā ar 2016.</w:t>
      </w:r>
      <w:r w:rsidR="00C23525">
        <w:rPr>
          <w:szCs w:val="24"/>
        </w:rPr>
        <w:t xml:space="preserve"> </w:t>
      </w:r>
      <w:r w:rsidRPr="00E13867">
        <w:rPr>
          <w:szCs w:val="24"/>
        </w:rPr>
        <w:t>gada 15.</w:t>
      </w:r>
      <w:r w:rsidR="00C23525">
        <w:rPr>
          <w:szCs w:val="24"/>
        </w:rPr>
        <w:t xml:space="preserve"> </w:t>
      </w:r>
      <w:r w:rsidRPr="00E13867">
        <w:rPr>
          <w:szCs w:val="24"/>
        </w:rPr>
        <w:t>decembrī pieņemtajiem grozījumiem Dabas resursu nodokļa likumā tika paredzēta pakāpeniska dabas resursu nodokļa par atkritumu apglabāšanu paaugstināšana (</w:t>
      </w:r>
      <w:r w:rsidRPr="00C23525">
        <w:rPr>
          <w:rFonts w:eastAsia="Calibri"/>
          <w:szCs w:val="28"/>
          <w:lang w:eastAsia="lv-LV"/>
        </w:rPr>
        <w:t>skat. 3.16. tabulu)</w:t>
      </w:r>
      <w:r w:rsidRPr="00C23525">
        <w:rPr>
          <w:szCs w:val="24"/>
        </w:rPr>
        <w:t>.</w:t>
      </w:r>
    </w:p>
    <w:p w:rsidR="004D65F6" w:rsidRDefault="004D65F6" w:rsidP="004D65F6">
      <w:pPr>
        <w:widowControl w:val="0"/>
        <w:spacing w:after="0"/>
        <w:rPr>
          <w:szCs w:val="24"/>
        </w:rPr>
      </w:pPr>
    </w:p>
    <w:p w:rsidR="004D65F6" w:rsidRPr="00C23525" w:rsidRDefault="004D65F6" w:rsidP="00121617">
      <w:pPr>
        <w:widowControl w:val="0"/>
        <w:ind w:firstLine="0"/>
        <w:jc w:val="center"/>
        <w:rPr>
          <w:rFonts w:eastAsia="Calibri"/>
          <w:b/>
          <w:i/>
          <w:szCs w:val="28"/>
          <w:lang w:eastAsia="lv-LV"/>
        </w:rPr>
      </w:pPr>
      <w:r w:rsidRPr="00C23525">
        <w:rPr>
          <w:rFonts w:eastAsia="Calibri"/>
          <w:b/>
          <w:i/>
          <w:szCs w:val="28"/>
          <w:lang w:eastAsia="lv-LV"/>
        </w:rPr>
        <w:t>3.16. tabula</w:t>
      </w:r>
      <w:r w:rsidRPr="00E13867">
        <w:rPr>
          <w:rFonts w:eastAsia="Calibri"/>
          <w:b/>
          <w:i/>
          <w:szCs w:val="28"/>
          <w:lang w:eastAsia="lv-LV"/>
        </w:rPr>
        <w:t xml:space="preserve"> </w:t>
      </w:r>
      <w:r w:rsidRPr="00C23525">
        <w:rPr>
          <w:rFonts w:eastAsia="Calibri"/>
          <w:b/>
          <w:szCs w:val="28"/>
          <w:lang w:eastAsia="lv-LV"/>
        </w:rPr>
        <w:t>Dabas resursu nodokļa likmes par atkritumu apglabāšanu</w:t>
      </w:r>
      <w:r w:rsidR="00C23525" w:rsidRPr="00C23525">
        <w:rPr>
          <w:rFonts w:eastAsia="Calibri"/>
          <w:b/>
          <w:szCs w:val="28"/>
          <w:lang w:eastAsia="lv-LV"/>
        </w:rPr>
        <w:t xml:space="preserve"> </w:t>
      </w:r>
      <w:r w:rsidRPr="00C23525">
        <w:rPr>
          <w:rFonts w:eastAsia="Calibri"/>
          <w:b/>
          <w:szCs w:val="28"/>
          <w:lang w:eastAsia="lv-LV"/>
        </w:rPr>
        <w:t>2018.–2020. gadā,</w:t>
      </w:r>
      <w:r w:rsidRPr="00C23525">
        <w:rPr>
          <w:rFonts w:eastAsia="Calibri"/>
          <w:b/>
          <w:i/>
          <w:szCs w:val="28"/>
          <w:lang w:eastAsia="lv-LV"/>
        </w:rPr>
        <w:t> </w:t>
      </w:r>
      <w:proofErr w:type="spellStart"/>
      <w:r w:rsidRPr="00C23525">
        <w:rPr>
          <w:rFonts w:eastAsia="Calibri"/>
          <w:b/>
          <w:i/>
          <w:szCs w:val="28"/>
          <w:lang w:eastAsia="lv-LV"/>
        </w:rPr>
        <w:t>euro</w:t>
      </w:r>
      <w:proofErr w:type="spellEnd"/>
    </w:p>
    <w:tbl>
      <w:tblPr>
        <w:tblStyle w:val="TableGrid"/>
        <w:tblW w:w="0" w:type="auto"/>
        <w:jc w:val="center"/>
        <w:tblLook w:val="04A0" w:firstRow="1" w:lastRow="0" w:firstColumn="1" w:lastColumn="0" w:noHBand="0" w:noVBand="1"/>
      </w:tblPr>
      <w:tblGrid>
        <w:gridCol w:w="4950"/>
        <w:gridCol w:w="1276"/>
        <w:gridCol w:w="1276"/>
        <w:gridCol w:w="1261"/>
      </w:tblGrid>
      <w:tr w:rsidR="004D65F6" w:rsidRPr="00C23525" w:rsidTr="00121617">
        <w:trPr>
          <w:trHeight w:val="163"/>
          <w:jc w:val="center"/>
        </w:trPr>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5F6" w:rsidRPr="00C23525" w:rsidRDefault="004D65F6" w:rsidP="009A6568">
            <w:pPr>
              <w:pStyle w:val="ListParagraph"/>
              <w:widowControl w:val="0"/>
              <w:spacing w:before="0" w:after="0"/>
              <w:ind w:left="0" w:firstLine="0"/>
              <w:jc w:val="left"/>
              <w:rPr>
                <w:b/>
                <w:sz w:val="18"/>
                <w:szCs w:val="24"/>
              </w:rPr>
            </w:pPr>
            <w:r w:rsidRPr="00C23525">
              <w:rPr>
                <w:b/>
                <w:sz w:val="18"/>
                <w:szCs w:val="24"/>
              </w:rPr>
              <w:t>Atkritumu veids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5F6" w:rsidRPr="00C23525" w:rsidRDefault="004D65F6" w:rsidP="009A6568">
            <w:pPr>
              <w:pStyle w:val="ListParagraph"/>
              <w:widowControl w:val="0"/>
              <w:spacing w:before="0" w:after="0"/>
              <w:ind w:left="0" w:firstLine="0"/>
              <w:jc w:val="center"/>
              <w:rPr>
                <w:b/>
                <w:sz w:val="18"/>
                <w:szCs w:val="24"/>
              </w:rPr>
            </w:pPr>
            <w:r w:rsidRPr="00C23525">
              <w:rPr>
                <w:b/>
                <w:sz w:val="18"/>
                <w:szCs w:val="24"/>
              </w:rPr>
              <w:t>01.01.2018.</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5F6" w:rsidRPr="00C23525" w:rsidRDefault="004D65F6" w:rsidP="009A6568">
            <w:pPr>
              <w:pStyle w:val="ListParagraph"/>
              <w:widowControl w:val="0"/>
              <w:spacing w:before="0" w:after="0"/>
              <w:ind w:left="0" w:firstLine="0"/>
              <w:jc w:val="center"/>
              <w:rPr>
                <w:b/>
                <w:sz w:val="18"/>
                <w:szCs w:val="24"/>
              </w:rPr>
            </w:pPr>
            <w:r w:rsidRPr="00C23525">
              <w:rPr>
                <w:b/>
                <w:sz w:val="18"/>
                <w:szCs w:val="24"/>
              </w:rPr>
              <w:t>01.01.2019.</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5F6" w:rsidRPr="00C23525" w:rsidRDefault="004D65F6" w:rsidP="009A6568">
            <w:pPr>
              <w:pStyle w:val="ListParagraph"/>
              <w:widowControl w:val="0"/>
              <w:spacing w:before="0" w:after="0"/>
              <w:ind w:left="0" w:firstLine="0"/>
              <w:jc w:val="center"/>
              <w:rPr>
                <w:b/>
                <w:sz w:val="18"/>
                <w:szCs w:val="24"/>
              </w:rPr>
            </w:pPr>
            <w:r w:rsidRPr="00C23525">
              <w:rPr>
                <w:b/>
                <w:sz w:val="18"/>
                <w:szCs w:val="24"/>
              </w:rPr>
              <w:t>01.01.2020.</w:t>
            </w:r>
          </w:p>
        </w:tc>
      </w:tr>
      <w:tr w:rsidR="004D65F6" w:rsidRPr="00C23525" w:rsidTr="009A6568">
        <w:trPr>
          <w:trHeight w:val="531"/>
          <w:jc w:val="center"/>
        </w:trPr>
        <w:tc>
          <w:tcPr>
            <w:tcW w:w="4950" w:type="dxa"/>
            <w:tcBorders>
              <w:top w:val="single" w:sz="4" w:space="0" w:color="auto"/>
            </w:tcBorders>
          </w:tcPr>
          <w:p w:rsidR="004D65F6" w:rsidRPr="00C23525" w:rsidRDefault="004D65F6" w:rsidP="009A6568">
            <w:pPr>
              <w:pStyle w:val="ListParagraph"/>
              <w:widowControl w:val="0"/>
              <w:spacing w:before="0" w:after="0"/>
              <w:ind w:left="0" w:firstLine="0"/>
              <w:rPr>
                <w:sz w:val="18"/>
                <w:szCs w:val="24"/>
              </w:rPr>
            </w:pPr>
            <w:r w:rsidRPr="00C23525">
              <w:rPr>
                <w:sz w:val="18"/>
                <w:szCs w:val="24"/>
              </w:rPr>
              <w:t xml:space="preserve">Sadzīves atkritumi un ražošanas atkritumi, kas nav uzskatāmi par bīstamiem atkritumiem, </w:t>
            </w:r>
            <w:proofErr w:type="spellStart"/>
            <w:r w:rsidRPr="00C23525">
              <w:rPr>
                <w:bCs/>
                <w:i/>
                <w:sz w:val="18"/>
                <w:szCs w:val="24"/>
              </w:rPr>
              <w:t>euro</w:t>
            </w:r>
            <w:proofErr w:type="spellEnd"/>
            <w:r w:rsidRPr="00C23525">
              <w:rPr>
                <w:sz w:val="18"/>
                <w:szCs w:val="24"/>
              </w:rPr>
              <w:t xml:space="preserve"> par tonnu</w:t>
            </w:r>
          </w:p>
        </w:tc>
        <w:tc>
          <w:tcPr>
            <w:tcW w:w="1276" w:type="dxa"/>
            <w:tcBorders>
              <w:top w:val="single" w:sz="4" w:space="0" w:color="auto"/>
            </w:tcBorders>
            <w:vAlign w:val="center"/>
          </w:tcPr>
          <w:p w:rsidR="004D65F6" w:rsidRPr="00C23525" w:rsidRDefault="004D65F6" w:rsidP="009A6568">
            <w:pPr>
              <w:pStyle w:val="ListParagraph"/>
              <w:widowControl w:val="0"/>
              <w:spacing w:before="0" w:after="0"/>
              <w:ind w:left="0" w:firstLine="0"/>
              <w:jc w:val="center"/>
              <w:rPr>
                <w:sz w:val="18"/>
                <w:szCs w:val="24"/>
              </w:rPr>
            </w:pPr>
            <w:r w:rsidRPr="00C23525">
              <w:rPr>
                <w:sz w:val="18"/>
                <w:szCs w:val="24"/>
              </w:rPr>
              <w:t>35,0</w:t>
            </w:r>
          </w:p>
        </w:tc>
        <w:tc>
          <w:tcPr>
            <w:tcW w:w="1276" w:type="dxa"/>
            <w:tcBorders>
              <w:top w:val="single" w:sz="4" w:space="0" w:color="auto"/>
            </w:tcBorders>
            <w:vAlign w:val="center"/>
          </w:tcPr>
          <w:p w:rsidR="004D65F6" w:rsidRPr="00C23525" w:rsidRDefault="004D65F6" w:rsidP="009A6568">
            <w:pPr>
              <w:pStyle w:val="ListParagraph"/>
              <w:widowControl w:val="0"/>
              <w:spacing w:before="0" w:after="0"/>
              <w:ind w:left="0" w:firstLine="0"/>
              <w:jc w:val="center"/>
              <w:rPr>
                <w:sz w:val="18"/>
                <w:szCs w:val="24"/>
              </w:rPr>
            </w:pPr>
            <w:r w:rsidRPr="00C23525">
              <w:rPr>
                <w:sz w:val="18"/>
                <w:szCs w:val="24"/>
              </w:rPr>
              <w:t>43,0</w:t>
            </w:r>
          </w:p>
        </w:tc>
        <w:tc>
          <w:tcPr>
            <w:tcW w:w="1261" w:type="dxa"/>
            <w:tcBorders>
              <w:top w:val="single" w:sz="4" w:space="0" w:color="auto"/>
            </w:tcBorders>
            <w:vAlign w:val="center"/>
          </w:tcPr>
          <w:p w:rsidR="004D65F6" w:rsidRPr="00C23525" w:rsidRDefault="004D65F6" w:rsidP="009A6568">
            <w:pPr>
              <w:pStyle w:val="ListParagraph"/>
              <w:widowControl w:val="0"/>
              <w:spacing w:before="0" w:after="0"/>
              <w:ind w:left="0" w:firstLine="0"/>
              <w:jc w:val="center"/>
              <w:rPr>
                <w:sz w:val="18"/>
                <w:szCs w:val="24"/>
              </w:rPr>
            </w:pPr>
            <w:r w:rsidRPr="00C23525">
              <w:rPr>
                <w:sz w:val="18"/>
                <w:szCs w:val="24"/>
              </w:rPr>
              <w:t>50,0</w:t>
            </w:r>
          </w:p>
        </w:tc>
      </w:tr>
      <w:tr w:rsidR="004D65F6" w:rsidRPr="00C23525" w:rsidTr="009A6568">
        <w:trPr>
          <w:trHeight w:val="553"/>
          <w:jc w:val="center"/>
        </w:trPr>
        <w:tc>
          <w:tcPr>
            <w:tcW w:w="4950" w:type="dxa"/>
          </w:tcPr>
          <w:p w:rsidR="004D65F6" w:rsidRPr="00C23525" w:rsidRDefault="004D65F6" w:rsidP="009A6568">
            <w:pPr>
              <w:pStyle w:val="ListParagraph"/>
              <w:widowControl w:val="0"/>
              <w:spacing w:before="0" w:after="0"/>
              <w:ind w:left="0" w:firstLine="0"/>
              <w:rPr>
                <w:sz w:val="18"/>
                <w:szCs w:val="24"/>
              </w:rPr>
            </w:pPr>
            <w:r w:rsidRPr="00C23525">
              <w:rPr>
                <w:sz w:val="18"/>
                <w:szCs w:val="24"/>
              </w:rPr>
              <w:t xml:space="preserve">Bīstamie atkritumi un ražošanas atkritumi, kas ir uzskatāmi par bīstamiem atkritumiem, </w:t>
            </w:r>
            <w:proofErr w:type="spellStart"/>
            <w:r w:rsidRPr="00C23525">
              <w:rPr>
                <w:bCs/>
                <w:i/>
                <w:sz w:val="18"/>
                <w:szCs w:val="24"/>
              </w:rPr>
              <w:t>euro</w:t>
            </w:r>
            <w:proofErr w:type="spellEnd"/>
            <w:r w:rsidRPr="00C23525">
              <w:rPr>
                <w:sz w:val="18"/>
                <w:szCs w:val="24"/>
              </w:rPr>
              <w:t xml:space="preserve"> par tonnu</w:t>
            </w:r>
          </w:p>
        </w:tc>
        <w:tc>
          <w:tcPr>
            <w:tcW w:w="1276" w:type="dxa"/>
            <w:vAlign w:val="center"/>
          </w:tcPr>
          <w:p w:rsidR="004D65F6" w:rsidRPr="00C23525" w:rsidRDefault="004D65F6" w:rsidP="009A6568">
            <w:pPr>
              <w:pStyle w:val="ListParagraph"/>
              <w:widowControl w:val="0"/>
              <w:spacing w:before="0" w:after="0"/>
              <w:ind w:left="0" w:firstLine="0"/>
              <w:jc w:val="center"/>
              <w:rPr>
                <w:sz w:val="18"/>
                <w:szCs w:val="24"/>
              </w:rPr>
            </w:pPr>
            <w:r w:rsidRPr="00C23525">
              <w:rPr>
                <w:sz w:val="18"/>
                <w:szCs w:val="24"/>
              </w:rPr>
              <w:t>50,0</w:t>
            </w:r>
          </w:p>
        </w:tc>
        <w:tc>
          <w:tcPr>
            <w:tcW w:w="1276" w:type="dxa"/>
            <w:vAlign w:val="center"/>
          </w:tcPr>
          <w:p w:rsidR="004D65F6" w:rsidRPr="00C23525" w:rsidRDefault="004D65F6" w:rsidP="009A6568">
            <w:pPr>
              <w:pStyle w:val="ListParagraph"/>
              <w:widowControl w:val="0"/>
              <w:spacing w:before="0" w:after="0"/>
              <w:ind w:left="0" w:firstLine="0"/>
              <w:jc w:val="center"/>
              <w:rPr>
                <w:sz w:val="18"/>
                <w:szCs w:val="24"/>
              </w:rPr>
            </w:pPr>
            <w:r w:rsidRPr="00C23525">
              <w:rPr>
                <w:sz w:val="18"/>
                <w:szCs w:val="24"/>
              </w:rPr>
              <w:t>55,0</w:t>
            </w:r>
          </w:p>
        </w:tc>
        <w:tc>
          <w:tcPr>
            <w:tcW w:w="1261" w:type="dxa"/>
            <w:vAlign w:val="center"/>
          </w:tcPr>
          <w:p w:rsidR="004D65F6" w:rsidRPr="00C23525" w:rsidRDefault="004D65F6" w:rsidP="009A6568">
            <w:pPr>
              <w:pStyle w:val="ListParagraph"/>
              <w:widowControl w:val="0"/>
              <w:spacing w:before="0" w:after="0"/>
              <w:ind w:left="0" w:firstLine="0"/>
              <w:jc w:val="center"/>
              <w:rPr>
                <w:sz w:val="18"/>
                <w:szCs w:val="24"/>
              </w:rPr>
            </w:pPr>
            <w:r w:rsidRPr="00C23525">
              <w:rPr>
                <w:sz w:val="18"/>
                <w:szCs w:val="24"/>
              </w:rPr>
              <w:t>60,0</w:t>
            </w:r>
          </w:p>
        </w:tc>
      </w:tr>
    </w:tbl>
    <w:p w:rsidR="004D65F6" w:rsidRPr="003E0836" w:rsidRDefault="004D65F6" w:rsidP="004D65F6">
      <w:pPr>
        <w:spacing w:before="120" w:after="0"/>
      </w:pPr>
      <w:r w:rsidRPr="003E0836">
        <w:rPr>
          <w:rFonts w:eastAsia="Calibri"/>
          <w:noProof/>
          <w:szCs w:val="28"/>
          <w:lang w:eastAsia="lv-LV"/>
        </w:rPr>
        <w:t>Saskaņā ar 2019.</w:t>
      </w:r>
      <w:r w:rsidR="00121617">
        <w:rPr>
          <w:rFonts w:eastAsia="Calibri"/>
          <w:noProof/>
          <w:szCs w:val="28"/>
          <w:lang w:eastAsia="lv-LV"/>
        </w:rPr>
        <w:t xml:space="preserve"> </w:t>
      </w:r>
      <w:r w:rsidRPr="003E0836">
        <w:rPr>
          <w:rFonts w:eastAsia="Calibri"/>
          <w:noProof/>
          <w:szCs w:val="28"/>
          <w:lang w:eastAsia="lv-LV"/>
        </w:rPr>
        <w:t>gada 3.</w:t>
      </w:r>
      <w:r w:rsidR="00121617">
        <w:rPr>
          <w:rFonts w:eastAsia="Calibri"/>
          <w:noProof/>
          <w:szCs w:val="28"/>
          <w:lang w:eastAsia="lv-LV"/>
        </w:rPr>
        <w:t xml:space="preserve"> </w:t>
      </w:r>
      <w:r w:rsidRPr="003E0836">
        <w:rPr>
          <w:rFonts w:eastAsia="Calibri"/>
          <w:noProof/>
          <w:szCs w:val="28"/>
          <w:lang w:eastAsia="lv-LV"/>
        </w:rPr>
        <w:t>aprīlī pieņemtajiem grozījumiem Dabas resursu nodokļa likumā ar 2019.</w:t>
      </w:r>
      <w:r w:rsidR="00121617">
        <w:rPr>
          <w:rFonts w:eastAsia="Calibri"/>
          <w:noProof/>
          <w:szCs w:val="28"/>
          <w:lang w:eastAsia="lv-LV"/>
        </w:rPr>
        <w:t xml:space="preserve"> </w:t>
      </w:r>
      <w:r w:rsidRPr="003E0836">
        <w:rPr>
          <w:rFonts w:eastAsia="Calibri"/>
          <w:noProof/>
          <w:szCs w:val="28"/>
          <w:lang w:eastAsia="lv-LV"/>
        </w:rPr>
        <w:t>gada 13.</w:t>
      </w:r>
      <w:r w:rsidR="00121617">
        <w:rPr>
          <w:rFonts w:eastAsia="Calibri"/>
          <w:noProof/>
          <w:szCs w:val="28"/>
          <w:lang w:eastAsia="lv-LV"/>
        </w:rPr>
        <w:t xml:space="preserve"> </w:t>
      </w:r>
      <w:r w:rsidRPr="003E0836">
        <w:rPr>
          <w:rFonts w:eastAsia="Calibri"/>
          <w:noProof/>
          <w:szCs w:val="28"/>
          <w:lang w:eastAsia="lv-LV"/>
        </w:rPr>
        <w:t>aprīli, samaksājot dabas resursu nodokli 165,0 </w:t>
      </w:r>
      <w:r w:rsidRPr="003E0836">
        <w:rPr>
          <w:bCs/>
          <w:i/>
          <w:noProof/>
          <w:szCs w:val="24"/>
          <w:lang w:eastAsia="lv-LV"/>
        </w:rPr>
        <w:t>euro</w:t>
      </w:r>
      <w:r w:rsidRPr="003E0836">
        <w:rPr>
          <w:rFonts w:eastAsia="Calibri"/>
          <w:noProof/>
          <w:szCs w:val="28"/>
          <w:lang w:eastAsia="lv-LV"/>
        </w:rPr>
        <w:t xml:space="preserve"> apmērā, tika noteikta iespēja norakstīt transportlīdzekli, ja nav iespējams saņemt nolietota transportlīdzekļa likvidācijas sertifikātu sakarā ar transportlīdzekļa neesamību. Ar minētajiem </w:t>
      </w:r>
      <w:r w:rsidRPr="003E0836">
        <w:rPr>
          <w:rFonts w:eastAsia="Calibri"/>
          <w:szCs w:val="28"/>
          <w:lang w:eastAsia="lv-LV"/>
        </w:rPr>
        <w:t>grozījumiem</w:t>
      </w:r>
      <w:r w:rsidRPr="003E0836">
        <w:rPr>
          <w:rFonts w:eastAsia="Calibri"/>
          <w:noProof/>
          <w:szCs w:val="28"/>
          <w:lang w:eastAsia="lv-LV"/>
        </w:rPr>
        <w:t xml:space="preserve"> kopš 2019.</w:t>
      </w:r>
      <w:r w:rsidR="00121617">
        <w:rPr>
          <w:rFonts w:eastAsia="Calibri"/>
          <w:noProof/>
          <w:szCs w:val="28"/>
          <w:lang w:eastAsia="lv-LV"/>
        </w:rPr>
        <w:t xml:space="preserve"> </w:t>
      </w:r>
      <w:r w:rsidRPr="003E0836">
        <w:rPr>
          <w:rFonts w:eastAsia="Calibri"/>
          <w:noProof/>
          <w:szCs w:val="28"/>
          <w:lang w:eastAsia="lv-LV"/>
        </w:rPr>
        <w:t>gada 1.</w:t>
      </w:r>
      <w:r w:rsidR="00121617">
        <w:rPr>
          <w:rFonts w:eastAsia="Calibri"/>
          <w:noProof/>
          <w:szCs w:val="28"/>
          <w:lang w:eastAsia="lv-LV"/>
        </w:rPr>
        <w:t xml:space="preserve"> </w:t>
      </w:r>
      <w:r w:rsidRPr="003E0836">
        <w:rPr>
          <w:rFonts w:eastAsia="Calibri"/>
          <w:noProof/>
          <w:szCs w:val="28"/>
          <w:lang w:eastAsia="lv-LV"/>
        </w:rPr>
        <w:t>jūlija vairs netiek piemērots</w:t>
      </w:r>
      <w:r w:rsidRPr="003E0836">
        <w:rPr>
          <w:shd w:val="clear" w:color="auto" w:fill="FFFFFF"/>
        </w:rPr>
        <w:t xml:space="preserve"> dabas resursu nodokļa atbrīvojums vienreiz lietojamajiem galda traukiem un piederumiem, kas izgatavoti no plastmasas (polimēriem) un to kompozītmateriāliem (laminātiem). </w:t>
      </w:r>
    </w:p>
    <w:p w:rsidR="004D65F6" w:rsidRDefault="004D65F6" w:rsidP="004D65F6">
      <w:pPr>
        <w:widowControl w:val="0"/>
        <w:spacing w:before="120" w:after="0"/>
        <w:rPr>
          <w:szCs w:val="24"/>
        </w:rPr>
      </w:pPr>
      <w:r w:rsidRPr="00E13867">
        <w:rPr>
          <w:szCs w:val="24"/>
        </w:rPr>
        <w:t>Saskaņā ar 2019.</w:t>
      </w:r>
      <w:r w:rsidR="00121617">
        <w:rPr>
          <w:szCs w:val="24"/>
        </w:rPr>
        <w:t xml:space="preserve"> </w:t>
      </w:r>
      <w:r w:rsidRPr="00E13867">
        <w:rPr>
          <w:szCs w:val="24"/>
        </w:rPr>
        <w:t xml:space="preserve">gada </w:t>
      </w:r>
      <w:r>
        <w:rPr>
          <w:szCs w:val="24"/>
        </w:rPr>
        <w:t>14.</w:t>
      </w:r>
      <w:r w:rsidR="00121617">
        <w:rPr>
          <w:szCs w:val="24"/>
        </w:rPr>
        <w:t xml:space="preserve"> </w:t>
      </w:r>
      <w:r>
        <w:rPr>
          <w:szCs w:val="24"/>
        </w:rPr>
        <w:t>novembrī</w:t>
      </w:r>
      <w:r w:rsidRPr="00E13867">
        <w:rPr>
          <w:szCs w:val="24"/>
        </w:rPr>
        <w:t xml:space="preserve"> pieņemtajiem grozījumiem Dabas resursu nodokļa likumā</w:t>
      </w:r>
      <w:r>
        <w:rPr>
          <w:szCs w:val="24"/>
        </w:rPr>
        <w:t xml:space="preserve"> </w:t>
      </w:r>
      <w:r w:rsidRPr="00C87343">
        <w:rPr>
          <w:szCs w:val="24"/>
        </w:rPr>
        <w:t>ar 2020.</w:t>
      </w:r>
      <w:r w:rsidR="00121617">
        <w:rPr>
          <w:szCs w:val="24"/>
        </w:rPr>
        <w:t xml:space="preserve"> </w:t>
      </w:r>
      <w:r w:rsidRPr="00C87343">
        <w:rPr>
          <w:szCs w:val="24"/>
        </w:rPr>
        <w:t>gada 1.</w:t>
      </w:r>
      <w:r w:rsidR="00121617">
        <w:rPr>
          <w:szCs w:val="24"/>
        </w:rPr>
        <w:t xml:space="preserve"> </w:t>
      </w:r>
      <w:r w:rsidRPr="00C87343">
        <w:rPr>
          <w:szCs w:val="24"/>
        </w:rPr>
        <w:t>janvāri dabas resursu nodoklis tika paaugstināts</w:t>
      </w:r>
      <w:r>
        <w:rPr>
          <w:szCs w:val="24"/>
        </w:rPr>
        <w:t>:</w:t>
      </w:r>
    </w:p>
    <w:p w:rsidR="004D65F6" w:rsidRPr="00C87343" w:rsidRDefault="004D65F6" w:rsidP="004D65F6">
      <w:pPr>
        <w:pStyle w:val="ListParagraph"/>
        <w:widowControl w:val="0"/>
        <w:numPr>
          <w:ilvl w:val="0"/>
          <w:numId w:val="23"/>
        </w:numPr>
        <w:spacing w:after="0"/>
        <w:rPr>
          <w:szCs w:val="24"/>
        </w:rPr>
      </w:pPr>
      <w:r w:rsidRPr="00C87343">
        <w:rPr>
          <w:szCs w:val="24"/>
        </w:rPr>
        <w:t xml:space="preserve">akmeņoglēm, koksam un </w:t>
      </w:r>
      <w:proofErr w:type="spellStart"/>
      <w:r w:rsidRPr="00C87343">
        <w:rPr>
          <w:szCs w:val="24"/>
        </w:rPr>
        <w:t>lignītam</w:t>
      </w:r>
      <w:proofErr w:type="spellEnd"/>
      <w:r w:rsidRPr="00C87343">
        <w:rPr>
          <w:szCs w:val="24"/>
        </w:rPr>
        <w:t xml:space="preserve"> no 0,38 </w:t>
      </w:r>
      <w:proofErr w:type="spellStart"/>
      <w:r w:rsidRPr="00C87343">
        <w:rPr>
          <w:i/>
          <w:szCs w:val="24"/>
        </w:rPr>
        <w:t>euro</w:t>
      </w:r>
      <w:proofErr w:type="spellEnd"/>
      <w:r w:rsidRPr="00C87343">
        <w:rPr>
          <w:szCs w:val="24"/>
        </w:rPr>
        <w:t xml:space="preserve"> līdz 0,76 </w:t>
      </w:r>
      <w:proofErr w:type="spellStart"/>
      <w:r w:rsidRPr="00C87343">
        <w:rPr>
          <w:i/>
          <w:szCs w:val="24"/>
        </w:rPr>
        <w:t>euro</w:t>
      </w:r>
      <w:proofErr w:type="spellEnd"/>
      <w:r w:rsidRPr="00C87343">
        <w:rPr>
          <w:szCs w:val="24"/>
        </w:rPr>
        <w:t xml:space="preserve"> par GJ/tonnā ar pavaddokumentos norādītu siltumspēju. Par akmeņoglēm, koksu un </w:t>
      </w:r>
      <w:proofErr w:type="spellStart"/>
      <w:r w:rsidRPr="00C87343">
        <w:rPr>
          <w:szCs w:val="24"/>
        </w:rPr>
        <w:t>lignītu</w:t>
      </w:r>
      <w:proofErr w:type="spellEnd"/>
      <w:r w:rsidRPr="00C87343">
        <w:rPr>
          <w:szCs w:val="24"/>
        </w:rPr>
        <w:t>, kuru pavaddokumentos nav norādīta siltumspēja, likme tika paaugstināta no 10,65 </w:t>
      </w:r>
      <w:proofErr w:type="spellStart"/>
      <w:r w:rsidRPr="00C87343">
        <w:rPr>
          <w:i/>
          <w:szCs w:val="24"/>
        </w:rPr>
        <w:t>euro</w:t>
      </w:r>
      <w:proofErr w:type="spellEnd"/>
      <w:r w:rsidRPr="00C87343">
        <w:rPr>
          <w:szCs w:val="24"/>
        </w:rPr>
        <w:t xml:space="preserve"> līdz 21,3 </w:t>
      </w:r>
      <w:proofErr w:type="spellStart"/>
      <w:r w:rsidRPr="00C87343">
        <w:rPr>
          <w:i/>
          <w:szCs w:val="24"/>
        </w:rPr>
        <w:t>euro</w:t>
      </w:r>
      <w:proofErr w:type="spellEnd"/>
      <w:r w:rsidRPr="00C87343">
        <w:rPr>
          <w:szCs w:val="24"/>
        </w:rPr>
        <w:t xml:space="preserve"> par tonnu;</w:t>
      </w:r>
    </w:p>
    <w:p w:rsidR="004D65F6" w:rsidRPr="00C87343" w:rsidRDefault="004D65F6" w:rsidP="004D65F6">
      <w:pPr>
        <w:pStyle w:val="ListParagraph"/>
        <w:widowControl w:val="0"/>
        <w:numPr>
          <w:ilvl w:val="0"/>
          <w:numId w:val="23"/>
        </w:numPr>
        <w:spacing w:after="0"/>
        <w:rPr>
          <w:szCs w:val="24"/>
        </w:rPr>
      </w:pPr>
      <w:r w:rsidRPr="00C87343">
        <w:rPr>
          <w:rFonts w:eastAsia="Calibri"/>
          <w:noProof/>
          <w:szCs w:val="28"/>
          <w:lang w:eastAsia="lv-LV"/>
        </w:rPr>
        <w:lastRenderedPageBreak/>
        <w:t xml:space="preserve">smiltij no 0,21 līdz 0,36 </w:t>
      </w:r>
      <w:r w:rsidRPr="002A23DC">
        <w:rPr>
          <w:rFonts w:eastAsia="Calibri"/>
          <w:i/>
          <w:noProof/>
          <w:szCs w:val="28"/>
          <w:lang w:eastAsia="lv-LV"/>
        </w:rPr>
        <w:t>euro</w:t>
      </w:r>
      <w:r w:rsidRPr="00C87343">
        <w:rPr>
          <w:rFonts w:eastAsia="Calibri"/>
          <w:noProof/>
          <w:szCs w:val="28"/>
          <w:lang w:eastAsia="lv-LV"/>
        </w:rPr>
        <w:t xml:space="preserve"> par m</w:t>
      </w:r>
      <w:r w:rsidRPr="00C87343">
        <w:rPr>
          <w:rFonts w:eastAsia="Calibri"/>
          <w:noProof/>
          <w:szCs w:val="28"/>
          <w:vertAlign w:val="superscript"/>
          <w:lang w:eastAsia="lv-LV"/>
        </w:rPr>
        <w:t>3</w:t>
      </w:r>
      <w:r w:rsidRPr="00C87343">
        <w:rPr>
          <w:rFonts w:eastAsia="Calibri"/>
          <w:noProof/>
          <w:szCs w:val="28"/>
          <w:lang w:eastAsia="lv-LV"/>
        </w:rPr>
        <w:t>;</w:t>
      </w:r>
    </w:p>
    <w:p w:rsidR="004D65F6" w:rsidRPr="003D4481" w:rsidRDefault="004D65F6" w:rsidP="004D65F6">
      <w:pPr>
        <w:pStyle w:val="ListParagraph"/>
        <w:widowControl w:val="0"/>
        <w:numPr>
          <w:ilvl w:val="0"/>
          <w:numId w:val="23"/>
        </w:numPr>
        <w:spacing w:after="0"/>
        <w:rPr>
          <w:szCs w:val="24"/>
        </w:rPr>
      </w:pPr>
      <w:r>
        <w:rPr>
          <w:rFonts w:eastAsia="Calibri"/>
          <w:noProof/>
          <w:szCs w:val="28"/>
          <w:lang w:eastAsia="lv-LV"/>
        </w:rPr>
        <w:t xml:space="preserve">par </w:t>
      </w:r>
      <w:r w:rsidRPr="00C87343">
        <w:rPr>
          <w:rFonts w:eastAsia="Calibri"/>
          <w:noProof/>
          <w:szCs w:val="28"/>
          <w:lang w:eastAsia="lv-LV"/>
        </w:rPr>
        <w:t>CO</w:t>
      </w:r>
      <w:r w:rsidRPr="00C87343">
        <w:rPr>
          <w:rFonts w:eastAsia="Calibri"/>
          <w:noProof/>
          <w:szCs w:val="28"/>
          <w:vertAlign w:val="subscript"/>
          <w:lang w:eastAsia="lv-LV"/>
        </w:rPr>
        <w:t>2</w:t>
      </w:r>
      <w:r w:rsidRPr="00C87343">
        <w:rPr>
          <w:rFonts w:eastAsia="Calibri"/>
          <w:noProof/>
          <w:szCs w:val="28"/>
          <w:lang w:eastAsia="lv-LV"/>
        </w:rPr>
        <w:t xml:space="preserve"> emisiju gaisā no 4,5 </w:t>
      </w:r>
      <w:r w:rsidRPr="002A23DC">
        <w:rPr>
          <w:rFonts w:eastAsia="Calibri"/>
          <w:i/>
          <w:noProof/>
          <w:szCs w:val="28"/>
          <w:lang w:eastAsia="lv-LV"/>
        </w:rPr>
        <w:t>euro</w:t>
      </w:r>
      <w:r w:rsidRPr="00C87343">
        <w:rPr>
          <w:rFonts w:eastAsia="Calibri"/>
          <w:noProof/>
          <w:szCs w:val="28"/>
          <w:lang w:eastAsia="lv-LV"/>
        </w:rPr>
        <w:t xml:space="preserve"> līdz 9,0 </w:t>
      </w:r>
      <w:r w:rsidRPr="002A23DC">
        <w:rPr>
          <w:rFonts w:eastAsia="Calibri"/>
          <w:i/>
          <w:noProof/>
          <w:szCs w:val="28"/>
          <w:lang w:eastAsia="lv-LV"/>
        </w:rPr>
        <w:t>euro</w:t>
      </w:r>
      <w:r w:rsidRPr="00C87343">
        <w:rPr>
          <w:rFonts w:eastAsia="Calibri"/>
          <w:noProof/>
          <w:szCs w:val="28"/>
          <w:lang w:eastAsia="lv-LV"/>
        </w:rPr>
        <w:t xml:space="preserve"> par tonnu. Likmes </w:t>
      </w:r>
      <w:r w:rsidRPr="003D4481">
        <w:rPr>
          <w:rFonts w:eastAsia="Calibri"/>
          <w:noProof/>
          <w:szCs w:val="28"/>
          <w:lang w:eastAsia="lv-LV"/>
        </w:rPr>
        <w:t>paaugstinājums tika noteikts arī turpmākajos gados.</w:t>
      </w:r>
    </w:p>
    <w:p w:rsidR="004D65F6" w:rsidRPr="003D4481" w:rsidRDefault="004D65F6" w:rsidP="00121617">
      <w:pPr>
        <w:spacing w:before="120"/>
      </w:pPr>
      <w:r w:rsidRPr="003D4481">
        <w:t>Ņemot vērā iepriekš uzskaitītos faktorus, dabas resursu nodokļa ieņēmumi 2020.</w:t>
      </w:r>
      <w:r w:rsidR="00121617">
        <w:t xml:space="preserve"> </w:t>
      </w:r>
      <w:r w:rsidRPr="003D4481">
        <w:t>gadam tiek prognozēti 31,8 milj. </w:t>
      </w:r>
      <w:proofErr w:type="spellStart"/>
      <w:r w:rsidRPr="003D4481">
        <w:rPr>
          <w:bCs/>
          <w:i/>
          <w:szCs w:val="24"/>
        </w:rPr>
        <w:t>euro</w:t>
      </w:r>
      <w:proofErr w:type="spellEnd"/>
      <w:r w:rsidRPr="003D4481">
        <w:t xml:space="preserve"> apmērā, kas ir par 6,1 milj. </w:t>
      </w:r>
      <w:proofErr w:type="spellStart"/>
      <w:r w:rsidRPr="003D4481">
        <w:rPr>
          <w:bCs/>
          <w:i/>
          <w:szCs w:val="24"/>
        </w:rPr>
        <w:t>euro</w:t>
      </w:r>
      <w:proofErr w:type="spellEnd"/>
      <w:r w:rsidRPr="003D4481">
        <w:t xml:space="preserve"> jeb 16,1% mazāk nekā plānots. </w:t>
      </w:r>
    </w:p>
    <w:p w:rsidR="004D65F6" w:rsidRPr="003D4481" w:rsidRDefault="004D65F6" w:rsidP="004D65F6">
      <w:r w:rsidRPr="003D4481">
        <w:t>Sagatavojot 2021.</w:t>
      </w:r>
      <w:r w:rsidR="00121617">
        <w:t xml:space="preserve"> </w:t>
      </w:r>
      <w:r w:rsidRPr="003D4481">
        <w:t>gada dabas resursu nodokļa ieņēmumu plānu, tika ņemta vērā jaunā 2020.</w:t>
      </w:r>
      <w:r w:rsidR="00121617">
        <w:t xml:space="preserve"> </w:t>
      </w:r>
      <w:r w:rsidRPr="003D4481">
        <w:t xml:space="preserve">gada prognozētā bāze, iepriekšējo gadu izpildes tendences, nozares ekonomiskā attīstība, izmaiņas normatīvajos aktos un </w:t>
      </w:r>
      <w:r w:rsidR="00121617">
        <w:t>MK</w:t>
      </w:r>
      <w:r w:rsidRPr="003D4481">
        <w:t xml:space="preserve"> atbalstītās izmaiņas: </w:t>
      </w:r>
    </w:p>
    <w:p w:rsidR="004D65F6" w:rsidRPr="003D4481" w:rsidRDefault="004D65F6" w:rsidP="00121617">
      <w:pPr>
        <w:pStyle w:val="ListParagraph"/>
        <w:numPr>
          <w:ilvl w:val="1"/>
          <w:numId w:val="25"/>
        </w:numPr>
        <w:spacing w:after="0"/>
        <w:ind w:left="1134" w:hanging="425"/>
        <w:rPr>
          <w:szCs w:val="24"/>
        </w:rPr>
      </w:pPr>
      <w:r w:rsidRPr="003D4481">
        <w:t xml:space="preserve">2019.gada 14.novembrī Saeimā pieņemtie grozījumi Dabas resursu nodokļa likumā, kas paredz ar 2021.gada 1.janvāri nodokli piemērot arī </w:t>
      </w:r>
      <w:r w:rsidRPr="003D4481">
        <w:rPr>
          <w:szCs w:val="24"/>
        </w:rPr>
        <w:t>par sadzīves atkritumu sadedzināšanu</w:t>
      </w:r>
      <w:r>
        <w:rPr>
          <w:szCs w:val="24"/>
        </w:rPr>
        <w:t xml:space="preserve"> un</w:t>
      </w:r>
      <w:r w:rsidRPr="003D4481">
        <w:t xml:space="preserve"> ar 2021.gadā dabas resursu nodokļa likmi par CO</w:t>
      </w:r>
      <w:r w:rsidRPr="003D4481">
        <w:rPr>
          <w:vertAlign w:val="subscript"/>
        </w:rPr>
        <w:t>2</w:t>
      </w:r>
      <w:r w:rsidRPr="003D4481">
        <w:t xml:space="preserve"> emisiju paaugstināt no 9,0 </w:t>
      </w:r>
      <w:proofErr w:type="spellStart"/>
      <w:r w:rsidRPr="003D4481">
        <w:rPr>
          <w:bCs/>
          <w:i/>
          <w:szCs w:val="24"/>
        </w:rPr>
        <w:t>euro</w:t>
      </w:r>
      <w:proofErr w:type="spellEnd"/>
      <w:r w:rsidRPr="003D4481">
        <w:t xml:space="preserve"> līdz 12,0 </w:t>
      </w:r>
      <w:proofErr w:type="spellStart"/>
      <w:r w:rsidRPr="003D4481">
        <w:rPr>
          <w:bCs/>
          <w:i/>
          <w:szCs w:val="24"/>
        </w:rPr>
        <w:t>euro</w:t>
      </w:r>
      <w:proofErr w:type="spellEnd"/>
      <w:r>
        <w:t xml:space="preserve"> par tonnu un ar </w:t>
      </w:r>
      <w:r w:rsidRPr="003D4481">
        <w:t xml:space="preserve">2022.gada 1.janvāri – līdz 15,0 </w:t>
      </w:r>
      <w:proofErr w:type="spellStart"/>
      <w:r w:rsidRPr="003D4481">
        <w:rPr>
          <w:bCs/>
          <w:i/>
          <w:szCs w:val="24"/>
        </w:rPr>
        <w:t>euro</w:t>
      </w:r>
      <w:proofErr w:type="spellEnd"/>
      <w:r w:rsidRPr="003D4481">
        <w:t xml:space="preserve"> par tonnu</w:t>
      </w:r>
      <w:r w:rsidRPr="003D4481">
        <w:rPr>
          <w:szCs w:val="24"/>
        </w:rPr>
        <w:t>;</w:t>
      </w:r>
    </w:p>
    <w:p w:rsidR="004D65F6" w:rsidRPr="0077276D" w:rsidRDefault="004D65F6" w:rsidP="00121617">
      <w:pPr>
        <w:pStyle w:val="ListParagraph"/>
        <w:numPr>
          <w:ilvl w:val="1"/>
          <w:numId w:val="25"/>
        </w:numPr>
        <w:ind w:left="1134" w:hanging="425"/>
        <w:rPr>
          <w:szCs w:val="24"/>
        </w:rPr>
      </w:pPr>
      <w:r w:rsidRPr="0077276D">
        <w:rPr>
          <w:szCs w:val="24"/>
        </w:rPr>
        <w:t>likumprojekta “Par valsts budžetu 2021.gadam” izstrādes gaitā</w:t>
      </w:r>
      <w:r>
        <w:rPr>
          <w:szCs w:val="24"/>
        </w:rPr>
        <w:t xml:space="preserve"> 2020.gada </w:t>
      </w:r>
      <w:r w:rsidRPr="003D4481">
        <w:rPr>
          <w:szCs w:val="24"/>
        </w:rPr>
        <w:t>septembrī</w:t>
      </w:r>
      <w:r>
        <w:rPr>
          <w:szCs w:val="24"/>
        </w:rPr>
        <w:t xml:space="preserve"> </w:t>
      </w:r>
      <w:r w:rsidRPr="0077276D">
        <w:rPr>
          <w:szCs w:val="24"/>
        </w:rPr>
        <w:t>Ministru kabinetā atbalstītie pasākumi 2021.gadā paredz</w:t>
      </w:r>
      <w:r>
        <w:rPr>
          <w:szCs w:val="24"/>
        </w:rPr>
        <w:t xml:space="preserve"> vairākas dabas resursu</w:t>
      </w:r>
      <w:r w:rsidRPr="0077276D">
        <w:rPr>
          <w:szCs w:val="24"/>
        </w:rPr>
        <w:t xml:space="preserve"> nodokļa izmaiņas: </w:t>
      </w:r>
    </w:p>
    <w:p w:rsidR="00121617" w:rsidRDefault="004D65F6" w:rsidP="00121617">
      <w:pPr>
        <w:pStyle w:val="ListParagraph"/>
        <w:numPr>
          <w:ilvl w:val="2"/>
          <w:numId w:val="22"/>
        </w:numPr>
        <w:spacing w:after="0"/>
        <w:ind w:left="1985" w:hanging="284"/>
        <w:rPr>
          <w:szCs w:val="24"/>
        </w:rPr>
      </w:pPr>
      <w:r w:rsidRPr="00D85286">
        <w:rPr>
          <w:szCs w:val="24"/>
        </w:rPr>
        <w:t>atcelt atbrīvojumu par CO</w:t>
      </w:r>
      <w:r w:rsidRPr="00D85286">
        <w:rPr>
          <w:szCs w:val="24"/>
          <w:vertAlign w:val="subscript"/>
        </w:rPr>
        <w:t>2</w:t>
      </w:r>
      <w:r w:rsidRPr="00D85286">
        <w:rPr>
          <w:szCs w:val="24"/>
        </w:rPr>
        <w:t xml:space="preserve"> emisijām kūdras izmantošanai stacionārajās tehnoloģiskajās iekārtās;</w:t>
      </w:r>
    </w:p>
    <w:p w:rsidR="004D65F6" w:rsidRPr="00121617" w:rsidRDefault="004D65F6" w:rsidP="00121617">
      <w:pPr>
        <w:pStyle w:val="ListParagraph"/>
        <w:numPr>
          <w:ilvl w:val="2"/>
          <w:numId w:val="22"/>
        </w:numPr>
        <w:spacing w:after="0"/>
        <w:ind w:left="1985" w:hanging="284"/>
        <w:rPr>
          <w:szCs w:val="24"/>
        </w:rPr>
      </w:pPr>
      <w:r w:rsidRPr="00121617">
        <w:rPr>
          <w:szCs w:val="24"/>
        </w:rPr>
        <w:t>ar 2021., 2022. un 2023.gada 1.janvāri paaugstināt dabas resursu nodokļa likmes par sadzīves, ražošanas un bīstamo atkritumu apglabāšanu (skat. 3.17.tabulu);</w:t>
      </w:r>
    </w:p>
    <w:p w:rsidR="004D65F6" w:rsidRPr="00D85286" w:rsidRDefault="004D65F6" w:rsidP="00121617">
      <w:pPr>
        <w:pStyle w:val="T"/>
        <w:spacing w:before="240"/>
        <w:rPr>
          <w:szCs w:val="24"/>
          <w:highlight w:val="yellow"/>
        </w:rPr>
      </w:pPr>
      <w:r w:rsidRPr="00D53302">
        <w:t xml:space="preserve">3.17. tabula </w:t>
      </w:r>
      <w:r w:rsidRPr="00D53302">
        <w:rPr>
          <w:i w:val="0"/>
        </w:rPr>
        <w:t>Dabas resursu nodokļa likmes par atkritumu apglabāšanu 2020.</w:t>
      </w:r>
      <w:r w:rsidRPr="00D53302">
        <w:rPr>
          <w:b w:val="0"/>
          <w:i w:val="0"/>
        </w:rPr>
        <w:t>–</w:t>
      </w:r>
      <w:r w:rsidRPr="00D53302">
        <w:rPr>
          <w:i w:val="0"/>
        </w:rPr>
        <w:t>2023.gadā</w:t>
      </w:r>
      <w:r>
        <w:t xml:space="preserve">, </w:t>
      </w:r>
      <w:proofErr w:type="spellStart"/>
      <w:r>
        <w:t>euro</w:t>
      </w:r>
      <w:proofErr w:type="spellEnd"/>
    </w:p>
    <w:tbl>
      <w:tblPr>
        <w:tblStyle w:val="TableGrid"/>
        <w:tblW w:w="8930" w:type="dxa"/>
        <w:tblInd w:w="137" w:type="dxa"/>
        <w:tblLook w:val="04A0" w:firstRow="1" w:lastRow="0" w:firstColumn="1" w:lastColumn="0" w:noHBand="0" w:noVBand="1"/>
      </w:tblPr>
      <w:tblGrid>
        <w:gridCol w:w="3457"/>
        <w:gridCol w:w="1387"/>
        <w:gridCol w:w="1387"/>
        <w:gridCol w:w="1387"/>
        <w:gridCol w:w="1312"/>
      </w:tblGrid>
      <w:tr w:rsidR="004D65F6" w:rsidRPr="00D53302" w:rsidTr="00454AEA">
        <w:trPr>
          <w:trHeight w:val="116"/>
        </w:trPr>
        <w:tc>
          <w:tcPr>
            <w:tcW w:w="3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5F6" w:rsidRPr="00D53302" w:rsidRDefault="004D65F6" w:rsidP="009A6568">
            <w:pPr>
              <w:pStyle w:val="ListParagraph"/>
              <w:widowControl w:val="0"/>
              <w:spacing w:before="0" w:after="0"/>
              <w:ind w:left="0" w:firstLine="0"/>
              <w:jc w:val="left"/>
              <w:rPr>
                <w:b/>
                <w:sz w:val="18"/>
                <w:szCs w:val="18"/>
              </w:rPr>
            </w:pPr>
            <w:r w:rsidRPr="00D53302">
              <w:rPr>
                <w:b/>
                <w:sz w:val="18"/>
                <w:szCs w:val="18"/>
              </w:rPr>
              <w:t>Atkritumu veids</w:t>
            </w:r>
          </w:p>
        </w:tc>
        <w:tc>
          <w:tcPr>
            <w:tcW w:w="1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5F6" w:rsidRPr="00D53302" w:rsidRDefault="004D65F6" w:rsidP="009A6568">
            <w:pPr>
              <w:pStyle w:val="ListParagraph"/>
              <w:widowControl w:val="0"/>
              <w:spacing w:before="0" w:after="0"/>
              <w:ind w:left="0" w:firstLine="0"/>
              <w:jc w:val="center"/>
              <w:rPr>
                <w:b/>
                <w:sz w:val="18"/>
                <w:szCs w:val="18"/>
              </w:rPr>
            </w:pPr>
            <w:r w:rsidRPr="00D53302">
              <w:rPr>
                <w:b/>
                <w:sz w:val="18"/>
                <w:szCs w:val="18"/>
              </w:rPr>
              <w:t>01.01.2020.</w:t>
            </w:r>
          </w:p>
        </w:tc>
        <w:tc>
          <w:tcPr>
            <w:tcW w:w="1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5F6" w:rsidRPr="00D53302" w:rsidRDefault="004D65F6" w:rsidP="009A6568">
            <w:pPr>
              <w:pStyle w:val="ListParagraph"/>
              <w:widowControl w:val="0"/>
              <w:spacing w:before="0" w:after="0"/>
              <w:ind w:left="0" w:firstLine="0"/>
              <w:jc w:val="center"/>
              <w:rPr>
                <w:b/>
                <w:sz w:val="18"/>
                <w:szCs w:val="18"/>
              </w:rPr>
            </w:pPr>
            <w:r w:rsidRPr="00D53302">
              <w:rPr>
                <w:b/>
                <w:sz w:val="18"/>
                <w:szCs w:val="18"/>
              </w:rPr>
              <w:t>01.01.2021.</w:t>
            </w:r>
          </w:p>
        </w:tc>
        <w:tc>
          <w:tcPr>
            <w:tcW w:w="1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5F6" w:rsidRPr="00D53302" w:rsidRDefault="004D65F6" w:rsidP="009A6568">
            <w:pPr>
              <w:pStyle w:val="ListParagraph"/>
              <w:widowControl w:val="0"/>
              <w:spacing w:before="0" w:after="0"/>
              <w:ind w:left="0" w:firstLine="0"/>
              <w:jc w:val="center"/>
              <w:rPr>
                <w:b/>
                <w:sz w:val="18"/>
                <w:szCs w:val="18"/>
              </w:rPr>
            </w:pPr>
            <w:r w:rsidRPr="00D53302">
              <w:rPr>
                <w:b/>
                <w:sz w:val="18"/>
                <w:szCs w:val="18"/>
              </w:rPr>
              <w:t>01.01.2022.</w:t>
            </w:r>
          </w:p>
        </w:tc>
        <w:tc>
          <w:tcPr>
            <w:tcW w:w="1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5F6" w:rsidRPr="00D53302" w:rsidRDefault="004D65F6" w:rsidP="009A6568">
            <w:pPr>
              <w:pStyle w:val="ListParagraph"/>
              <w:widowControl w:val="0"/>
              <w:spacing w:after="0"/>
              <w:ind w:left="0" w:firstLine="0"/>
              <w:jc w:val="center"/>
              <w:rPr>
                <w:b/>
                <w:sz w:val="18"/>
                <w:szCs w:val="18"/>
              </w:rPr>
            </w:pPr>
            <w:r w:rsidRPr="00D53302">
              <w:rPr>
                <w:b/>
                <w:sz w:val="18"/>
                <w:szCs w:val="18"/>
              </w:rPr>
              <w:t>01.01.2023.</w:t>
            </w:r>
          </w:p>
        </w:tc>
      </w:tr>
      <w:tr w:rsidR="004D65F6" w:rsidRPr="00D53302" w:rsidTr="00454AEA">
        <w:trPr>
          <w:trHeight w:val="380"/>
        </w:trPr>
        <w:tc>
          <w:tcPr>
            <w:tcW w:w="3457" w:type="dxa"/>
            <w:tcBorders>
              <w:top w:val="single" w:sz="4" w:space="0" w:color="auto"/>
            </w:tcBorders>
          </w:tcPr>
          <w:p w:rsidR="004D65F6" w:rsidRPr="00D53302" w:rsidRDefault="004D65F6" w:rsidP="009A6568">
            <w:pPr>
              <w:pStyle w:val="ListParagraph"/>
              <w:widowControl w:val="0"/>
              <w:spacing w:before="0" w:after="0"/>
              <w:ind w:left="0" w:firstLine="0"/>
              <w:rPr>
                <w:sz w:val="18"/>
                <w:szCs w:val="18"/>
              </w:rPr>
            </w:pPr>
            <w:r w:rsidRPr="00D53302">
              <w:rPr>
                <w:sz w:val="18"/>
                <w:szCs w:val="18"/>
              </w:rPr>
              <w:t xml:space="preserve">Sadzīves atkritumi un ražošanas atkritumi, kas nav uzskatāmi par bīstamiem atkritumiem, </w:t>
            </w:r>
            <w:proofErr w:type="spellStart"/>
            <w:r w:rsidRPr="00D53302">
              <w:rPr>
                <w:bCs/>
                <w:i/>
                <w:sz w:val="18"/>
                <w:szCs w:val="18"/>
              </w:rPr>
              <w:t>euro</w:t>
            </w:r>
            <w:proofErr w:type="spellEnd"/>
            <w:r w:rsidRPr="00D53302">
              <w:rPr>
                <w:sz w:val="18"/>
                <w:szCs w:val="18"/>
              </w:rPr>
              <w:t xml:space="preserve"> par tonnu</w:t>
            </w:r>
          </w:p>
        </w:tc>
        <w:tc>
          <w:tcPr>
            <w:tcW w:w="1387" w:type="dxa"/>
            <w:tcBorders>
              <w:top w:val="single" w:sz="4" w:space="0" w:color="auto"/>
            </w:tcBorders>
            <w:vAlign w:val="center"/>
          </w:tcPr>
          <w:p w:rsidR="004D65F6" w:rsidRPr="00D53302" w:rsidRDefault="004D65F6" w:rsidP="009A6568">
            <w:pPr>
              <w:pStyle w:val="ListParagraph"/>
              <w:widowControl w:val="0"/>
              <w:spacing w:before="0" w:after="0"/>
              <w:ind w:left="0" w:firstLine="0"/>
              <w:jc w:val="center"/>
              <w:rPr>
                <w:sz w:val="18"/>
                <w:szCs w:val="18"/>
              </w:rPr>
            </w:pPr>
            <w:r w:rsidRPr="00D53302">
              <w:rPr>
                <w:sz w:val="18"/>
                <w:szCs w:val="18"/>
              </w:rPr>
              <w:t>50,0</w:t>
            </w:r>
          </w:p>
        </w:tc>
        <w:tc>
          <w:tcPr>
            <w:tcW w:w="1387" w:type="dxa"/>
            <w:tcBorders>
              <w:top w:val="single" w:sz="4" w:space="0" w:color="auto"/>
            </w:tcBorders>
            <w:vAlign w:val="center"/>
          </w:tcPr>
          <w:p w:rsidR="004D65F6" w:rsidRPr="00D53302" w:rsidRDefault="004D65F6" w:rsidP="009A6568">
            <w:pPr>
              <w:pStyle w:val="ListParagraph"/>
              <w:widowControl w:val="0"/>
              <w:spacing w:before="0" w:after="0"/>
              <w:ind w:left="0" w:firstLine="0"/>
              <w:jc w:val="center"/>
              <w:rPr>
                <w:sz w:val="18"/>
                <w:szCs w:val="18"/>
              </w:rPr>
            </w:pPr>
            <w:r w:rsidRPr="00D53302">
              <w:rPr>
                <w:sz w:val="18"/>
                <w:szCs w:val="18"/>
              </w:rPr>
              <w:t>65,0</w:t>
            </w:r>
          </w:p>
        </w:tc>
        <w:tc>
          <w:tcPr>
            <w:tcW w:w="1387" w:type="dxa"/>
            <w:tcBorders>
              <w:top w:val="single" w:sz="4" w:space="0" w:color="auto"/>
            </w:tcBorders>
            <w:vAlign w:val="center"/>
          </w:tcPr>
          <w:p w:rsidR="004D65F6" w:rsidRPr="00D53302" w:rsidRDefault="004D65F6" w:rsidP="009A6568">
            <w:pPr>
              <w:pStyle w:val="ListParagraph"/>
              <w:widowControl w:val="0"/>
              <w:spacing w:before="0" w:after="0"/>
              <w:ind w:left="0" w:firstLine="0"/>
              <w:jc w:val="center"/>
              <w:rPr>
                <w:sz w:val="18"/>
                <w:szCs w:val="18"/>
              </w:rPr>
            </w:pPr>
            <w:r w:rsidRPr="00D53302">
              <w:rPr>
                <w:sz w:val="18"/>
                <w:szCs w:val="18"/>
              </w:rPr>
              <w:t>80,0</w:t>
            </w:r>
          </w:p>
        </w:tc>
        <w:tc>
          <w:tcPr>
            <w:tcW w:w="1312" w:type="dxa"/>
            <w:tcBorders>
              <w:top w:val="single" w:sz="4" w:space="0" w:color="auto"/>
            </w:tcBorders>
            <w:vAlign w:val="center"/>
          </w:tcPr>
          <w:p w:rsidR="004D65F6" w:rsidRPr="00D53302" w:rsidRDefault="004D65F6" w:rsidP="009A6568">
            <w:pPr>
              <w:pStyle w:val="ListParagraph"/>
              <w:widowControl w:val="0"/>
              <w:spacing w:before="0" w:after="0"/>
              <w:ind w:left="0" w:firstLine="0"/>
              <w:jc w:val="center"/>
              <w:rPr>
                <w:sz w:val="18"/>
                <w:szCs w:val="18"/>
              </w:rPr>
            </w:pPr>
            <w:r w:rsidRPr="00D53302">
              <w:rPr>
                <w:sz w:val="18"/>
                <w:szCs w:val="18"/>
              </w:rPr>
              <w:t>95,0</w:t>
            </w:r>
          </w:p>
        </w:tc>
      </w:tr>
      <w:tr w:rsidR="004D65F6" w:rsidRPr="00D53302" w:rsidTr="00454AEA">
        <w:trPr>
          <w:trHeight w:val="396"/>
        </w:trPr>
        <w:tc>
          <w:tcPr>
            <w:tcW w:w="3457" w:type="dxa"/>
          </w:tcPr>
          <w:p w:rsidR="004D65F6" w:rsidRPr="00D53302" w:rsidRDefault="004D65F6" w:rsidP="009A6568">
            <w:pPr>
              <w:pStyle w:val="ListParagraph"/>
              <w:widowControl w:val="0"/>
              <w:spacing w:before="0" w:after="0"/>
              <w:ind w:left="0" w:firstLine="0"/>
              <w:rPr>
                <w:sz w:val="18"/>
                <w:szCs w:val="18"/>
              </w:rPr>
            </w:pPr>
            <w:r w:rsidRPr="00D53302">
              <w:rPr>
                <w:sz w:val="18"/>
                <w:szCs w:val="18"/>
              </w:rPr>
              <w:t xml:space="preserve">Bīstamie atkritumi un ražošanas atkritumi, kas ir uzskatāmi par bīstamiem atkritumiem, </w:t>
            </w:r>
            <w:proofErr w:type="spellStart"/>
            <w:r w:rsidRPr="00D53302">
              <w:rPr>
                <w:bCs/>
                <w:i/>
                <w:sz w:val="18"/>
                <w:szCs w:val="18"/>
              </w:rPr>
              <w:t>euro</w:t>
            </w:r>
            <w:proofErr w:type="spellEnd"/>
            <w:r w:rsidRPr="00D53302">
              <w:rPr>
                <w:sz w:val="18"/>
                <w:szCs w:val="18"/>
              </w:rPr>
              <w:t xml:space="preserve"> par tonnu</w:t>
            </w:r>
          </w:p>
        </w:tc>
        <w:tc>
          <w:tcPr>
            <w:tcW w:w="1387" w:type="dxa"/>
            <w:vAlign w:val="center"/>
          </w:tcPr>
          <w:p w:rsidR="004D65F6" w:rsidRPr="00D53302" w:rsidRDefault="004D65F6" w:rsidP="009A6568">
            <w:pPr>
              <w:pStyle w:val="ListParagraph"/>
              <w:widowControl w:val="0"/>
              <w:spacing w:before="0" w:after="0"/>
              <w:ind w:left="0" w:firstLine="0"/>
              <w:jc w:val="center"/>
              <w:rPr>
                <w:sz w:val="18"/>
                <w:szCs w:val="18"/>
              </w:rPr>
            </w:pPr>
            <w:r w:rsidRPr="00D53302">
              <w:rPr>
                <w:sz w:val="18"/>
                <w:szCs w:val="18"/>
              </w:rPr>
              <w:t>60,0</w:t>
            </w:r>
          </w:p>
        </w:tc>
        <w:tc>
          <w:tcPr>
            <w:tcW w:w="1387" w:type="dxa"/>
            <w:vAlign w:val="center"/>
          </w:tcPr>
          <w:p w:rsidR="004D65F6" w:rsidRPr="00D53302" w:rsidRDefault="004D65F6" w:rsidP="009A6568">
            <w:pPr>
              <w:pStyle w:val="ListParagraph"/>
              <w:widowControl w:val="0"/>
              <w:spacing w:before="0" w:after="0"/>
              <w:ind w:left="0" w:firstLine="0"/>
              <w:jc w:val="center"/>
              <w:rPr>
                <w:sz w:val="18"/>
                <w:szCs w:val="18"/>
              </w:rPr>
            </w:pPr>
            <w:r w:rsidRPr="00D53302">
              <w:rPr>
                <w:sz w:val="18"/>
                <w:szCs w:val="18"/>
              </w:rPr>
              <w:t>70,0</w:t>
            </w:r>
          </w:p>
        </w:tc>
        <w:tc>
          <w:tcPr>
            <w:tcW w:w="1387" w:type="dxa"/>
            <w:vAlign w:val="center"/>
          </w:tcPr>
          <w:p w:rsidR="004D65F6" w:rsidRPr="00D53302" w:rsidRDefault="004D65F6" w:rsidP="009A6568">
            <w:pPr>
              <w:pStyle w:val="ListParagraph"/>
              <w:widowControl w:val="0"/>
              <w:spacing w:before="0" w:after="0"/>
              <w:ind w:left="0" w:firstLine="0"/>
              <w:jc w:val="center"/>
              <w:rPr>
                <w:sz w:val="18"/>
                <w:szCs w:val="18"/>
              </w:rPr>
            </w:pPr>
            <w:r w:rsidRPr="00D53302">
              <w:rPr>
                <w:sz w:val="18"/>
                <w:szCs w:val="18"/>
              </w:rPr>
              <w:t>85,0</w:t>
            </w:r>
          </w:p>
        </w:tc>
        <w:tc>
          <w:tcPr>
            <w:tcW w:w="1312" w:type="dxa"/>
            <w:vAlign w:val="center"/>
          </w:tcPr>
          <w:p w:rsidR="004D65F6" w:rsidRPr="00D53302" w:rsidRDefault="004D65F6" w:rsidP="009A6568">
            <w:pPr>
              <w:pStyle w:val="ListParagraph"/>
              <w:widowControl w:val="0"/>
              <w:spacing w:before="0" w:after="0"/>
              <w:ind w:left="0" w:firstLine="0"/>
              <w:jc w:val="center"/>
              <w:rPr>
                <w:sz w:val="18"/>
                <w:szCs w:val="18"/>
              </w:rPr>
            </w:pPr>
            <w:r w:rsidRPr="00D53302">
              <w:rPr>
                <w:sz w:val="18"/>
                <w:szCs w:val="18"/>
              </w:rPr>
              <w:t>100,0</w:t>
            </w:r>
          </w:p>
        </w:tc>
      </w:tr>
    </w:tbl>
    <w:p w:rsidR="004D65F6" w:rsidRDefault="004D65F6" w:rsidP="00D53302">
      <w:pPr>
        <w:pStyle w:val="ListParagraph"/>
        <w:numPr>
          <w:ilvl w:val="2"/>
          <w:numId w:val="22"/>
        </w:numPr>
        <w:spacing w:before="120" w:after="0"/>
        <w:ind w:left="1985" w:hanging="284"/>
        <w:contextualSpacing w:val="0"/>
        <w:rPr>
          <w:szCs w:val="24"/>
        </w:rPr>
      </w:pPr>
      <w:r>
        <w:rPr>
          <w:szCs w:val="24"/>
        </w:rPr>
        <w:t>vienlaicīgi ar 2021.</w:t>
      </w:r>
      <w:r w:rsidR="00D53302">
        <w:rPr>
          <w:szCs w:val="24"/>
        </w:rPr>
        <w:t xml:space="preserve"> </w:t>
      </w:r>
      <w:r>
        <w:rPr>
          <w:szCs w:val="24"/>
        </w:rPr>
        <w:t>gadu plānots mainīt nodokļa ieņēmumu sadalījumu, samazinot valsts budžetā ieskaitāmo nodokļa ieņēmumu daļu par bīstamo atkritumu apglabāšanu no 100% līdz 80 procentiem. Izmaiņas paredzētās arī ar 2022. un 2023.</w:t>
      </w:r>
      <w:r w:rsidR="00D53302">
        <w:rPr>
          <w:szCs w:val="24"/>
        </w:rPr>
        <w:t xml:space="preserve"> </w:t>
      </w:r>
      <w:r>
        <w:rPr>
          <w:szCs w:val="24"/>
        </w:rPr>
        <w:t>gada 1.</w:t>
      </w:r>
      <w:r w:rsidR="00D53302">
        <w:rPr>
          <w:szCs w:val="24"/>
        </w:rPr>
        <w:t xml:space="preserve"> </w:t>
      </w:r>
      <w:r>
        <w:rPr>
          <w:szCs w:val="24"/>
        </w:rPr>
        <w:t>janvāri;</w:t>
      </w:r>
    </w:p>
    <w:p w:rsidR="004D65F6" w:rsidRPr="00D53302" w:rsidRDefault="004D65F6" w:rsidP="00121617">
      <w:pPr>
        <w:pStyle w:val="ListParagraph"/>
        <w:numPr>
          <w:ilvl w:val="2"/>
          <w:numId w:val="22"/>
        </w:numPr>
        <w:spacing w:after="0"/>
        <w:ind w:left="1985" w:hanging="284"/>
        <w:rPr>
          <w:szCs w:val="24"/>
        </w:rPr>
      </w:pPr>
      <w:r w:rsidRPr="00D85286">
        <w:rPr>
          <w:szCs w:val="24"/>
        </w:rPr>
        <w:t>ar 2021., 2022. un 2023.</w:t>
      </w:r>
      <w:r w:rsidR="00D53302">
        <w:rPr>
          <w:szCs w:val="24"/>
        </w:rPr>
        <w:t xml:space="preserve"> </w:t>
      </w:r>
      <w:r w:rsidRPr="00D85286">
        <w:rPr>
          <w:szCs w:val="24"/>
        </w:rPr>
        <w:t>gada 1.</w:t>
      </w:r>
      <w:r w:rsidR="00D53302">
        <w:rPr>
          <w:szCs w:val="24"/>
        </w:rPr>
        <w:t xml:space="preserve"> </w:t>
      </w:r>
      <w:r w:rsidRPr="00D85286">
        <w:rPr>
          <w:szCs w:val="24"/>
        </w:rPr>
        <w:t xml:space="preserve">janvāri paaugstināt nodokļa likmes par gaisa </w:t>
      </w:r>
      <w:r w:rsidRPr="00D53302">
        <w:rPr>
          <w:szCs w:val="24"/>
        </w:rPr>
        <w:t>piesārņošanu (skat. 3.18.</w:t>
      </w:r>
      <w:r w:rsidR="00D53302" w:rsidRPr="00D53302">
        <w:rPr>
          <w:szCs w:val="24"/>
        </w:rPr>
        <w:t xml:space="preserve"> </w:t>
      </w:r>
      <w:r w:rsidRPr="00D53302">
        <w:rPr>
          <w:szCs w:val="24"/>
        </w:rPr>
        <w:t>tabulu);</w:t>
      </w:r>
    </w:p>
    <w:p w:rsidR="004D65F6" w:rsidRPr="009460BA" w:rsidRDefault="004D65F6" w:rsidP="001D6E9C">
      <w:pPr>
        <w:pStyle w:val="T"/>
        <w:spacing w:before="240"/>
        <w:rPr>
          <w:szCs w:val="24"/>
          <w:highlight w:val="yellow"/>
        </w:rPr>
      </w:pPr>
      <w:r w:rsidRPr="00D53302">
        <w:t>3.18</w:t>
      </w:r>
      <w:r w:rsidR="00D53302">
        <w:t>. tabula</w:t>
      </w:r>
      <w:r w:rsidRPr="00D85286">
        <w:t xml:space="preserve"> </w:t>
      </w:r>
      <w:r w:rsidRPr="00D53302">
        <w:rPr>
          <w:i w:val="0"/>
        </w:rPr>
        <w:t>Dabas resursu nodokļa likmes par gaisa piesārņošanu</w:t>
      </w:r>
      <w:r w:rsidR="00D53302" w:rsidRPr="00D53302">
        <w:rPr>
          <w:i w:val="0"/>
        </w:rPr>
        <w:t xml:space="preserve"> </w:t>
      </w:r>
      <w:r w:rsidRPr="00D53302">
        <w:rPr>
          <w:i w:val="0"/>
        </w:rPr>
        <w:t>2020.</w:t>
      </w:r>
      <w:r w:rsidRPr="00D53302">
        <w:rPr>
          <w:b w:val="0"/>
          <w:i w:val="0"/>
        </w:rPr>
        <w:t>–</w:t>
      </w:r>
      <w:r w:rsidRPr="00D53302">
        <w:rPr>
          <w:i w:val="0"/>
        </w:rPr>
        <w:t>2023.gadā</w:t>
      </w:r>
      <w:r>
        <w:t xml:space="preserve">, </w:t>
      </w:r>
      <w:proofErr w:type="spellStart"/>
      <w:r>
        <w:t>euro</w:t>
      </w:r>
      <w:proofErr w:type="spellEnd"/>
    </w:p>
    <w:tbl>
      <w:tblPr>
        <w:tblStyle w:val="TableGrid"/>
        <w:tblW w:w="8930" w:type="dxa"/>
        <w:tblInd w:w="137" w:type="dxa"/>
        <w:tblLook w:val="04A0" w:firstRow="1" w:lastRow="0" w:firstColumn="1" w:lastColumn="0" w:noHBand="0" w:noVBand="1"/>
      </w:tblPr>
      <w:tblGrid>
        <w:gridCol w:w="4266"/>
        <w:gridCol w:w="1166"/>
        <w:gridCol w:w="1166"/>
        <w:gridCol w:w="1166"/>
        <w:gridCol w:w="1166"/>
      </w:tblGrid>
      <w:tr w:rsidR="004D65F6" w:rsidRPr="001D6E9C" w:rsidTr="00454AEA">
        <w:trPr>
          <w:trHeight w:val="148"/>
        </w:trPr>
        <w:tc>
          <w:tcPr>
            <w:tcW w:w="4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5F6" w:rsidRPr="001D6E9C" w:rsidRDefault="004D65F6" w:rsidP="001D6E9C">
            <w:pPr>
              <w:pStyle w:val="ListParagraph"/>
              <w:widowControl w:val="0"/>
              <w:spacing w:before="0" w:after="0"/>
              <w:ind w:left="0" w:firstLine="0"/>
              <w:contextualSpacing w:val="0"/>
              <w:jc w:val="left"/>
              <w:rPr>
                <w:b/>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5F6" w:rsidRPr="001D6E9C" w:rsidRDefault="004D65F6" w:rsidP="001D6E9C">
            <w:pPr>
              <w:pStyle w:val="ListParagraph"/>
              <w:widowControl w:val="0"/>
              <w:spacing w:before="0" w:after="0"/>
              <w:ind w:left="0" w:firstLine="0"/>
              <w:contextualSpacing w:val="0"/>
              <w:jc w:val="center"/>
              <w:rPr>
                <w:b/>
                <w:sz w:val="18"/>
                <w:szCs w:val="18"/>
              </w:rPr>
            </w:pPr>
            <w:r w:rsidRPr="001D6E9C">
              <w:rPr>
                <w:b/>
                <w:sz w:val="18"/>
                <w:szCs w:val="18"/>
              </w:rPr>
              <w:t>2020</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5F6" w:rsidRPr="001D6E9C" w:rsidRDefault="004D65F6" w:rsidP="001D6E9C">
            <w:pPr>
              <w:pStyle w:val="ListParagraph"/>
              <w:widowControl w:val="0"/>
              <w:spacing w:before="0" w:after="0"/>
              <w:ind w:left="0" w:firstLine="0"/>
              <w:contextualSpacing w:val="0"/>
              <w:jc w:val="center"/>
              <w:rPr>
                <w:b/>
                <w:sz w:val="18"/>
                <w:szCs w:val="18"/>
              </w:rPr>
            </w:pPr>
            <w:r w:rsidRPr="001D6E9C">
              <w:rPr>
                <w:b/>
                <w:sz w:val="18"/>
                <w:szCs w:val="18"/>
              </w:rPr>
              <w:t>01.01.2021.</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5F6" w:rsidRPr="001D6E9C" w:rsidRDefault="004D65F6" w:rsidP="001D6E9C">
            <w:pPr>
              <w:pStyle w:val="ListParagraph"/>
              <w:widowControl w:val="0"/>
              <w:spacing w:before="0" w:after="0"/>
              <w:ind w:left="0" w:firstLine="0"/>
              <w:contextualSpacing w:val="0"/>
              <w:jc w:val="center"/>
              <w:rPr>
                <w:b/>
                <w:sz w:val="18"/>
                <w:szCs w:val="18"/>
              </w:rPr>
            </w:pPr>
            <w:r w:rsidRPr="001D6E9C">
              <w:rPr>
                <w:b/>
                <w:sz w:val="18"/>
                <w:szCs w:val="18"/>
              </w:rPr>
              <w:t>01.01.2022.</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5F6" w:rsidRPr="001D6E9C" w:rsidRDefault="004D65F6" w:rsidP="001D6E9C">
            <w:pPr>
              <w:pStyle w:val="ListParagraph"/>
              <w:widowControl w:val="0"/>
              <w:spacing w:before="0" w:after="0"/>
              <w:ind w:left="0" w:firstLine="0"/>
              <w:contextualSpacing w:val="0"/>
              <w:jc w:val="center"/>
              <w:rPr>
                <w:b/>
                <w:sz w:val="18"/>
                <w:szCs w:val="18"/>
              </w:rPr>
            </w:pPr>
            <w:r w:rsidRPr="001D6E9C">
              <w:rPr>
                <w:b/>
                <w:sz w:val="18"/>
                <w:szCs w:val="18"/>
              </w:rPr>
              <w:t>01.01.2023.</w:t>
            </w:r>
          </w:p>
        </w:tc>
      </w:tr>
      <w:tr w:rsidR="004D65F6" w:rsidRPr="001D6E9C" w:rsidTr="00454AEA">
        <w:trPr>
          <w:trHeight w:val="391"/>
        </w:trPr>
        <w:tc>
          <w:tcPr>
            <w:tcW w:w="4266" w:type="dxa"/>
            <w:tcBorders>
              <w:top w:val="single" w:sz="4" w:space="0" w:color="auto"/>
            </w:tcBorders>
            <w:vAlign w:val="center"/>
          </w:tcPr>
          <w:p w:rsidR="004D65F6" w:rsidRPr="001D6E9C" w:rsidRDefault="004D65F6" w:rsidP="001D6E9C">
            <w:pPr>
              <w:pStyle w:val="ListParagraph"/>
              <w:widowControl w:val="0"/>
              <w:spacing w:before="0" w:after="0"/>
              <w:ind w:left="0" w:firstLine="0"/>
              <w:contextualSpacing w:val="0"/>
              <w:jc w:val="left"/>
              <w:rPr>
                <w:sz w:val="18"/>
                <w:szCs w:val="18"/>
              </w:rPr>
            </w:pPr>
            <w:r w:rsidRPr="001D6E9C">
              <w:rPr>
                <w:rFonts w:eastAsia="Calibri"/>
                <w:sz w:val="18"/>
                <w:szCs w:val="18"/>
              </w:rPr>
              <w:t>Daļiņas PM</w:t>
            </w:r>
            <w:r w:rsidRPr="001D6E9C">
              <w:rPr>
                <w:rFonts w:eastAsia="Calibri"/>
                <w:sz w:val="18"/>
                <w:szCs w:val="18"/>
                <w:vertAlign w:val="subscript"/>
              </w:rPr>
              <w:t>10</w:t>
            </w:r>
            <w:r w:rsidRPr="001D6E9C">
              <w:rPr>
                <w:rFonts w:eastAsia="Calibri"/>
                <w:sz w:val="18"/>
                <w:szCs w:val="18"/>
              </w:rPr>
              <w:t>,</w:t>
            </w:r>
            <w:r w:rsidRPr="001D6E9C">
              <w:rPr>
                <w:rFonts w:eastAsia="Calibri"/>
                <w:i/>
                <w:sz w:val="18"/>
                <w:szCs w:val="18"/>
              </w:rPr>
              <w:t xml:space="preserve"> </w:t>
            </w:r>
            <w:proofErr w:type="spellStart"/>
            <w:r w:rsidRPr="001D6E9C">
              <w:rPr>
                <w:rFonts w:eastAsia="Calibri"/>
                <w:i/>
                <w:sz w:val="18"/>
                <w:szCs w:val="18"/>
              </w:rPr>
              <w:t>euro</w:t>
            </w:r>
            <w:proofErr w:type="spellEnd"/>
            <w:r w:rsidRPr="001D6E9C">
              <w:rPr>
                <w:rFonts w:eastAsia="Calibri"/>
                <w:i/>
                <w:sz w:val="18"/>
                <w:szCs w:val="18"/>
              </w:rPr>
              <w:t xml:space="preserve"> </w:t>
            </w:r>
            <w:r w:rsidRPr="001D6E9C">
              <w:rPr>
                <w:rFonts w:eastAsia="Calibri"/>
                <w:sz w:val="18"/>
                <w:szCs w:val="18"/>
              </w:rPr>
              <w:t>par tonnu</w:t>
            </w:r>
          </w:p>
        </w:tc>
        <w:tc>
          <w:tcPr>
            <w:tcW w:w="1166" w:type="dxa"/>
            <w:tcBorders>
              <w:top w:val="single" w:sz="4" w:space="0" w:color="auto"/>
            </w:tcBorders>
            <w:vAlign w:val="center"/>
          </w:tcPr>
          <w:p w:rsidR="004D65F6" w:rsidRPr="001D6E9C" w:rsidRDefault="004D65F6" w:rsidP="001D6E9C">
            <w:pPr>
              <w:pStyle w:val="ListParagraph"/>
              <w:widowControl w:val="0"/>
              <w:spacing w:before="0" w:after="0"/>
              <w:ind w:left="0" w:firstLine="0"/>
              <w:contextualSpacing w:val="0"/>
              <w:jc w:val="center"/>
              <w:rPr>
                <w:sz w:val="18"/>
                <w:szCs w:val="18"/>
              </w:rPr>
            </w:pPr>
            <w:r w:rsidRPr="001D6E9C">
              <w:rPr>
                <w:sz w:val="18"/>
                <w:szCs w:val="18"/>
              </w:rPr>
              <w:t>75,0</w:t>
            </w:r>
          </w:p>
        </w:tc>
        <w:tc>
          <w:tcPr>
            <w:tcW w:w="1166" w:type="dxa"/>
            <w:tcBorders>
              <w:top w:val="single" w:sz="4" w:space="0" w:color="auto"/>
            </w:tcBorders>
            <w:vAlign w:val="center"/>
          </w:tcPr>
          <w:p w:rsidR="004D65F6" w:rsidRPr="001D6E9C" w:rsidRDefault="004D65F6" w:rsidP="001D6E9C">
            <w:pPr>
              <w:pStyle w:val="ListParagraph"/>
              <w:widowControl w:val="0"/>
              <w:spacing w:before="0" w:after="0"/>
              <w:ind w:left="0" w:firstLine="0"/>
              <w:contextualSpacing w:val="0"/>
              <w:jc w:val="center"/>
              <w:rPr>
                <w:sz w:val="18"/>
                <w:szCs w:val="18"/>
              </w:rPr>
            </w:pPr>
            <w:r w:rsidRPr="001D6E9C">
              <w:rPr>
                <w:sz w:val="18"/>
                <w:szCs w:val="18"/>
              </w:rPr>
              <w:t>105,0</w:t>
            </w:r>
          </w:p>
        </w:tc>
        <w:tc>
          <w:tcPr>
            <w:tcW w:w="1166" w:type="dxa"/>
            <w:tcBorders>
              <w:top w:val="single" w:sz="4" w:space="0" w:color="auto"/>
            </w:tcBorders>
            <w:vAlign w:val="center"/>
          </w:tcPr>
          <w:p w:rsidR="004D65F6" w:rsidRPr="001D6E9C" w:rsidRDefault="004D65F6" w:rsidP="001D6E9C">
            <w:pPr>
              <w:pStyle w:val="ListParagraph"/>
              <w:widowControl w:val="0"/>
              <w:spacing w:before="0" w:after="0"/>
              <w:ind w:left="0" w:firstLine="0"/>
              <w:contextualSpacing w:val="0"/>
              <w:jc w:val="center"/>
              <w:rPr>
                <w:sz w:val="18"/>
                <w:szCs w:val="18"/>
              </w:rPr>
            </w:pPr>
            <w:r w:rsidRPr="001D6E9C">
              <w:rPr>
                <w:sz w:val="18"/>
                <w:szCs w:val="18"/>
              </w:rPr>
              <w:t>120,0</w:t>
            </w:r>
          </w:p>
        </w:tc>
        <w:tc>
          <w:tcPr>
            <w:tcW w:w="1166" w:type="dxa"/>
            <w:tcBorders>
              <w:top w:val="single" w:sz="4" w:space="0" w:color="auto"/>
            </w:tcBorders>
            <w:vAlign w:val="center"/>
          </w:tcPr>
          <w:p w:rsidR="004D65F6" w:rsidRPr="001D6E9C" w:rsidRDefault="004D65F6" w:rsidP="001D6E9C">
            <w:pPr>
              <w:pStyle w:val="ListParagraph"/>
              <w:widowControl w:val="0"/>
              <w:spacing w:before="0" w:after="0"/>
              <w:ind w:left="0" w:firstLine="0"/>
              <w:contextualSpacing w:val="0"/>
              <w:jc w:val="center"/>
              <w:rPr>
                <w:sz w:val="18"/>
                <w:szCs w:val="18"/>
              </w:rPr>
            </w:pPr>
            <w:r w:rsidRPr="001D6E9C">
              <w:rPr>
                <w:sz w:val="18"/>
                <w:szCs w:val="18"/>
              </w:rPr>
              <w:t>135,0</w:t>
            </w:r>
          </w:p>
        </w:tc>
      </w:tr>
      <w:tr w:rsidR="004D65F6" w:rsidRPr="001D6E9C" w:rsidTr="00454AEA">
        <w:trPr>
          <w:trHeight w:val="502"/>
        </w:trPr>
        <w:tc>
          <w:tcPr>
            <w:tcW w:w="4266" w:type="dxa"/>
            <w:vAlign w:val="center"/>
          </w:tcPr>
          <w:p w:rsidR="004D65F6" w:rsidRPr="001D6E9C" w:rsidRDefault="004D65F6" w:rsidP="001D6E9C">
            <w:pPr>
              <w:pStyle w:val="ListParagraph"/>
              <w:widowControl w:val="0"/>
              <w:spacing w:before="0" w:after="0"/>
              <w:ind w:left="0" w:firstLine="0"/>
              <w:contextualSpacing w:val="0"/>
              <w:jc w:val="left"/>
              <w:rPr>
                <w:sz w:val="18"/>
                <w:szCs w:val="18"/>
              </w:rPr>
            </w:pPr>
            <w:r w:rsidRPr="001D6E9C">
              <w:rPr>
                <w:rFonts w:eastAsia="Calibri"/>
                <w:sz w:val="18"/>
                <w:szCs w:val="18"/>
              </w:rPr>
              <w:t>Amonjaks (NH</w:t>
            </w:r>
            <w:r w:rsidRPr="001D6E9C">
              <w:rPr>
                <w:rFonts w:eastAsia="Calibri"/>
                <w:sz w:val="18"/>
                <w:szCs w:val="18"/>
                <w:vertAlign w:val="subscript"/>
              </w:rPr>
              <w:t>3</w:t>
            </w:r>
            <w:r w:rsidRPr="001D6E9C">
              <w:rPr>
                <w:rFonts w:eastAsia="Calibri"/>
                <w:sz w:val="18"/>
                <w:szCs w:val="18"/>
              </w:rPr>
              <w:t>), sērūdeņradis (H</w:t>
            </w:r>
            <w:r w:rsidRPr="001D6E9C">
              <w:rPr>
                <w:rFonts w:eastAsia="Calibri"/>
                <w:sz w:val="18"/>
                <w:szCs w:val="18"/>
                <w:vertAlign w:val="subscript"/>
              </w:rPr>
              <w:t>2</w:t>
            </w:r>
            <w:r w:rsidRPr="001D6E9C">
              <w:rPr>
                <w:rFonts w:eastAsia="Calibri"/>
                <w:sz w:val="18"/>
                <w:szCs w:val="18"/>
              </w:rPr>
              <w:t>S) un pārējie neorganiskie savienojumi,</w:t>
            </w:r>
            <w:r w:rsidRPr="001D6E9C">
              <w:rPr>
                <w:rFonts w:eastAsia="Calibri"/>
                <w:i/>
                <w:sz w:val="18"/>
                <w:szCs w:val="18"/>
              </w:rPr>
              <w:t xml:space="preserve"> </w:t>
            </w:r>
            <w:proofErr w:type="spellStart"/>
            <w:r w:rsidRPr="001D6E9C">
              <w:rPr>
                <w:rFonts w:eastAsia="Calibri"/>
                <w:i/>
                <w:sz w:val="18"/>
                <w:szCs w:val="18"/>
              </w:rPr>
              <w:t>euro</w:t>
            </w:r>
            <w:proofErr w:type="spellEnd"/>
            <w:r w:rsidRPr="001D6E9C">
              <w:rPr>
                <w:rFonts w:eastAsia="Calibri"/>
                <w:i/>
                <w:sz w:val="18"/>
                <w:szCs w:val="18"/>
              </w:rPr>
              <w:t xml:space="preserve"> </w:t>
            </w:r>
            <w:r w:rsidRPr="001D6E9C">
              <w:rPr>
                <w:rFonts w:eastAsia="Calibri"/>
                <w:sz w:val="18"/>
                <w:szCs w:val="18"/>
              </w:rPr>
              <w:t>par tonnu</w:t>
            </w:r>
          </w:p>
        </w:tc>
        <w:tc>
          <w:tcPr>
            <w:tcW w:w="1166" w:type="dxa"/>
            <w:vAlign w:val="center"/>
          </w:tcPr>
          <w:p w:rsidR="004D65F6" w:rsidRPr="001D6E9C" w:rsidRDefault="004D65F6" w:rsidP="001D6E9C">
            <w:pPr>
              <w:pStyle w:val="ListParagraph"/>
              <w:widowControl w:val="0"/>
              <w:spacing w:before="0" w:after="0"/>
              <w:ind w:left="0" w:firstLine="0"/>
              <w:contextualSpacing w:val="0"/>
              <w:jc w:val="center"/>
              <w:rPr>
                <w:sz w:val="18"/>
                <w:szCs w:val="18"/>
              </w:rPr>
            </w:pPr>
            <w:r w:rsidRPr="001D6E9C">
              <w:rPr>
                <w:sz w:val="18"/>
                <w:szCs w:val="18"/>
              </w:rPr>
              <w:t>18,50</w:t>
            </w:r>
          </w:p>
        </w:tc>
        <w:tc>
          <w:tcPr>
            <w:tcW w:w="1166" w:type="dxa"/>
            <w:vAlign w:val="center"/>
          </w:tcPr>
          <w:p w:rsidR="004D65F6" w:rsidRPr="001D6E9C" w:rsidRDefault="004D65F6" w:rsidP="001D6E9C">
            <w:pPr>
              <w:pStyle w:val="ListParagraph"/>
              <w:widowControl w:val="0"/>
              <w:spacing w:before="0" w:after="0"/>
              <w:ind w:left="0" w:firstLine="0"/>
              <w:contextualSpacing w:val="0"/>
              <w:jc w:val="center"/>
              <w:rPr>
                <w:sz w:val="18"/>
                <w:szCs w:val="18"/>
              </w:rPr>
            </w:pPr>
            <w:r w:rsidRPr="001D6E9C">
              <w:rPr>
                <w:sz w:val="18"/>
                <w:szCs w:val="18"/>
              </w:rPr>
              <w:t>50,0</w:t>
            </w:r>
          </w:p>
        </w:tc>
        <w:tc>
          <w:tcPr>
            <w:tcW w:w="1166" w:type="dxa"/>
            <w:vAlign w:val="center"/>
          </w:tcPr>
          <w:p w:rsidR="004D65F6" w:rsidRPr="001D6E9C" w:rsidRDefault="004D65F6" w:rsidP="001D6E9C">
            <w:pPr>
              <w:pStyle w:val="ListParagraph"/>
              <w:widowControl w:val="0"/>
              <w:spacing w:before="0" w:after="0"/>
              <w:ind w:left="0" w:firstLine="0"/>
              <w:contextualSpacing w:val="0"/>
              <w:jc w:val="center"/>
              <w:rPr>
                <w:sz w:val="18"/>
                <w:szCs w:val="18"/>
              </w:rPr>
            </w:pPr>
            <w:r w:rsidRPr="001D6E9C">
              <w:rPr>
                <w:sz w:val="18"/>
                <w:szCs w:val="18"/>
              </w:rPr>
              <w:t>70,0</w:t>
            </w:r>
          </w:p>
        </w:tc>
        <w:tc>
          <w:tcPr>
            <w:tcW w:w="1166" w:type="dxa"/>
            <w:vAlign w:val="center"/>
          </w:tcPr>
          <w:p w:rsidR="004D65F6" w:rsidRPr="001D6E9C" w:rsidRDefault="004D65F6" w:rsidP="001D6E9C">
            <w:pPr>
              <w:pStyle w:val="ListParagraph"/>
              <w:widowControl w:val="0"/>
              <w:spacing w:before="0" w:after="0"/>
              <w:ind w:left="0" w:firstLine="0"/>
              <w:contextualSpacing w:val="0"/>
              <w:jc w:val="center"/>
              <w:rPr>
                <w:sz w:val="18"/>
                <w:szCs w:val="18"/>
              </w:rPr>
            </w:pPr>
            <w:r w:rsidRPr="001D6E9C">
              <w:rPr>
                <w:sz w:val="18"/>
                <w:szCs w:val="18"/>
              </w:rPr>
              <w:t>90,0</w:t>
            </w:r>
          </w:p>
        </w:tc>
      </w:tr>
      <w:tr w:rsidR="004D65F6" w:rsidRPr="001D6E9C" w:rsidTr="00454AEA">
        <w:trPr>
          <w:trHeight w:val="661"/>
        </w:trPr>
        <w:tc>
          <w:tcPr>
            <w:tcW w:w="4266" w:type="dxa"/>
            <w:vAlign w:val="center"/>
          </w:tcPr>
          <w:p w:rsidR="004D65F6" w:rsidRPr="001D6E9C" w:rsidRDefault="004D65F6" w:rsidP="001D6E9C">
            <w:pPr>
              <w:pStyle w:val="ListParagraph"/>
              <w:widowControl w:val="0"/>
              <w:spacing w:before="0" w:after="0"/>
              <w:ind w:left="0" w:firstLine="0"/>
              <w:contextualSpacing w:val="0"/>
              <w:jc w:val="left"/>
              <w:rPr>
                <w:rFonts w:ascii="Arial" w:hAnsi="Arial" w:cs="Arial"/>
                <w:color w:val="414142"/>
                <w:sz w:val="18"/>
                <w:szCs w:val="18"/>
                <w:shd w:val="clear" w:color="auto" w:fill="FFFFFF"/>
              </w:rPr>
            </w:pPr>
            <w:r w:rsidRPr="001D6E9C">
              <w:rPr>
                <w:rFonts w:eastAsia="Calibri"/>
                <w:sz w:val="18"/>
                <w:szCs w:val="18"/>
              </w:rPr>
              <w:t>Sēra dioksīds (SO</w:t>
            </w:r>
            <w:r w:rsidRPr="001D6E9C">
              <w:rPr>
                <w:rFonts w:eastAsia="Calibri"/>
                <w:sz w:val="18"/>
                <w:szCs w:val="18"/>
                <w:vertAlign w:val="subscript"/>
              </w:rPr>
              <w:t>2</w:t>
            </w:r>
            <w:r w:rsidRPr="001D6E9C">
              <w:rPr>
                <w:rFonts w:eastAsia="Calibri"/>
                <w:sz w:val="18"/>
                <w:szCs w:val="18"/>
              </w:rPr>
              <w:t>), slāpekļa oksīdi (</w:t>
            </w:r>
            <w:proofErr w:type="spellStart"/>
            <w:r w:rsidRPr="001D6E9C">
              <w:rPr>
                <w:rFonts w:eastAsia="Calibri"/>
                <w:sz w:val="18"/>
                <w:szCs w:val="18"/>
              </w:rPr>
              <w:t>NOx</w:t>
            </w:r>
            <w:proofErr w:type="spellEnd"/>
            <w:r w:rsidRPr="001D6E9C">
              <w:rPr>
                <w:rFonts w:eastAsia="Calibri"/>
                <w:sz w:val="18"/>
                <w:szCs w:val="18"/>
              </w:rPr>
              <w:t xml:space="preserve"> – slāpekļa oksīdu summa, pārrēķināta uz NO</w:t>
            </w:r>
            <w:r w:rsidRPr="001D6E9C">
              <w:rPr>
                <w:rFonts w:eastAsia="Calibri"/>
                <w:sz w:val="18"/>
                <w:szCs w:val="18"/>
                <w:vertAlign w:val="subscript"/>
              </w:rPr>
              <w:t>2</w:t>
            </w:r>
            <w:r w:rsidRPr="001D6E9C">
              <w:rPr>
                <w:rFonts w:eastAsia="Calibri"/>
                <w:sz w:val="18"/>
                <w:szCs w:val="18"/>
              </w:rPr>
              <w:t>),</w:t>
            </w:r>
            <w:r w:rsidRPr="001D6E9C">
              <w:rPr>
                <w:rFonts w:eastAsia="Calibri"/>
                <w:i/>
                <w:sz w:val="18"/>
                <w:szCs w:val="18"/>
              </w:rPr>
              <w:t xml:space="preserve"> </w:t>
            </w:r>
            <w:proofErr w:type="spellStart"/>
            <w:r w:rsidRPr="001D6E9C">
              <w:rPr>
                <w:rFonts w:eastAsia="Calibri"/>
                <w:i/>
                <w:sz w:val="18"/>
                <w:szCs w:val="18"/>
              </w:rPr>
              <w:t>euro</w:t>
            </w:r>
            <w:proofErr w:type="spellEnd"/>
            <w:r w:rsidRPr="001D6E9C">
              <w:rPr>
                <w:rFonts w:eastAsia="Calibri"/>
                <w:i/>
                <w:sz w:val="18"/>
                <w:szCs w:val="18"/>
              </w:rPr>
              <w:t xml:space="preserve"> </w:t>
            </w:r>
            <w:r w:rsidRPr="001D6E9C">
              <w:rPr>
                <w:rFonts w:eastAsia="Calibri"/>
                <w:sz w:val="18"/>
                <w:szCs w:val="18"/>
              </w:rPr>
              <w:t>par tonnu</w:t>
            </w:r>
          </w:p>
        </w:tc>
        <w:tc>
          <w:tcPr>
            <w:tcW w:w="1166" w:type="dxa"/>
            <w:vAlign w:val="center"/>
          </w:tcPr>
          <w:p w:rsidR="004D65F6" w:rsidRPr="001D6E9C" w:rsidRDefault="004D65F6" w:rsidP="001D6E9C">
            <w:pPr>
              <w:pStyle w:val="ListParagraph"/>
              <w:widowControl w:val="0"/>
              <w:spacing w:before="0" w:after="0"/>
              <w:ind w:left="0" w:firstLine="0"/>
              <w:contextualSpacing w:val="0"/>
              <w:jc w:val="center"/>
              <w:rPr>
                <w:sz w:val="18"/>
                <w:szCs w:val="18"/>
              </w:rPr>
            </w:pPr>
            <w:r w:rsidRPr="001D6E9C">
              <w:rPr>
                <w:sz w:val="18"/>
                <w:szCs w:val="18"/>
              </w:rPr>
              <w:t>85,37</w:t>
            </w:r>
          </w:p>
        </w:tc>
        <w:tc>
          <w:tcPr>
            <w:tcW w:w="1166" w:type="dxa"/>
            <w:vAlign w:val="center"/>
          </w:tcPr>
          <w:p w:rsidR="004D65F6" w:rsidRPr="001D6E9C" w:rsidRDefault="004D65F6" w:rsidP="001D6E9C">
            <w:pPr>
              <w:pStyle w:val="ListParagraph"/>
              <w:widowControl w:val="0"/>
              <w:spacing w:before="0" w:after="0"/>
              <w:ind w:left="0" w:firstLine="0"/>
              <w:contextualSpacing w:val="0"/>
              <w:jc w:val="center"/>
              <w:rPr>
                <w:sz w:val="18"/>
                <w:szCs w:val="18"/>
              </w:rPr>
            </w:pPr>
            <w:r w:rsidRPr="001D6E9C">
              <w:rPr>
                <w:sz w:val="18"/>
                <w:szCs w:val="18"/>
              </w:rPr>
              <w:t>125,0</w:t>
            </w:r>
          </w:p>
        </w:tc>
        <w:tc>
          <w:tcPr>
            <w:tcW w:w="1166" w:type="dxa"/>
            <w:vAlign w:val="center"/>
          </w:tcPr>
          <w:p w:rsidR="004D65F6" w:rsidRPr="001D6E9C" w:rsidRDefault="004D65F6" w:rsidP="001D6E9C">
            <w:pPr>
              <w:pStyle w:val="ListParagraph"/>
              <w:widowControl w:val="0"/>
              <w:spacing w:before="0" w:after="0"/>
              <w:ind w:left="0" w:firstLine="0"/>
              <w:contextualSpacing w:val="0"/>
              <w:jc w:val="center"/>
              <w:rPr>
                <w:sz w:val="18"/>
                <w:szCs w:val="18"/>
              </w:rPr>
            </w:pPr>
            <w:r w:rsidRPr="001D6E9C">
              <w:rPr>
                <w:sz w:val="18"/>
                <w:szCs w:val="18"/>
              </w:rPr>
              <w:t>140,0</w:t>
            </w:r>
          </w:p>
        </w:tc>
        <w:tc>
          <w:tcPr>
            <w:tcW w:w="1166" w:type="dxa"/>
            <w:vAlign w:val="center"/>
          </w:tcPr>
          <w:p w:rsidR="004D65F6" w:rsidRPr="001D6E9C" w:rsidRDefault="004D65F6" w:rsidP="001D6E9C">
            <w:pPr>
              <w:pStyle w:val="ListParagraph"/>
              <w:widowControl w:val="0"/>
              <w:spacing w:before="0" w:after="0"/>
              <w:ind w:left="0" w:firstLine="0"/>
              <w:contextualSpacing w:val="0"/>
              <w:jc w:val="center"/>
              <w:rPr>
                <w:sz w:val="18"/>
                <w:szCs w:val="18"/>
              </w:rPr>
            </w:pPr>
            <w:r w:rsidRPr="001D6E9C">
              <w:rPr>
                <w:sz w:val="18"/>
                <w:szCs w:val="18"/>
              </w:rPr>
              <w:t>160,0</w:t>
            </w:r>
          </w:p>
        </w:tc>
      </w:tr>
    </w:tbl>
    <w:p w:rsidR="004D65F6" w:rsidRDefault="004D65F6" w:rsidP="004D65F6">
      <w:pPr>
        <w:spacing w:after="0"/>
        <w:rPr>
          <w:szCs w:val="24"/>
        </w:rPr>
      </w:pPr>
    </w:p>
    <w:p w:rsidR="004D65F6" w:rsidRPr="00454AEA" w:rsidRDefault="004D65F6" w:rsidP="00454AEA">
      <w:pPr>
        <w:pStyle w:val="ListParagraph"/>
        <w:numPr>
          <w:ilvl w:val="2"/>
          <w:numId w:val="22"/>
        </w:numPr>
        <w:spacing w:after="0"/>
        <w:ind w:left="1985" w:hanging="284"/>
        <w:rPr>
          <w:szCs w:val="24"/>
        </w:rPr>
      </w:pPr>
      <w:r w:rsidRPr="00D85286">
        <w:rPr>
          <w:szCs w:val="24"/>
        </w:rPr>
        <w:t>ar 2021., 2022. un 2023.</w:t>
      </w:r>
      <w:r w:rsidR="00454AEA">
        <w:rPr>
          <w:szCs w:val="24"/>
        </w:rPr>
        <w:t xml:space="preserve"> </w:t>
      </w:r>
      <w:r w:rsidRPr="00D85286">
        <w:rPr>
          <w:szCs w:val="24"/>
        </w:rPr>
        <w:t>gada 1.</w:t>
      </w:r>
      <w:r w:rsidR="00454AEA">
        <w:rPr>
          <w:szCs w:val="24"/>
        </w:rPr>
        <w:t xml:space="preserve"> </w:t>
      </w:r>
      <w:r w:rsidRPr="00D85286">
        <w:rPr>
          <w:szCs w:val="24"/>
        </w:rPr>
        <w:t xml:space="preserve">janvāri </w:t>
      </w:r>
      <w:r w:rsidRPr="00C25437">
        <w:rPr>
          <w:szCs w:val="24"/>
        </w:rPr>
        <w:t xml:space="preserve">paaugstināt fiksēto nodokļa maksājumu par C kategorijas piesārņojošo darbību </w:t>
      </w:r>
      <w:r w:rsidRPr="00454AEA">
        <w:rPr>
          <w:szCs w:val="24"/>
        </w:rPr>
        <w:t>emisijām (skat. 3.19.tabulu);</w:t>
      </w:r>
    </w:p>
    <w:p w:rsidR="004D65F6" w:rsidRPr="009460BA" w:rsidRDefault="004D65F6" w:rsidP="00454AEA">
      <w:pPr>
        <w:pStyle w:val="T"/>
        <w:spacing w:before="240"/>
        <w:rPr>
          <w:szCs w:val="24"/>
        </w:rPr>
      </w:pPr>
      <w:r w:rsidRPr="00454AEA">
        <w:lastRenderedPageBreak/>
        <w:t xml:space="preserve">3.19. tabula </w:t>
      </w:r>
      <w:r w:rsidRPr="00454AEA">
        <w:rPr>
          <w:i w:val="0"/>
        </w:rPr>
        <w:t>Dabas resursu nodokļa likmes par gaisa piesārņošanu</w:t>
      </w:r>
      <w:r w:rsidR="00454AEA" w:rsidRPr="00454AEA">
        <w:rPr>
          <w:i w:val="0"/>
          <w:szCs w:val="24"/>
        </w:rPr>
        <w:t xml:space="preserve"> </w:t>
      </w:r>
      <w:r w:rsidRPr="00454AEA">
        <w:rPr>
          <w:i w:val="0"/>
        </w:rPr>
        <w:t>2020.</w:t>
      </w:r>
      <w:r w:rsidRPr="00454AEA">
        <w:rPr>
          <w:b w:val="0"/>
          <w:i w:val="0"/>
        </w:rPr>
        <w:t>–</w:t>
      </w:r>
      <w:r w:rsidRPr="00454AEA">
        <w:rPr>
          <w:i w:val="0"/>
        </w:rPr>
        <w:t>2023.gadā,</w:t>
      </w:r>
      <w:r w:rsidRPr="00454AEA">
        <w:t xml:space="preserve"> </w:t>
      </w:r>
      <w:proofErr w:type="spellStart"/>
      <w:r w:rsidRPr="00454AEA">
        <w:rPr>
          <w:bCs/>
          <w:szCs w:val="24"/>
        </w:rPr>
        <w:t>euro</w:t>
      </w:r>
      <w:proofErr w:type="spellEnd"/>
    </w:p>
    <w:tbl>
      <w:tblPr>
        <w:tblW w:w="88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275"/>
        <w:gridCol w:w="1134"/>
        <w:gridCol w:w="1102"/>
      </w:tblGrid>
      <w:tr w:rsidR="004D65F6" w:rsidRPr="00454AEA" w:rsidTr="00454AEA">
        <w:trPr>
          <w:trHeight w:val="313"/>
        </w:trPr>
        <w:tc>
          <w:tcPr>
            <w:tcW w:w="4253" w:type="dxa"/>
            <w:shd w:val="clear" w:color="auto" w:fill="D9D9D9" w:themeFill="background1" w:themeFillShade="D9"/>
            <w:vAlign w:val="center"/>
          </w:tcPr>
          <w:p w:rsidR="004D65F6" w:rsidRPr="00454AEA" w:rsidRDefault="004D65F6" w:rsidP="00454AEA">
            <w:pPr>
              <w:pStyle w:val="ListParagraph"/>
              <w:widowControl w:val="0"/>
              <w:spacing w:after="0"/>
              <w:ind w:left="0" w:firstLine="0"/>
              <w:jc w:val="center"/>
              <w:rPr>
                <w:b/>
                <w:sz w:val="18"/>
                <w:szCs w:val="18"/>
              </w:rPr>
            </w:pPr>
          </w:p>
        </w:tc>
        <w:tc>
          <w:tcPr>
            <w:tcW w:w="1134" w:type="dxa"/>
            <w:shd w:val="clear" w:color="auto" w:fill="D9D9D9" w:themeFill="background1" w:themeFillShade="D9"/>
            <w:tcMar>
              <w:left w:w="57" w:type="dxa"/>
              <w:right w:w="57" w:type="dxa"/>
            </w:tcMar>
            <w:vAlign w:val="center"/>
          </w:tcPr>
          <w:p w:rsidR="004D65F6" w:rsidRPr="00454AEA" w:rsidRDefault="004D65F6" w:rsidP="00454AEA">
            <w:pPr>
              <w:pStyle w:val="ListParagraph"/>
              <w:widowControl w:val="0"/>
              <w:spacing w:after="0"/>
              <w:ind w:left="0" w:firstLine="0"/>
              <w:jc w:val="center"/>
              <w:rPr>
                <w:b/>
                <w:sz w:val="18"/>
                <w:szCs w:val="18"/>
              </w:rPr>
            </w:pPr>
            <w:r w:rsidRPr="00454AEA">
              <w:rPr>
                <w:b/>
                <w:sz w:val="18"/>
                <w:szCs w:val="18"/>
              </w:rPr>
              <w:t>2020</w:t>
            </w:r>
          </w:p>
        </w:tc>
        <w:tc>
          <w:tcPr>
            <w:tcW w:w="1275" w:type="dxa"/>
            <w:shd w:val="clear" w:color="auto" w:fill="D9D9D9" w:themeFill="background1" w:themeFillShade="D9"/>
            <w:tcMar>
              <w:left w:w="57" w:type="dxa"/>
              <w:right w:w="57" w:type="dxa"/>
            </w:tcMar>
            <w:vAlign w:val="center"/>
          </w:tcPr>
          <w:p w:rsidR="004D65F6" w:rsidRPr="00454AEA" w:rsidRDefault="004D65F6" w:rsidP="00454AEA">
            <w:pPr>
              <w:pStyle w:val="ListParagraph"/>
              <w:widowControl w:val="0"/>
              <w:spacing w:after="0"/>
              <w:ind w:left="0" w:firstLine="0"/>
              <w:jc w:val="center"/>
              <w:rPr>
                <w:b/>
                <w:sz w:val="18"/>
                <w:szCs w:val="18"/>
              </w:rPr>
            </w:pPr>
            <w:r w:rsidRPr="00454AEA">
              <w:rPr>
                <w:b/>
                <w:sz w:val="18"/>
                <w:szCs w:val="18"/>
              </w:rPr>
              <w:t>01.01.2021.</w:t>
            </w:r>
          </w:p>
        </w:tc>
        <w:tc>
          <w:tcPr>
            <w:tcW w:w="1134" w:type="dxa"/>
            <w:shd w:val="clear" w:color="auto" w:fill="D9D9D9" w:themeFill="background1" w:themeFillShade="D9"/>
            <w:tcMar>
              <w:left w:w="57" w:type="dxa"/>
              <w:right w:w="57" w:type="dxa"/>
            </w:tcMar>
            <w:vAlign w:val="center"/>
          </w:tcPr>
          <w:p w:rsidR="004D65F6" w:rsidRPr="00454AEA" w:rsidRDefault="004D65F6" w:rsidP="00454AEA">
            <w:pPr>
              <w:pStyle w:val="ListParagraph"/>
              <w:widowControl w:val="0"/>
              <w:spacing w:after="0"/>
              <w:ind w:left="0" w:firstLine="0"/>
              <w:jc w:val="center"/>
              <w:rPr>
                <w:b/>
                <w:sz w:val="18"/>
                <w:szCs w:val="18"/>
              </w:rPr>
            </w:pPr>
            <w:r w:rsidRPr="00454AEA">
              <w:rPr>
                <w:b/>
                <w:sz w:val="18"/>
                <w:szCs w:val="18"/>
              </w:rPr>
              <w:t>01.01.2022.</w:t>
            </w:r>
          </w:p>
        </w:tc>
        <w:tc>
          <w:tcPr>
            <w:tcW w:w="1102" w:type="dxa"/>
            <w:shd w:val="clear" w:color="auto" w:fill="D9D9D9" w:themeFill="background1" w:themeFillShade="D9"/>
            <w:tcMar>
              <w:left w:w="57" w:type="dxa"/>
              <w:right w:w="57" w:type="dxa"/>
            </w:tcMar>
            <w:vAlign w:val="center"/>
          </w:tcPr>
          <w:p w:rsidR="004D65F6" w:rsidRPr="00454AEA" w:rsidRDefault="004D65F6" w:rsidP="00454AEA">
            <w:pPr>
              <w:pStyle w:val="ListParagraph"/>
              <w:widowControl w:val="0"/>
              <w:spacing w:after="0"/>
              <w:ind w:left="0" w:firstLine="0"/>
              <w:jc w:val="center"/>
              <w:rPr>
                <w:b/>
                <w:sz w:val="18"/>
                <w:szCs w:val="18"/>
              </w:rPr>
            </w:pPr>
            <w:r w:rsidRPr="00454AEA">
              <w:rPr>
                <w:b/>
                <w:sz w:val="18"/>
                <w:szCs w:val="18"/>
              </w:rPr>
              <w:t>01.01.2023.</w:t>
            </w:r>
          </w:p>
        </w:tc>
      </w:tr>
      <w:tr w:rsidR="004D65F6" w:rsidRPr="00454AEA" w:rsidTr="00454AEA">
        <w:trPr>
          <w:trHeight w:val="313"/>
        </w:trPr>
        <w:tc>
          <w:tcPr>
            <w:tcW w:w="4253" w:type="dxa"/>
            <w:shd w:val="clear" w:color="auto" w:fill="auto"/>
          </w:tcPr>
          <w:p w:rsidR="004D65F6" w:rsidRPr="00454AEA" w:rsidRDefault="004D65F6" w:rsidP="009A6568">
            <w:pPr>
              <w:ind w:firstLine="0"/>
              <w:rPr>
                <w:sz w:val="18"/>
                <w:szCs w:val="18"/>
              </w:rPr>
            </w:pPr>
            <w:r w:rsidRPr="00454AEA">
              <w:rPr>
                <w:sz w:val="18"/>
                <w:szCs w:val="18"/>
              </w:rPr>
              <w:t>Fiksētais nodokļa maksājums par C kategorijas piesārņojošu darbību,</w:t>
            </w:r>
            <w:r w:rsidRPr="00454AEA">
              <w:rPr>
                <w:i/>
                <w:sz w:val="18"/>
                <w:szCs w:val="18"/>
              </w:rPr>
              <w:t xml:space="preserve"> </w:t>
            </w:r>
            <w:proofErr w:type="spellStart"/>
            <w:r w:rsidRPr="00454AEA">
              <w:rPr>
                <w:i/>
                <w:sz w:val="18"/>
                <w:szCs w:val="18"/>
              </w:rPr>
              <w:t>euro</w:t>
            </w:r>
            <w:proofErr w:type="spellEnd"/>
            <w:r w:rsidRPr="00454AEA">
              <w:rPr>
                <w:i/>
                <w:sz w:val="18"/>
                <w:szCs w:val="18"/>
              </w:rPr>
              <w:t xml:space="preserve"> </w:t>
            </w:r>
          </w:p>
        </w:tc>
        <w:tc>
          <w:tcPr>
            <w:tcW w:w="1134" w:type="dxa"/>
            <w:shd w:val="clear" w:color="auto" w:fill="auto"/>
            <w:vAlign w:val="center"/>
          </w:tcPr>
          <w:p w:rsidR="004D65F6" w:rsidRPr="00454AEA" w:rsidRDefault="004D65F6" w:rsidP="009A6568">
            <w:pPr>
              <w:ind w:firstLine="0"/>
              <w:jc w:val="center"/>
              <w:rPr>
                <w:sz w:val="18"/>
                <w:szCs w:val="18"/>
              </w:rPr>
            </w:pPr>
            <w:r w:rsidRPr="00454AEA">
              <w:rPr>
                <w:sz w:val="18"/>
                <w:szCs w:val="18"/>
              </w:rPr>
              <w:t>71,14</w:t>
            </w:r>
          </w:p>
        </w:tc>
        <w:tc>
          <w:tcPr>
            <w:tcW w:w="1275" w:type="dxa"/>
            <w:shd w:val="clear" w:color="auto" w:fill="auto"/>
            <w:vAlign w:val="center"/>
          </w:tcPr>
          <w:p w:rsidR="004D65F6" w:rsidRPr="00454AEA" w:rsidRDefault="004D65F6" w:rsidP="009A6568">
            <w:pPr>
              <w:ind w:firstLine="0"/>
              <w:jc w:val="center"/>
              <w:rPr>
                <w:sz w:val="18"/>
                <w:szCs w:val="18"/>
              </w:rPr>
            </w:pPr>
            <w:r w:rsidRPr="00454AEA">
              <w:rPr>
                <w:sz w:val="18"/>
                <w:szCs w:val="18"/>
              </w:rPr>
              <w:t>178,0</w:t>
            </w:r>
          </w:p>
        </w:tc>
        <w:tc>
          <w:tcPr>
            <w:tcW w:w="1134" w:type="dxa"/>
            <w:shd w:val="clear" w:color="auto" w:fill="auto"/>
            <w:vAlign w:val="center"/>
          </w:tcPr>
          <w:p w:rsidR="004D65F6" w:rsidRPr="00454AEA" w:rsidRDefault="004D65F6" w:rsidP="009A6568">
            <w:pPr>
              <w:ind w:firstLine="0"/>
              <w:jc w:val="center"/>
              <w:rPr>
                <w:sz w:val="18"/>
                <w:szCs w:val="18"/>
              </w:rPr>
            </w:pPr>
            <w:r w:rsidRPr="00454AEA">
              <w:rPr>
                <w:sz w:val="18"/>
                <w:szCs w:val="18"/>
              </w:rPr>
              <w:t>200,0</w:t>
            </w:r>
          </w:p>
        </w:tc>
        <w:tc>
          <w:tcPr>
            <w:tcW w:w="1102" w:type="dxa"/>
            <w:shd w:val="clear" w:color="auto" w:fill="auto"/>
            <w:vAlign w:val="center"/>
          </w:tcPr>
          <w:p w:rsidR="004D65F6" w:rsidRPr="00454AEA" w:rsidRDefault="004D65F6" w:rsidP="009A6568">
            <w:pPr>
              <w:ind w:firstLine="0"/>
              <w:jc w:val="center"/>
              <w:rPr>
                <w:sz w:val="18"/>
                <w:szCs w:val="18"/>
              </w:rPr>
            </w:pPr>
            <w:r w:rsidRPr="00454AEA">
              <w:rPr>
                <w:sz w:val="18"/>
                <w:szCs w:val="18"/>
              </w:rPr>
              <w:t>250,0</w:t>
            </w:r>
          </w:p>
        </w:tc>
      </w:tr>
    </w:tbl>
    <w:p w:rsidR="004D65F6" w:rsidRDefault="004D65F6" w:rsidP="004D65F6">
      <w:pPr>
        <w:pStyle w:val="ListParagraph"/>
        <w:spacing w:after="0"/>
        <w:ind w:left="1429" w:firstLine="0"/>
      </w:pPr>
    </w:p>
    <w:p w:rsidR="004D65F6" w:rsidRPr="00454AEA" w:rsidRDefault="004D65F6" w:rsidP="00454AEA">
      <w:pPr>
        <w:spacing w:after="0"/>
        <w:rPr>
          <w:szCs w:val="24"/>
        </w:rPr>
      </w:pPr>
      <w:r w:rsidRPr="00A603BE">
        <w:t>Fiskālā ietekme 2021.</w:t>
      </w:r>
      <w:r w:rsidR="00454AEA">
        <w:t xml:space="preserve"> </w:t>
      </w:r>
      <w:r w:rsidRPr="00A603BE">
        <w:t xml:space="preserve">gadā </w:t>
      </w:r>
      <w:r>
        <w:t xml:space="preserve">kopā </w:t>
      </w:r>
      <w:r w:rsidRPr="00A603BE">
        <w:t>+2,6 milj. </w:t>
      </w:r>
      <w:proofErr w:type="spellStart"/>
      <w:r w:rsidRPr="00454AEA">
        <w:rPr>
          <w:bCs/>
          <w:i/>
          <w:szCs w:val="24"/>
        </w:rPr>
        <w:t>euro</w:t>
      </w:r>
      <w:proofErr w:type="spellEnd"/>
      <w:r w:rsidRPr="00A603BE">
        <w:t>, t.sk. valsts pamatbudžetā +2,3</w:t>
      </w:r>
      <w:r>
        <w:t> milj. </w:t>
      </w:r>
      <w:proofErr w:type="spellStart"/>
      <w:r w:rsidRPr="00454AEA">
        <w:rPr>
          <w:bCs/>
          <w:i/>
          <w:szCs w:val="24"/>
        </w:rPr>
        <w:t>euro</w:t>
      </w:r>
      <w:proofErr w:type="spellEnd"/>
      <w:r w:rsidRPr="00A603BE">
        <w:t xml:space="preserve">, pašvaldību budžetā +0,3 milj. </w:t>
      </w:r>
      <w:proofErr w:type="spellStart"/>
      <w:r w:rsidRPr="00454AEA">
        <w:rPr>
          <w:bCs/>
          <w:i/>
          <w:szCs w:val="24"/>
        </w:rPr>
        <w:t>euro</w:t>
      </w:r>
      <w:proofErr w:type="spellEnd"/>
      <w:r w:rsidRPr="00A603BE">
        <w:t xml:space="preserve">. </w:t>
      </w:r>
    </w:p>
    <w:p w:rsidR="004D65F6" w:rsidRDefault="004D65F6" w:rsidP="00454AEA">
      <w:pPr>
        <w:spacing w:before="120"/>
      </w:pPr>
      <w:r w:rsidRPr="00D85286">
        <w:t>2021.</w:t>
      </w:r>
      <w:r w:rsidR="00454AEA">
        <w:t xml:space="preserve"> </w:t>
      </w:r>
      <w:r w:rsidRPr="00D85286">
        <w:t>gadā ieņēmumi no dabas resursu no</w:t>
      </w:r>
      <w:r w:rsidR="00454AEA">
        <w:t>dokļa saskaņā ar likumprojektu “</w:t>
      </w:r>
      <w:r w:rsidRPr="00D85286">
        <w:t>Par valsts budžetu 2021.</w:t>
      </w:r>
      <w:r w:rsidR="00454AEA">
        <w:t xml:space="preserve"> </w:t>
      </w:r>
      <w:r w:rsidRPr="00D85286">
        <w:t>gadam” tiek plānoti 38,9 milj. </w:t>
      </w:r>
      <w:proofErr w:type="spellStart"/>
      <w:r w:rsidRPr="00D85286">
        <w:rPr>
          <w:i/>
        </w:rPr>
        <w:t>euro</w:t>
      </w:r>
      <w:proofErr w:type="spellEnd"/>
      <w:r w:rsidRPr="00D85286">
        <w:t xml:space="preserve"> apmērā, kas salīdzinājumā ar 2020.</w:t>
      </w:r>
      <w:r w:rsidR="00454AEA">
        <w:t xml:space="preserve"> </w:t>
      </w:r>
      <w:r w:rsidRPr="00D85286">
        <w:t>gada prognozētajiem ieņēmumiem ir par 7,1 milj. </w:t>
      </w:r>
      <w:proofErr w:type="spellStart"/>
      <w:r w:rsidRPr="00D85286">
        <w:rPr>
          <w:i/>
        </w:rPr>
        <w:t>euro</w:t>
      </w:r>
      <w:proofErr w:type="spellEnd"/>
      <w:r w:rsidRPr="00D85286">
        <w:t xml:space="preserve"> jeb 22,3% vairāk.</w:t>
      </w:r>
    </w:p>
    <w:p w:rsidR="004D65F6" w:rsidRPr="00454AEA" w:rsidRDefault="004D65F6" w:rsidP="00454AEA">
      <w:pPr>
        <w:pStyle w:val="T"/>
        <w:spacing w:before="240"/>
        <w:rPr>
          <w:i w:val="0"/>
        </w:rPr>
      </w:pPr>
      <w:r w:rsidRPr="00454AEA">
        <w:t xml:space="preserve">3.20. tabula </w:t>
      </w:r>
      <w:r w:rsidRPr="00454AEA">
        <w:rPr>
          <w:i w:val="0"/>
        </w:rPr>
        <w:t>Dabas resursu nodokļa ieņēmumi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257"/>
        <w:gridCol w:w="1091"/>
        <w:gridCol w:w="1116"/>
        <w:gridCol w:w="1299"/>
        <w:gridCol w:w="1298"/>
      </w:tblGrid>
      <w:tr w:rsidR="004D65F6" w:rsidRPr="00454AEA" w:rsidTr="009A6568">
        <w:trPr>
          <w:jc w:val="center"/>
        </w:trPr>
        <w:tc>
          <w:tcPr>
            <w:tcW w:w="2349" w:type="pct"/>
            <w:vMerge w:val="restart"/>
            <w:shd w:val="clear" w:color="auto" w:fill="D9D9D9" w:themeFill="background1" w:themeFillShade="D9"/>
          </w:tcPr>
          <w:p w:rsidR="004D65F6" w:rsidRPr="00454AEA" w:rsidRDefault="004D65F6" w:rsidP="009A6568">
            <w:pPr>
              <w:pStyle w:val="tabtekst"/>
              <w:jc w:val="center"/>
              <w:rPr>
                <w:b/>
                <w:color w:val="auto"/>
                <w:sz w:val="18"/>
                <w:szCs w:val="18"/>
              </w:rPr>
            </w:pPr>
          </w:p>
        </w:tc>
        <w:tc>
          <w:tcPr>
            <w:tcW w:w="602" w:type="pct"/>
            <w:shd w:val="clear" w:color="auto" w:fill="D9D9D9" w:themeFill="background1" w:themeFillShade="D9"/>
          </w:tcPr>
          <w:p w:rsidR="004D65F6" w:rsidRPr="00454AEA" w:rsidRDefault="004D65F6" w:rsidP="009A6568">
            <w:pPr>
              <w:pStyle w:val="tabtekst"/>
              <w:jc w:val="center"/>
              <w:rPr>
                <w:b/>
                <w:color w:val="auto"/>
                <w:sz w:val="18"/>
                <w:szCs w:val="18"/>
              </w:rPr>
            </w:pPr>
            <w:r w:rsidRPr="00454AEA">
              <w:rPr>
                <w:b/>
                <w:color w:val="auto"/>
                <w:sz w:val="18"/>
                <w:szCs w:val="18"/>
              </w:rPr>
              <w:t>2018</w:t>
            </w:r>
          </w:p>
        </w:tc>
        <w:tc>
          <w:tcPr>
            <w:tcW w:w="616" w:type="pct"/>
            <w:shd w:val="clear" w:color="auto" w:fill="D9D9D9" w:themeFill="background1" w:themeFillShade="D9"/>
          </w:tcPr>
          <w:p w:rsidR="004D65F6" w:rsidRPr="00454AEA" w:rsidRDefault="004D65F6" w:rsidP="009A6568">
            <w:pPr>
              <w:pStyle w:val="tabtekst"/>
              <w:jc w:val="center"/>
              <w:rPr>
                <w:b/>
                <w:color w:val="auto"/>
                <w:sz w:val="18"/>
                <w:szCs w:val="18"/>
              </w:rPr>
            </w:pPr>
            <w:r w:rsidRPr="00454AEA">
              <w:rPr>
                <w:b/>
                <w:color w:val="auto"/>
                <w:sz w:val="18"/>
                <w:szCs w:val="18"/>
              </w:rPr>
              <w:t>2019</w:t>
            </w:r>
          </w:p>
        </w:tc>
        <w:tc>
          <w:tcPr>
            <w:tcW w:w="717" w:type="pct"/>
            <w:shd w:val="clear" w:color="auto" w:fill="D9D9D9" w:themeFill="background1" w:themeFillShade="D9"/>
          </w:tcPr>
          <w:p w:rsidR="004D65F6" w:rsidRPr="00454AEA" w:rsidRDefault="004D65F6" w:rsidP="009A6568">
            <w:pPr>
              <w:pStyle w:val="tabtekst"/>
              <w:jc w:val="center"/>
              <w:rPr>
                <w:b/>
                <w:color w:val="auto"/>
                <w:sz w:val="18"/>
                <w:szCs w:val="18"/>
              </w:rPr>
            </w:pPr>
            <w:r w:rsidRPr="00454AEA">
              <w:rPr>
                <w:b/>
                <w:color w:val="auto"/>
                <w:sz w:val="18"/>
                <w:szCs w:val="18"/>
              </w:rPr>
              <w:t>2020</w:t>
            </w:r>
          </w:p>
        </w:tc>
        <w:tc>
          <w:tcPr>
            <w:tcW w:w="716" w:type="pct"/>
            <w:shd w:val="clear" w:color="auto" w:fill="D9D9D9" w:themeFill="background1" w:themeFillShade="D9"/>
          </w:tcPr>
          <w:p w:rsidR="004D65F6" w:rsidRPr="00454AEA" w:rsidRDefault="004D65F6" w:rsidP="009A6568">
            <w:pPr>
              <w:pStyle w:val="tabtekst"/>
              <w:jc w:val="center"/>
              <w:rPr>
                <w:b/>
                <w:color w:val="auto"/>
                <w:sz w:val="18"/>
                <w:szCs w:val="18"/>
              </w:rPr>
            </w:pPr>
            <w:r w:rsidRPr="00454AEA">
              <w:rPr>
                <w:b/>
                <w:color w:val="auto"/>
                <w:sz w:val="18"/>
                <w:szCs w:val="18"/>
              </w:rPr>
              <w:t>2021</w:t>
            </w:r>
          </w:p>
        </w:tc>
      </w:tr>
      <w:tr w:rsidR="004D65F6" w:rsidRPr="00454AEA" w:rsidTr="009A6568">
        <w:trPr>
          <w:jc w:val="center"/>
        </w:trPr>
        <w:tc>
          <w:tcPr>
            <w:tcW w:w="2349" w:type="pct"/>
            <w:vMerge/>
            <w:shd w:val="clear" w:color="auto" w:fill="D9D9D9" w:themeFill="background1" w:themeFillShade="D9"/>
          </w:tcPr>
          <w:p w:rsidR="004D65F6" w:rsidRPr="00454AEA" w:rsidRDefault="004D65F6" w:rsidP="009A6568">
            <w:pPr>
              <w:pStyle w:val="tabtekst"/>
              <w:jc w:val="center"/>
              <w:rPr>
                <w:b/>
                <w:color w:val="auto"/>
                <w:sz w:val="18"/>
                <w:szCs w:val="18"/>
              </w:rPr>
            </w:pPr>
          </w:p>
        </w:tc>
        <w:tc>
          <w:tcPr>
            <w:tcW w:w="1218" w:type="pct"/>
            <w:gridSpan w:val="2"/>
            <w:shd w:val="clear" w:color="auto" w:fill="D9D9D9" w:themeFill="background1" w:themeFillShade="D9"/>
          </w:tcPr>
          <w:p w:rsidR="004D65F6" w:rsidRPr="00454AEA" w:rsidRDefault="004D65F6" w:rsidP="009A6568">
            <w:pPr>
              <w:pStyle w:val="tabtekst"/>
              <w:jc w:val="center"/>
              <w:rPr>
                <w:color w:val="auto"/>
                <w:sz w:val="18"/>
                <w:szCs w:val="18"/>
              </w:rPr>
            </w:pPr>
            <w:r w:rsidRPr="00454AEA">
              <w:rPr>
                <w:color w:val="auto"/>
                <w:sz w:val="18"/>
                <w:szCs w:val="18"/>
              </w:rPr>
              <w:t>fakts</w:t>
            </w:r>
          </w:p>
        </w:tc>
        <w:tc>
          <w:tcPr>
            <w:tcW w:w="717" w:type="pct"/>
            <w:shd w:val="clear" w:color="auto" w:fill="D9D9D9" w:themeFill="background1" w:themeFillShade="D9"/>
          </w:tcPr>
          <w:p w:rsidR="004D65F6" w:rsidRPr="00454AEA" w:rsidRDefault="004D65F6" w:rsidP="009A6568">
            <w:pPr>
              <w:pStyle w:val="tabtekst"/>
              <w:jc w:val="center"/>
              <w:rPr>
                <w:color w:val="auto"/>
                <w:sz w:val="18"/>
                <w:szCs w:val="18"/>
              </w:rPr>
            </w:pPr>
            <w:r w:rsidRPr="00454AEA">
              <w:rPr>
                <w:color w:val="auto"/>
                <w:sz w:val="18"/>
                <w:szCs w:val="18"/>
              </w:rPr>
              <w:t>prognoze</w:t>
            </w:r>
          </w:p>
        </w:tc>
        <w:tc>
          <w:tcPr>
            <w:tcW w:w="716" w:type="pct"/>
            <w:shd w:val="clear" w:color="auto" w:fill="D9D9D9" w:themeFill="background1" w:themeFillShade="D9"/>
          </w:tcPr>
          <w:p w:rsidR="004D65F6" w:rsidRPr="00454AEA" w:rsidRDefault="004D65F6" w:rsidP="009A6568">
            <w:pPr>
              <w:pStyle w:val="tabtekst"/>
              <w:jc w:val="center"/>
              <w:rPr>
                <w:color w:val="auto"/>
                <w:sz w:val="18"/>
                <w:szCs w:val="18"/>
              </w:rPr>
            </w:pPr>
            <w:r w:rsidRPr="00454AEA">
              <w:rPr>
                <w:color w:val="auto"/>
                <w:sz w:val="18"/>
                <w:szCs w:val="18"/>
              </w:rPr>
              <w:t>plāns*</w:t>
            </w:r>
          </w:p>
        </w:tc>
      </w:tr>
      <w:tr w:rsidR="004D65F6" w:rsidRPr="00454AEA" w:rsidTr="009A6568">
        <w:trPr>
          <w:jc w:val="center"/>
        </w:trPr>
        <w:tc>
          <w:tcPr>
            <w:tcW w:w="2349" w:type="pct"/>
          </w:tcPr>
          <w:p w:rsidR="004D65F6" w:rsidRPr="00454AEA" w:rsidRDefault="004D65F6" w:rsidP="009A6568">
            <w:pPr>
              <w:pStyle w:val="tabtekst"/>
              <w:rPr>
                <w:b/>
                <w:color w:val="auto"/>
                <w:sz w:val="18"/>
                <w:szCs w:val="18"/>
                <w:lang w:eastAsia="lv-LV"/>
              </w:rPr>
            </w:pPr>
            <w:r w:rsidRPr="00454AEA">
              <w:rPr>
                <w:b/>
                <w:color w:val="auto"/>
                <w:sz w:val="18"/>
                <w:szCs w:val="18"/>
              </w:rPr>
              <w:t>Dabas resursu nodoklis</w:t>
            </w:r>
            <w:r w:rsidRPr="00454AEA">
              <w:rPr>
                <w:color w:val="auto"/>
                <w:sz w:val="18"/>
                <w:szCs w:val="18"/>
              </w:rPr>
              <w:t xml:space="preserve">, milj. </w:t>
            </w:r>
            <w:proofErr w:type="spellStart"/>
            <w:r w:rsidRPr="00454AEA">
              <w:rPr>
                <w:i/>
                <w:color w:val="auto"/>
                <w:sz w:val="18"/>
                <w:szCs w:val="18"/>
              </w:rPr>
              <w:t>euro</w:t>
            </w:r>
            <w:proofErr w:type="spellEnd"/>
          </w:p>
        </w:tc>
        <w:tc>
          <w:tcPr>
            <w:tcW w:w="602" w:type="pct"/>
            <w:shd w:val="clear" w:color="auto" w:fill="auto"/>
          </w:tcPr>
          <w:p w:rsidR="004D65F6" w:rsidRPr="00454AEA" w:rsidRDefault="004D65F6" w:rsidP="009A6568">
            <w:pPr>
              <w:pStyle w:val="tabtekst"/>
              <w:jc w:val="center"/>
              <w:rPr>
                <w:b/>
                <w:color w:val="auto"/>
                <w:sz w:val="18"/>
                <w:szCs w:val="18"/>
              </w:rPr>
            </w:pPr>
            <w:r w:rsidRPr="00454AEA">
              <w:rPr>
                <w:b/>
                <w:color w:val="auto"/>
                <w:sz w:val="18"/>
                <w:szCs w:val="18"/>
              </w:rPr>
              <w:t>30,1</w:t>
            </w:r>
          </w:p>
        </w:tc>
        <w:tc>
          <w:tcPr>
            <w:tcW w:w="616" w:type="pct"/>
            <w:shd w:val="clear" w:color="auto" w:fill="auto"/>
          </w:tcPr>
          <w:p w:rsidR="004D65F6" w:rsidRPr="00454AEA" w:rsidRDefault="004D65F6" w:rsidP="009A6568">
            <w:pPr>
              <w:pStyle w:val="tabtekst"/>
              <w:jc w:val="center"/>
              <w:rPr>
                <w:b/>
                <w:color w:val="auto"/>
                <w:sz w:val="18"/>
                <w:szCs w:val="18"/>
              </w:rPr>
            </w:pPr>
            <w:r w:rsidRPr="00454AEA">
              <w:rPr>
                <w:b/>
                <w:color w:val="auto"/>
                <w:sz w:val="18"/>
                <w:szCs w:val="18"/>
              </w:rPr>
              <w:t>30,4</w:t>
            </w:r>
          </w:p>
        </w:tc>
        <w:tc>
          <w:tcPr>
            <w:tcW w:w="717" w:type="pct"/>
            <w:shd w:val="clear" w:color="auto" w:fill="auto"/>
          </w:tcPr>
          <w:p w:rsidR="004D65F6" w:rsidRPr="00454AEA" w:rsidRDefault="004D65F6" w:rsidP="009A6568">
            <w:pPr>
              <w:pStyle w:val="tabtekst"/>
              <w:jc w:val="center"/>
              <w:rPr>
                <w:b/>
                <w:color w:val="auto"/>
                <w:sz w:val="18"/>
                <w:szCs w:val="18"/>
              </w:rPr>
            </w:pPr>
            <w:r w:rsidRPr="00454AEA">
              <w:rPr>
                <w:b/>
                <w:color w:val="auto"/>
                <w:sz w:val="18"/>
                <w:szCs w:val="18"/>
              </w:rPr>
              <w:t>31,8</w:t>
            </w:r>
          </w:p>
        </w:tc>
        <w:tc>
          <w:tcPr>
            <w:tcW w:w="716" w:type="pct"/>
            <w:shd w:val="clear" w:color="auto" w:fill="auto"/>
          </w:tcPr>
          <w:p w:rsidR="004D65F6" w:rsidRPr="00454AEA" w:rsidRDefault="004D65F6" w:rsidP="009A6568">
            <w:pPr>
              <w:pStyle w:val="tabtekst"/>
              <w:jc w:val="center"/>
              <w:rPr>
                <w:b/>
                <w:color w:val="auto"/>
                <w:sz w:val="18"/>
                <w:szCs w:val="18"/>
              </w:rPr>
            </w:pPr>
            <w:r w:rsidRPr="00454AEA">
              <w:rPr>
                <w:b/>
                <w:color w:val="auto"/>
                <w:sz w:val="18"/>
                <w:szCs w:val="18"/>
              </w:rPr>
              <w:t>38,9</w:t>
            </w:r>
          </w:p>
        </w:tc>
      </w:tr>
      <w:tr w:rsidR="004D65F6" w:rsidRPr="00454AEA" w:rsidTr="009A6568">
        <w:trPr>
          <w:jc w:val="center"/>
        </w:trPr>
        <w:tc>
          <w:tcPr>
            <w:tcW w:w="2349" w:type="pct"/>
            <w:vAlign w:val="center"/>
          </w:tcPr>
          <w:p w:rsidR="004D65F6" w:rsidRPr="00454AEA" w:rsidRDefault="004D65F6" w:rsidP="009A6568">
            <w:pPr>
              <w:pStyle w:val="tabtekst"/>
              <w:rPr>
                <w:color w:val="auto"/>
                <w:sz w:val="18"/>
                <w:szCs w:val="18"/>
              </w:rPr>
            </w:pPr>
            <w:r w:rsidRPr="00454AEA">
              <w:rPr>
                <w:color w:val="auto"/>
                <w:sz w:val="18"/>
                <w:szCs w:val="18"/>
              </w:rPr>
              <w:t xml:space="preserve"> t.sk. valsts pamatbudžetā</w:t>
            </w:r>
          </w:p>
        </w:tc>
        <w:tc>
          <w:tcPr>
            <w:tcW w:w="602" w:type="pct"/>
          </w:tcPr>
          <w:p w:rsidR="004D65F6" w:rsidRPr="00454AEA" w:rsidRDefault="004D65F6" w:rsidP="009A6568">
            <w:pPr>
              <w:pStyle w:val="tabtekst"/>
              <w:jc w:val="center"/>
              <w:rPr>
                <w:color w:val="auto"/>
                <w:sz w:val="18"/>
                <w:szCs w:val="18"/>
              </w:rPr>
            </w:pPr>
            <w:r w:rsidRPr="00454AEA">
              <w:rPr>
                <w:color w:val="auto"/>
                <w:sz w:val="18"/>
                <w:szCs w:val="18"/>
              </w:rPr>
              <w:t>18,8</w:t>
            </w:r>
          </w:p>
        </w:tc>
        <w:tc>
          <w:tcPr>
            <w:tcW w:w="616" w:type="pct"/>
          </w:tcPr>
          <w:p w:rsidR="004D65F6" w:rsidRPr="00454AEA" w:rsidRDefault="004D65F6" w:rsidP="009A6568">
            <w:pPr>
              <w:pStyle w:val="tabtekst"/>
              <w:jc w:val="center"/>
              <w:rPr>
                <w:color w:val="auto"/>
                <w:sz w:val="18"/>
                <w:szCs w:val="18"/>
              </w:rPr>
            </w:pPr>
            <w:r w:rsidRPr="00454AEA">
              <w:rPr>
                <w:color w:val="auto"/>
                <w:sz w:val="18"/>
                <w:szCs w:val="18"/>
              </w:rPr>
              <w:t>17,6</w:t>
            </w:r>
          </w:p>
        </w:tc>
        <w:tc>
          <w:tcPr>
            <w:tcW w:w="717" w:type="pct"/>
          </w:tcPr>
          <w:p w:rsidR="004D65F6" w:rsidRPr="00454AEA" w:rsidRDefault="004D65F6" w:rsidP="009A6568">
            <w:pPr>
              <w:pStyle w:val="tabtekst"/>
              <w:jc w:val="center"/>
              <w:rPr>
                <w:color w:val="auto"/>
                <w:sz w:val="18"/>
                <w:szCs w:val="18"/>
              </w:rPr>
            </w:pPr>
            <w:r w:rsidRPr="00454AEA">
              <w:rPr>
                <w:color w:val="auto"/>
                <w:sz w:val="18"/>
                <w:szCs w:val="18"/>
              </w:rPr>
              <w:t>25,9</w:t>
            </w:r>
          </w:p>
        </w:tc>
        <w:tc>
          <w:tcPr>
            <w:tcW w:w="716" w:type="pct"/>
          </w:tcPr>
          <w:p w:rsidR="004D65F6" w:rsidRPr="00454AEA" w:rsidRDefault="004D65F6" w:rsidP="009A6568">
            <w:pPr>
              <w:pStyle w:val="tabtekst"/>
              <w:jc w:val="center"/>
              <w:rPr>
                <w:color w:val="auto"/>
                <w:sz w:val="18"/>
                <w:szCs w:val="18"/>
              </w:rPr>
            </w:pPr>
            <w:r w:rsidRPr="00454AEA">
              <w:rPr>
                <w:color w:val="auto"/>
                <w:sz w:val="18"/>
                <w:szCs w:val="18"/>
              </w:rPr>
              <w:t>31,2</w:t>
            </w:r>
          </w:p>
        </w:tc>
      </w:tr>
      <w:tr w:rsidR="004D65F6" w:rsidRPr="00454AEA" w:rsidTr="009A6568">
        <w:trPr>
          <w:jc w:val="center"/>
        </w:trPr>
        <w:tc>
          <w:tcPr>
            <w:tcW w:w="2349" w:type="pct"/>
            <w:vAlign w:val="center"/>
          </w:tcPr>
          <w:p w:rsidR="004D65F6" w:rsidRPr="00454AEA" w:rsidRDefault="004D65F6" w:rsidP="009A6568">
            <w:pPr>
              <w:pStyle w:val="tabtekst"/>
              <w:rPr>
                <w:color w:val="auto"/>
                <w:sz w:val="18"/>
                <w:szCs w:val="18"/>
              </w:rPr>
            </w:pPr>
            <w:r w:rsidRPr="00454AEA">
              <w:rPr>
                <w:color w:val="auto"/>
                <w:sz w:val="18"/>
                <w:szCs w:val="18"/>
              </w:rPr>
              <w:t xml:space="preserve">   pašvaldību budžetā</w:t>
            </w:r>
          </w:p>
        </w:tc>
        <w:tc>
          <w:tcPr>
            <w:tcW w:w="602" w:type="pct"/>
          </w:tcPr>
          <w:p w:rsidR="004D65F6" w:rsidRPr="00454AEA" w:rsidRDefault="004D65F6" w:rsidP="009A6568">
            <w:pPr>
              <w:pStyle w:val="tabtekst"/>
              <w:jc w:val="center"/>
              <w:rPr>
                <w:color w:val="auto"/>
                <w:sz w:val="18"/>
                <w:szCs w:val="18"/>
              </w:rPr>
            </w:pPr>
            <w:r w:rsidRPr="00454AEA">
              <w:rPr>
                <w:color w:val="auto"/>
                <w:sz w:val="18"/>
                <w:szCs w:val="18"/>
              </w:rPr>
              <w:t>11,4</w:t>
            </w:r>
          </w:p>
        </w:tc>
        <w:tc>
          <w:tcPr>
            <w:tcW w:w="616" w:type="pct"/>
          </w:tcPr>
          <w:p w:rsidR="004D65F6" w:rsidRPr="00454AEA" w:rsidRDefault="004D65F6" w:rsidP="009A6568">
            <w:pPr>
              <w:pStyle w:val="tabtekst"/>
              <w:jc w:val="center"/>
              <w:rPr>
                <w:color w:val="auto"/>
                <w:sz w:val="18"/>
                <w:szCs w:val="18"/>
              </w:rPr>
            </w:pPr>
            <w:r w:rsidRPr="00454AEA">
              <w:rPr>
                <w:color w:val="auto"/>
                <w:sz w:val="18"/>
                <w:szCs w:val="18"/>
              </w:rPr>
              <w:t>12,9</w:t>
            </w:r>
          </w:p>
        </w:tc>
        <w:tc>
          <w:tcPr>
            <w:tcW w:w="717" w:type="pct"/>
          </w:tcPr>
          <w:p w:rsidR="004D65F6" w:rsidRPr="00454AEA" w:rsidRDefault="004D65F6" w:rsidP="009A6568">
            <w:pPr>
              <w:pStyle w:val="tabtekst"/>
              <w:jc w:val="center"/>
              <w:rPr>
                <w:color w:val="auto"/>
                <w:sz w:val="18"/>
                <w:szCs w:val="18"/>
              </w:rPr>
            </w:pPr>
            <w:r w:rsidRPr="00454AEA">
              <w:rPr>
                <w:color w:val="auto"/>
                <w:sz w:val="18"/>
                <w:szCs w:val="18"/>
              </w:rPr>
              <w:t>5,9</w:t>
            </w:r>
          </w:p>
        </w:tc>
        <w:tc>
          <w:tcPr>
            <w:tcW w:w="716" w:type="pct"/>
          </w:tcPr>
          <w:p w:rsidR="004D65F6" w:rsidRPr="00454AEA" w:rsidRDefault="004D65F6" w:rsidP="009A6568">
            <w:pPr>
              <w:pStyle w:val="tabtekst"/>
              <w:jc w:val="center"/>
              <w:rPr>
                <w:color w:val="auto"/>
                <w:sz w:val="18"/>
                <w:szCs w:val="18"/>
              </w:rPr>
            </w:pPr>
            <w:r w:rsidRPr="00454AEA">
              <w:rPr>
                <w:color w:val="auto"/>
                <w:sz w:val="18"/>
                <w:szCs w:val="18"/>
              </w:rPr>
              <w:t>7,7</w:t>
            </w:r>
          </w:p>
        </w:tc>
      </w:tr>
      <w:tr w:rsidR="004D65F6" w:rsidRPr="00454AEA" w:rsidTr="009A6568">
        <w:trPr>
          <w:jc w:val="center"/>
        </w:trPr>
        <w:tc>
          <w:tcPr>
            <w:tcW w:w="2349" w:type="pct"/>
          </w:tcPr>
          <w:p w:rsidR="004D65F6" w:rsidRPr="00454AEA" w:rsidRDefault="004D65F6" w:rsidP="009A6568">
            <w:pPr>
              <w:pStyle w:val="tabtekst"/>
              <w:rPr>
                <w:i/>
                <w:color w:val="auto"/>
                <w:sz w:val="18"/>
                <w:szCs w:val="18"/>
                <w:lang w:eastAsia="lv-LV"/>
              </w:rPr>
            </w:pPr>
            <w:r w:rsidRPr="00454AEA">
              <w:rPr>
                <w:i/>
                <w:color w:val="auto"/>
                <w:sz w:val="18"/>
                <w:szCs w:val="18"/>
                <w:lang w:eastAsia="lv-LV"/>
              </w:rPr>
              <w:t>pieauguma tempi faktiskās cenās, %</w:t>
            </w:r>
          </w:p>
        </w:tc>
        <w:tc>
          <w:tcPr>
            <w:tcW w:w="602" w:type="pct"/>
          </w:tcPr>
          <w:p w:rsidR="004D65F6" w:rsidRPr="00454AEA" w:rsidRDefault="004D65F6" w:rsidP="009A6568">
            <w:pPr>
              <w:pStyle w:val="tabtekst"/>
              <w:jc w:val="center"/>
              <w:rPr>
                <w:i/>
                <w:sz w:val="18"/>
                <w:szCs w:val="18"/>
              </w:rPr>
            </w:pPr>
            <w:r w:rsidRPr="00454AEA">
              <w:rPr>
                <w:i/>
                <w:sz w:val="18"/>
                <w:szCs w:val="18"/>
              </w:rPr>
              <w:t>17,6</w:t>
            </w:r>
          </w:p>
        </w:tc>
        <w:tc>
          <w:tcPr>
            <w:tcW w:w="616" w:type="pct"/>
          </w:tcPr>
          <w:p w:rsidR="004D65F6" w:rsidRPr="00454AEA" w:rsidRDefault="004D65F6" w:rsidP="009A6568">
            <w:pPr>
              <w:pStyle w:val="tabtekst"/>
              <w:jc w:val="center"/>
              <w:rPr>
                <w:i/>
                <w:color w:val="auto"/>
                <w:sz w:val="18"/>
                <w:szCs w:val="18"/>
              </w:rPr>
            </w:pPr>
            <w:r w:rsidRPr="00454AEA">
              <w:rPr>
                <w:i/>
                <w:color w:val="auto"/>
                <w:sz w:val="18"/>
                <w:szCs w:val="18"/>
              </w:rPr>
              <w:t>1,0</w:t>
            </w:r>
          </w:p>
        </w:tc>
        <w:tc>
          <w:tcPr>
            <w:tcW w:w="717" w:type="pct"/>
          </w:tcPr>
          <w:p w:rsidR="004D65F6" w:rsidRPr="00454AEA" w:rsidRDefault="004D65F6" w:rsidP="009A6568">
            <w:pPr>
              <w:pStyle w:val="tabtekst"/>
              <w:jc w:val="center"/>
              <w:rPr>
                <w:i/>
                <w:color w:val="auto"/>
                <w:sz w:val="18"/>
                <w:szCs w:val="18"/>
              </w:rPr>
            </w:pPr>
            <w:r w:rsidRPr="00454AEA">
              <w:rPr>
                <w:i/>
                <w:color w:val="auto"/>
                <w:sz w:val="18"/>
                <w:szCs w:val="18"/>
              </w:rPr>
              <w:t>4,4</w:t>
            </w:r>
          </w:p>
        </w:tc>
        <w:tc>
          <w:tcPr>
            <w:tcW w:w="716" w:type="pct"/>
          </w:tcPr>
          <w:p w:rsidR="004D65F6" w:rsidRPr="00454AEA" w:rsidRDefault="004D65F6" w:rsidP="009A6568">
            <w:pPr>
              <w:pStyle w:val="tabtekst"/>
              <w:jc w:val="center"/>
              <w:rPr>
                <w:i/>
                <w:color w:val="auto"/>
                <w:sz w:val="18"/>
                <w:szCs w:val="18"/>
              </w:rPr>
            </w:pPr>
            <w:r w:rsidRPr="00454AEA">
              <w:rPr>
                <w:i/>
                <w:color w:val="auto"/>
                <w:sz w:val="18"/>
                <w:szCs w:val="18"/>
              </w:rPr>
              <w:t>22,3</w:t>
            </w:r>
          </w:p>
        </w:tc>
      </w:tr>
      <w:tr w:rsidR="004D65F6" w:rsidRPr="00454AEA" w:rsidTr="009A6568">
        <w:trPr>
          <w:jc w:val="center"/>
        </w:trPr>
        <w:tc>
          <w:tcPr>
            <w:tcW w:w="2349" w:type="pct"/>
          </w:tcPr>
          <w:p w:rsidR="004D65F6" w:rsidRPr="00454AEA" w:rsidRDefault="004D65F6" w:rsidP="009A6568">
            <w:pPr>
              <w:pStyle w:val="tabtekst"/>
              <w:rPr>
                <w:i/>
                <w:color w:val="auto"/>
                <w:sz w:val="18"/>
                <w:szCs w:val="18"/>
                <w:lang w:eastAsia="lv-LV"/>
              </w:rPr>
            </w:pPr>
            <w:r w:rsidRPr="00454AEA">
              <w:rPr>
                <w:i/>
                <w:color w:val="auto"/>
                <w:sz w:val="18"/>
                <w:szCs w:val="18"/>
                <w:lang w:eastAsia="lv-LV"/>
              </w:rPr>
              <w:t>% no IKP</w:t>
            </w:r>
          </w:p>
        </w:tc>
        <w:tc>
          <w:tcPr>
            <w:tcW w:w="602" w:type="pct"/>
          </w:tcPr>
          <w:p w:rsidR="004D65F6" w:rsidRPr="00454AEA" w:rsidRDefault="004D65F6" w:rsidP="009A6568">
            <w:pPr>
              <w:pStyle w:val="tabtekst"/>
              <w:jc w:val="center"/>
              <w:rPr>
                <w:i/>
                <w:color w:val="auto"/>
                <w:sz w:val="18"/>
                <w:szCs w:val="18"/>
              </w:rPr>
            </w:pPr>
            <w:r w:rsidRPr="00454AEA">
              <w:rPr>
                <w:i/>
                <w:color w:val="auto"/>
                <w:sz w:val="18"/>
                <w:szCs w:val="18"/>
              </w:rPr>
              <w:t>0,1</w:t>
            </w:r>
          </w:p>
        </w:tc>
        <w:tc>
          <w:tcPr>
            <w:tcW w:w="616" w:type="pct"/>
          </w:tcPr>
          <w:p w:rsidR="004D65F6" w:rsidRPr="00454AEA" w:rsidRDefault="004D65F6" w:rsidP="009A6568">
            <w:pPr>
              <w:pStyle w:val="tabtekst"/>
              <w:jc w:val="center"/>
              <w:rPr>
                <w:i/>
                <w:color w:val="auto"/>
                <w:sz w:val="18"/>
                <w:szCs w:val="18"/>
              </w:rPr>
            </w:pPr>
            <w:r w:rsidRPr="00454AEA">
              <w:rPr>
                <w:i/>
                <w:color w:val="auto"/>
                <w:sz w:val="18"/>
                <w:szCs w:val="18"/>
              </w:rPr>
              <w:t>0,1</w:t>
            </w:r>
          </w:p>
        </w:tc>
        <w:tc>
          <w:tcPr>
            <w:tcW w:w="717" w:type="pct"/>
          </w:tcPr>
          <w:p w:rsidR="004D65F6" w:rsidRPr="00454AEA" w:rsidRDefault="004D65F6" w:rsidP="009A6568">
            <w:pPr>
              <w:pStyle w:val="tabtekst"/>
              <w:jc w:val="center"/>
              <w:rPr>
                <w:i/>
                <w:color w:val="auto"/>
                <w:sz w:val="18"/>
                <w:szCs w:val="18"/>
              </w:rPr>
            </w:pPr>
            <w:r w:rsidRPr="00454AEA">
              <w:rPr>
                <w:i/>
                <w:color w:val="auto"/>
                <w:sz w:val="18"/>
                <w:szCs w:val="18"/>
              </w:rPr>
              <w:t>0,1</w:t>
            </w:r>
          </w:p>
        </w:tc>
        <w:tc>
          <w:tcPr>
            <w:tcW w:w="716" w:type="pct"/>
          </w:tcPr>
          <w:p w:rsidR="004D65F6" w:rsidRPr="00454AEA" w:rsidRDefault="004D65F6" w:rsidP="009A6568">
            <w:pPr>
              <w:pStyle w:val="tabtekst"/>
              <w:jc w:val="center"/>
              <w:rPr>
                <w:i/>
                <w:color w:val="auto"/>
                <w:sz w:val="18"/>
                <w:szCs w:val="18"/>
              </w:rPr>
            </w:pPr>
            <w:r w:rsidRPr="00454AEA">
              <w:rPr>
                <w:i/>
                <w:color w:val="auto"/>
                <w:sz w:val="18"/>
                <w:szCs w:val="18"/>
              </w:rPr>
              <w:t>0,1</w:t>
            </w:r>
          </w:p>
        </w:tc>
      </w:tr>
    </w:tbl>
    <w:p w:rsidR="004D65F6" w:rsidRPr="00454AEA" w:rsidRDefault="00454AEA" w:rsidP="00454AEA">
      <w:pPr>
        <w:pStyle w:val="cipari"/>
        <w:rPr>
          <w:i/>
          <w:sz w:val="20"/>
        </w:rPr>
      </w:pPr>
      <w:r w:rsidRPr="00454AEA">
        <w:rPr>
          <w:i/>
          <w:sz w:val="20"/>
        </w:rPr>
        <w:t>* saskaņā ar likumprojektu “</w:t>
      </w:r>
      <w:r w:rsidR="004D65F6" w:rsidRPr="00454AEA">
        <w:rPr>
          <w:i/>
          <w:sz w:val="20"/>
        </w:rPr>
        <w:t>Par valsts budžetu 2021.</w:t>
      </w:r>
      <w:r>
        <w:rPr>
          <w:i/>
          <w:sz w:val="20"/>
        </w:rPr>
        <w:t xml:space="preserve"> </w:t>
      </w:r>
      <w:r w:rsidR="004D65F6" w:rsidRPr="00454AEA">
        <w:rPr>
          <w:i/>
          <w:sz w:val="20"/>
        </w:rPr>
        <w:t>gadam”</w:t>
      </w:r>
    </w:p>
    <w:p w:rsidR="004D65F6" w:rsidRPr="00ED0E75" w:rsidRDefault="004D65F6" w:rsidP="00454AEA">
      <w:pPr>
        <w:pStyle w:val="H4"/>
        <w:spacing w:before="240" w:after="240"/>
      </w:pPr>
      <w:r w:rsidRPr="00ED0E75">
        <w:t>Izložu un azartspēļu nodoklis</w:t>
      </w:r>
    </w:p>
    <w:p w:rsidR="004D65F6" w:rsidRPr="00324699" w:rsidRDefault="004D65F6" w:rsidP="004D65F6">
      <w:pPr>
        <w:rPr>
          <w:highlight w:val="yellow"/>
        </w:rPr>
      </w:pPr>
      <w:r w:rsidRPr="009A4F89">
        <w:t>Izložu un azartspēļu nodo</w:t>
      </w:r>
      <w:r w:rsidR="00454AEA">
        <w:t>kli maksā uzņēmumi, kas likumā “</w:t>
      </w:r>
      <w:r w:rsidRPr="009A4F89">
        <w:t xml:space="preserve">Par izložu un azartspēļu </w:t>
      </w:r>
      <w:r w:rsidRPr="00337B38">
        <w:t xml:space="preserve">nodevu un nodokli” noteiktajā kārtībā saņēmuši speciālu atļauju izložu un azartspēļu organizēšanai un uzturēšanai. Ienākumi no azartspēļu nodokļa (izņemot </w:t>
      </w:r>
      <w:r w:rsidRPr="00337B38">
        <w:rPr>
          <w:rFonts w:eastAsia="Calibri"/>
          <w:szCs w:val="28"/>
          <w:lang w:eastAsia="lv-LV"/>
        </w:rPr>
        <w:t>ieņēmumus no izložu un azartspēļu nodokļa par azartspēlēm, ko organizē izmantojot telekomunikācijas, un sākot ar 2018.</w:t>
      </w:r>
      <w:r w:rsidR="00454AEA">
        <w:rPr>
          <w:rFonts w:eastAsia="Calibri"/>
          <w:szCs w:val="28"/>
          <w:lang w:eastAsia="lv-LV"/>
        </w:rPr>
        <w:t xml:space="preserve"> </w:t>
      </w:r>
      <w:r w:rsidRPr="00337B38">
        <w:rPr>
          <w:rFonts w:eastAsia="Calibri"/>
          <w:szCs w:val="28"/>
          <w:lang w:eastAsia="lv-LV"/>
        </w:rPr>
        <w:t>gada 1.</w:t>
      </w:r>
      <w:r w:rsidR="00454AEA">
        <w:rPr>
          <w:rFonts w:eastAsia="Calibri"/>
          <w:szCs w:val="28"/>
          <w:lang w:eastAsia="lv-LV"/>
        </w:rPr>
        <w:t xml:space="preserve"> </w:t>
      </w:r>
      <w:r w:rsidRPr="00337B38">
        <w:rPr>
          <w:rFonts w:eastAsia="Calibri"/>
          <w:szCs w:val="28"/>
          <w:lang w:eastAsia="lv-LV"/>
        </w:rPr>
        <w:t>janvāri 100% apmērā ieskaita valsts budžetā)</w:t>
      </w:r>
      <w:r w:rsidRPr="00337B38">
        <w:t xml:space="preserve"> līdz 2020.</w:t>
      </w:r>
      <w:r w:rsidR="00454AEA">
        <w:t xml:space="preserve"> </w:t>
      </w:r>
      <w:r w:rsidRPr="00337B38">
        <w:t>gadam 75% apmērā tika ieskaitīti valsts pamatbudžetā, bet 25% apmērā tās pašvaldības budžetā, kuras teritorijā tiek organizēta azartspēle. Ar 2020.</w:t>
      </w:r>
      <w:r w:rsidR="00454AEA">
        <w:t xml:space="preserve"> </w:t>
      </w:r>
      <w:r w:rsidRPr="00337B38">
        <w:t>gada 1.</w:t>
      </w:r>
      <w:r w:rsidR="00454AEA">
        <w:t xml:space="preserve"> </w:t>
      </w:r>
      <w:r w:rsidRPr="00337B38">
        <w:t>janvāri vals</w:t>
      </w:r>
      <w:r>
        <w:t>ts pamatbudžetā tiek</w:t>
      </w:r>
      <w:r w:rsidRPr="00337B38">
        <w:t xml:space="preserve"> skaitīti 95% no šiem azartspēļu nodokļa ienākum</w:t>
      </w:r>
      <w:r>
        <w:t>iem, bet pašvaldību budžetā – 5 procenti</w:t>
      </w:r>
      <w:r w:rsidRPr="00337B38">
        <w:t>. Ienākumi no valsts mēroga izložu nodokļa tiek ieskaitīti valsts pamatbudžetā, bet no vietējā mēroga izložu nodokļa – tās pašvaldības budžetā, kuras teritorijā tiek organizēta izloze.</w:t>
      </w:r>
    </w:p>
    <w:p w:rsidR="004D65F6" w:rsidRPr="00CF6800" w:rsidRDefault="004D65F6" w:rsidP="004D65F6">
      <w:pPr>
        <w:spacing w:after="0"/>
      </w:pPr>
      <w:r w:rsidRPr="00CF6800">
        <w:t>2020.</w:t>
      </w:r>
      <w:r w:rsidR="00454AEA">
        <w:t xml:space="preserve"> </w:t>
      </w:r>
      <w:r w:rsidRPr="00CF6800">
        <w:t>gada sešos mēnešos izložu un azartspēļu nodokļa ieņēmumi bija 16,4 milj. </w:t>
      </w:r>
      <w:proofErr w:type="spellStart"/>
      <w:r w:rsidRPr="00CF6800">
        <w:rPr>
          <w:i/>
        </w:rPr>
        <w:t>euro</w:t>
      </w:r>
      <w:proofErr w:type="spellEnd"/>
      <w:r w:rsidRPr="00CF6800">
        <w:t>, kas, salīdzinot ar 2019.</w:t>
      </w:r>
      <w:r w:rsidR="00454AEA">
        <w:t xml:space="preserve"> </w:t>
      </w:r>
      <w:r w:rsidRPr="00CF6800">
        <w:t>gada sešiem mēnešiem, ir samazinājušies par 8,4 milj. </w:t>
      </w:r>
      <w:proofErr w:type="spellStart"/>
      <w:r w:rsidRPr="00CF6800">
        <w:rPr>
          <w:i/>
        </w:rPr>
        <w:t>euro</w:t>
      </w:r>
      <w:proofErr w:type="spellEnd"/>
      <w:r w:rsidRPr="00CF6800">
        <w:t xml:space="preserve"> jeb 33,9 procentiem - valsts pamatbudžetā iekasēts par 4,9 milj. </w:t>
      </w:r>
      <w:proofErr w:type="spellStart"/>
      <w:r w:rsidRPr="00CF6800">
        <w:rPr>
          <w:i/>
        </w:rPr>
        <w:t>euro</w:t>
      </w:r>
      <w:proofErr w:type="spellEnd"/>
      <w:r w:rsidRPr="00CF6800">
        <w:t xml:space="preserve"> jeb 24,7% mazāk un pašvaldību budžetā ieņēmumi ir samazinājušies par 3,5 milj. </w:t>
      </w:r>
      <w:proofErr w:type="spellStart"/>
      <w:r w:rsidRPr="00CF6800">
        <w:rPr>
          <w:i/>
        </w:rPr>
        <w:t>euro</w:t>
      </w:r>
      <w:proofErr w:type="spellEnd"/>
      <w:r w:rsidRPr="00CF6800">
        <w:t xml:space="preserve"> jeb 72,2 procentiem. Salīdzinājumā ar plānu 2020.</w:t>
      </w:r>
      <w:r w:rsidR="00454AEA">
        <w:t xml:space="preserve"> </w:t>
      </w:r>
      <w:r w:rsidRPr="00CF6800">
        <w:t>gada sešos mēnešos nodokļa ieņēmumi ir iekasēti par 11,2 milj. </w:t>
      </w:r>
      <w:proofErr w:type="spellStart"/>
      <w:r w:rsidRPr="00CF6800">
        <w:rPr>
          <w:i/>
        </w:rPr>
        <w:t>euro</w:t>
      </w:r>
      <w:proofErr w:type="spellEnd"/>
      <w:r w:rsidRPr="00CF6800">
        <w:t xml:space="preserve"> jeb 40,6% mazāk.</w:t>
      </w:r>
    </w:p>
    <w:p w:rsidR="004D65F6" w:rsidRPr="004F3BB9" w:rsidRDefault="004D65F6" w:rsidP="004D65F6">
      <w:r w:rsidRPr="00D564D8">
        <w:t xml:space="preserve">Sešu mēnešu </w:t>
      </w:r>
      <w:r>
        <w:t>plāna neizpildi galvenokārt ietekmēja 2020.</w:t>
      </w:r>
      <w:r w:rsidR="00454AEA">
        <w:t xml:space="preserve"> </w:t>
      </w:r>
      <w:r>
        <w:t>gada 20.</w:t>
      </w:r>
      <w:r w:rsidR="00454AEA">
        <w:t xml:space="preserve"> </w:t>
      </w:r>
      <w:r>
        <w:t>marta Saeimā pieņemta likuma “Par valsts apdraudējuma un tā seku novēršanas un pārvarēšanas pasākumiem sakarā ar Covid-19 izplatību” 8. un 9.</w:t>
      </w:r>
      <w:r w:rsidR="00454AEA">
        <w:t xml:space="preserve"> </w:t>
      </w:r>
      <w:r>
        <w:t>panta ierobežojumi. Ar 2020.</w:t>
      </w:r>
      <w:r w:rsidR="00454AEA">
        <w:t xml:space="preserve"> </w:t>
      </w:r>
      <w:r>
        <w:t>gada 22.</w:t>
      </w:r>
      <w:r w:rsidR="00454AEA">
        <w:t xml:space="preserve"> </w:t>
      </w:r>
      <w:r>
        <w:t>martu līdz 9.</w:t>
      </w:r>
      <w:r w:rsidR="00454AEA">
        <w:t> </w:t>
      </w:r>
      <w:r>
        <w:t xml:space="preserve">jūnijam azartspēļu zāles, kazino, </w:t>
      </w:r>
      <w:proofErr w:type="spellStart"/>
      <w:r>
        <w:t>bingo</w:t>
      </w:r>
      <w:proofErr w:type="spellEnd"/>
      <w:r>
        <w:t xml:space="preserve"> zāles un </w:t>
      </w:r>
      <w:proofErr w:type="spellStart"/>
      <w:r>
        <w:t>totalizatora</w:t>
      </w:r>
      <w:proofErr w:type="spellEnd"/>
      <w:r>
        <w:t xml:space="preserve"> likmju pieņemšanas vietas tika slēgtas, un no 2020.</w:t>
      </w:r>
      <w:r w:rsidR="00454AEA">
        <w:t xml:space="preserve"> </w:t>
      </w:r>
      <w:r>
        <w:t>gada 8.</w:t>
      </w:r>
      <w:r w:rsidR="00454AEA">
        <w:t xml:space="preserve"> </w:t>
      </w:r>
      <w:r>
        <w:t>aprīļa līdz 9.</w:t>
      </w:r>
      <w:r w:rsidR="00454AEA">
        <w:t xml:space="preserve"> </w:t>
      </w:r>
      <w:r>
        <w:t>jūnijam tika slēgtas arī interaktīvo azartspēļu vietnes. Ņemot vērā minēto</w:t>
      </w:r>
      <w:r w:rsidRPr="00D20790">
        <w:t>, kā arī Izložu un azartspēļu uzraudzības inspekcijas sniegtās prognozes un viedokli,</w:t>
      </w:r>
      <w:r>
        <w:t xml:space="preserve"> prognoze 2020.</w:t>
      </w:r>
      <w:r w:rsidR="00454AEA">
        <w:t xml:space="preserve"> </w:t>
      </w:r>
      <w:r>
        <w:t>gadam ir</w:t>
      </w:r>
      <w:r w:rsidRPr="00D20790">
        <w:t xml:space="preserve"> </w:t>
      </w:r>
      <w:r>
        <w:t>piesardzīga un aprēķināta, ņemot vērā dīkstāvi un vidējo azartspēļu iekārtu skaitu gadā. Līdz ar to prognoze 2020.</w:t>
      </w:r>
      <w:r w:rsidR="00454AEA">
        <w:t xml:space="preserve"> </w:t>
      </w:r>
      <w:r>
        <w:t xml:space="preserve">gadam ir samazināta par 15,1 milj. </w:t>
      </w:r>
      <w:proofErr w:type="spellStart"/>
      <w:r w:rsidRPr="00B938A4">
        <w:rPr>
          <w:i/>
        </w:rPr>
        <w:t>euro</w:t>
      </w:r>
      <w:proofErr w:type="spellEnd"/>
      <w:r>
        <w:t xml:space="preserve"> jeb par 26,9% no plāna.</w:t>
      </w:r>
    </w:p>
    <w:p w:rsidR="004D65F6" w:rsidRPr="00E62C9D" w:rsidRDefault="004D65F6" w:rsidP="004D65F6">
      <w:r w:rsidRPr="00E62C9D">
        <w:t>2021.</w:t>
      </w:r>
      <w:r w:rsidR="00454AEA">
        <w:t xml:space="preserve"> </w:t>
      </w:r>
      <w:r w:rsidRPr="00E62C9D">
        <w:t>gadā kopējie izložu un azartspēļu nodokļa ieņēmumi tiek plānoti 53,4 milj. </w:t>
      </w:r>
      <w:proofErr w:type="spellStart"/>
      <w:r w:rsidRPr="00E62C9D">
        <w:rPr>
          <w:i/>
        </w:rPr>
        <w:t>euro</w:t>
      </w:r>
      <w:proofErr w:type="spellEnd"/>
      <w:r w:rsidRPr="00E62C9D">
        <w:t xml:space="preserve"> apmērā, kas salīdzinājumā ar 2020.</w:t>
      </w:r>
      <w:r w:rsidR="00454AEA">
        <w:t xml:space="preserve"> </w:t>
      </w:r>
      <w:r w:rsidRPr="00E62C9D">
        <w:t>gada ieņēmumiem ir par 12,3 milj. </w:t>
      </w:r>
      <w:proofErr w:type="spellStart"/>
      <w:r w:rsidRPr="00E62C9D">
        <w:rPr>
          <w:i/>
        </w:rPr>
        <w:t>euro</w:t>
      </w:r>
      <w:proofErr w:type="spellEnd"/>
      <w:r w:rsidRPr="00E62C9D">
        <w:t xml:space="preserve"> jeb 29,8% vairāk.</w:t>
      </w:r>
    </w:p>
    <w:p w:rsidR="004D65F6" w:rsidRPr="004F0EFF" w:rsidRDefault="004D65F6" w:rsidP="004D65F6">
      <w:pPr>
        <w:shd w:val="clear" w:color="auto" w:fill="FFFFFF"/>
        <w:rPr>
          <w:szCs w:val="24"/>
        </w:rPr>
      </w:pPr>
      <w:r w:rsidRPr="004F0EFF">
        <w:lastRenderedPageBreak/>
        <w:t>Sagatavojot izložu un azartspēļu nodokļa ieņēmumu plānu 2021.</w:t>
      </w:r>
      <w:r w:rsidR="00454AEA">
        <w:t xml:space="preserve"> </w:t>
      </w:r>
      <w:r w:rsidRPr="004F0EFF">
        <w:t xml:space="preserve">gadam, tika </w:t>
      </w:r>
      <w:r>
        <w:rPr>
          <w:szCs w:val="24"/>
        </w:rPr>
        <w:t>ņemtas vērā</w:t>
      </w:r>
      <w:r>
        <w:t xml:space="preserve"> </w:t>
      </w:r>
      <w:r w:rsidRPr="004F0EFF">
        <w:t xml:space="preserve">nozares attīstības </w:t>
      </w:r>
      <w:r w:rsidRPr="004F0EFF">
        <w:rPr>
          <w:szCs w:val="24"/>
        </w:rPr>
        <w:t>tendences, nodokļu samaksas ter</w:t>
      </w:r>
      <w:r>
        <w:rPr>
          <w:szCs w:val="24"/>
        </w:rPr>
        <w:t>miņa pagarinājumi, kā arī 2019.</w:t>
      </w:r>
      <w:r w:rsidR="00454AEA">
        <w:rPr>
          <w:szCs w:val="24"/>
        </w:rPr>
        <w:t xml:space="preserve"> </w:t>
      </w:r>
      <w:r w:rsidRPr="004F0EFF">
        <w:rPr>
          <w:szCs w:val="24"/>
        </w:rPr>
        <w:t>gada 14.</w:t>
      </w:r>
      <w:r w:rsidR="00454AEA">
        <w:rPr>
          <w:szCs w:val="24"/>
        </w:rPr>
        <w:t xml:space="preserve"> </w:t>
      </w:r>
      <w:r w:rsidRPr="004F0EFF">
        <w:rPr>
          <w:szCs w:val="24"/>
        </w:rPr>
        <w:t xml:space="preserve">novembrī Saeimā </w:t>
      </w:r>
      <w:r>
        <w:rPr>
          <w:szCs w:val="24"/>
        </w:rPr>
        <w:t>pieņemtās izmaiņas normatīvajos aktos</w:t>
      </w:r>
      <w:r w:rsidRPr="004F0EFF">
        <w:rPr>
          <w:szCs w:val="24"/>
        </w:rPr>
        <w:t>, kas, sākot ar 2020.</w:t>
      </w:r>
      <w:r w:rsidR="00454AEA">
        <w:rPr>
          <w:szCs w:val="24"/>
        </w:rPr>
        <w:t xml:space="preserve"> </w:t>
      </w:r>
      <w:r w:rsidRPr="004F0EFF">
        <w:rPr>
          <w:szCs w:val="24"/>
        </w:rPr>
        <w:t>gadu, paredz</w:t>
      </w:r>
      <w:r w:rsidRPr="004F0EFF">
        <w:rPr>
          <w:noProof/>
        </w:rPr>
        <w:t xml:space="preserve"> paaugstinātas azartspēļu nodokļa likmes azartspēļu </w:t>
      </w:r>
      <w:r w:rsidRPr="004F0EFF">
        <w:rPr>
          <w:bCs/>
          <w:iCs/>
          <w:noProof/>
          <w:shd w:val="clear" w:color="auto" w:fill="FFFFFF"/>
        </w:rPr>
        <w:t xml:space="preserve">automātiem, </w:t>
      </w:r>
      <w:r w:rsidRPr="004F0EFF">
        <w:rPr>
          <w:szCs w:val="24"/>
        </w:rPr>
        <w:t>ruletei, kāršu un kauliņu spēlei.</w:t>
      </w:r>
    </w:p>
    <w:p w:rsidR="004D65F6" w:rsidRPr="00454AEA" w:rsidRDefault="004D65F6" w:rsidP="004D65F6">
      <w:pPr>
        <w:pStyle w:val="T"/>
        <w:spacing w:before="360"/>
        <w:rPr>
          <w:i w:val="0"/>
        </w:rPr>
      </w:pPr>
      <w:r w:rsidRPr="00454AEA">
        <w:t>3.21.</w:t>
      </w:r>
      <w:r w:rsidR="00454AEA">
        <w:t xml:space="preserve"> </w:t>
      </w:r>
      <w:r w:rsidRPr="00454AEA">
        <w:t xml:space="preserve">tabula </w:t>
      </w:r>
      <w:r w:rsidRPr="00454AEA">
        <w:rPr>
          <w:i w:val="0"/>
        </w:rPr>
        <w:t>Izložu un azartspēļu nodokļa ieņēmumi</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959"/>
        <w:gridCol w:w="850"/>
        <w:gridCol w:w="850"/>
        <w:gridCol w:w="993"/>
        <w:gridCol w:w="1275"/>
      </w:tblGrid>
      <w:tr w:rsidR="004D65F6" w:rsidRPr="00454AEA" w:rsidTr="00454AEA">
        <w:trPr>
          <w:trHeight w:val="215"/>
          <w:tblHeader/>
          <w:jc w:val="center"/>
        </w:trPr>
        <w:tc>
          <w:tcPr>
            <w:tcW w:w="2778" w:type="pct"/>
            <w:vMerge w:val="restart"/>
            <w:shd w:val="clear" w:color="auto" w:fill="D9D9D9" w:themeFill="background1" w:themeFillShade="D9"/>
          </w:tcPr>
          <w:p w:rsidR="004D65F6" w:rsidRPr="00454AEA" w:rsidRDefault="004D65F6" w:rsidP="009A6568">
            <w:pPr>
              <w:pStyle w:val="tabtekst"/>
              <w:rPr>
                <w:b/>
                <w:color w:val="000000" w:themeColor="text1"/>
                <w:sz w:val="18"/>
                <w:szCs w:val="18"/>
                <w:highlight w:val="yellow"/>
              </w:rPr>
            </w:pPr>
          </w:p>
        </w:tc>
        <w:tc>
          <w:tcPr>
            <w:tcW w:w="476" w:type="pct"/>
            <w:tcBorders>
              <w:bottom w:val="single" w:sz="4" w:space="0" w:color="auto"/>
            </w:tcBorders>
            <w:shd w:val="clear" w:color="auto" w:fill="D9D9D9" w:themeFill="background1" w:themeFillShade="D9"/>
          </w:tcPr>
          <w:p w:rsidR="004D65F6" w:rsidRPr="00454AEA" w:rsidRDefault="004D65F6" w:rsidP="009A6568">
            <w:pPr>
              <w:pStyle w:val="tabtekst"/>
              <w:jc w:val="center"/>
              <w:rPr>
                <w:b/>
                <w:color w:val="000000" w:themeColor="text1"/>
                <w:sz w:val="18"/>
                <w:szCs w:val="18"/>
              </w:rPr>
            </w:pPr>
            <w:r w:rsidRPr="00454AEA">
              <w:rPr>
                <w:b/>
                <w:color w:val="000000" w:themeColor="text1"/>
                <w:sz w:val="18"/>
                <w:szCs w:val="18"/>
              </w:rPr>
              <w:t>2018</w:t>
            </w:r>
          </w:p>
        </w:tc>
        <w:tc>
          <w:tcPr>
            <w:tcW w:w="476" w:type="pct"/>
            <w:tcBorders>
              <w:bottom w:val="single" w:sz="4" w:space="0" w:color="auto"/>
            </w:tcBorders>
            <w:shd w:val="clear" w:color="auto" w:fill="D9D9D9" w:themeFill="background1" w:themeFillShade="D9"/>
          </w:tcPr>
          <w:p w:rsidR="004D65F6" w:rsidRPr="00454AEA" w:rsidRDefault="004D65F6" w:rsidP="009A6568">
            <w:pPr>
              <w:pStyle w:val="tabtekst"/>
              <w:jc w:val="center"/>
              <w:rPr>
                <w:b/>
                <w:color w:val="000000" w:themeColor="text1"/>
                <w:sz w:val="18"/>
                <w:szCs w:val="18"/>
              </w:rPr>
            </w:pPr>
            <w:r w:rsidRPr="00454AEA">
              <w:rPr>
                <w:b/>
                <w:color w:val="000000" w:themeColor="text1"/>
                <w:sz w:val="18"/>
                <w:szCs w:val="18"/>
              </w:rPr>
              <w:t>2019</w:t>
            </w:r>
          </w:p>
        </w:tc>
        <w:tc>
          <w:tcPr>
            <w:tcW w:w="556" w:type="pct"/>
            <w:shd w:val="clear" w:color="auto" w:fill="D9D9D9" w:themeFill="background1" w:themeFillShade="D9"/>
          </w:tcPr>
          <w:p w:rsidR="004D65F6" w:rsidRPr="00454AEA" w:rsidRDefault="004D65F6" w:rsidP="009A6568">
            <w:pPr>
              <w:pStyle w:val="tabtekst"/>
              <w:jc w:val="center"/>
              <w:rPr>
                <w:b/>
                <w:color w:val="000000" w:themeColor="text1"/>
                <w:sz w:val="18"/>
                <w:szCs w:val="18"/>
              </w:rPr>
            </w:pPr>
            <w:r w:rsidRPr="00454AEA">
              <w:rPr>
                <w:b/>
                <w:color w:val="000000" w:themeColor="text1"/>
                <w:sz w:val="18"/>
                <w:szCs w:val="18"/>
              </w:rPr>
              <w:t>2020</w:t>
            </w:r>
          </w:p>
        </w:tc>
        <w:tc>
          <w:tcPr>
            <w:tcW w:w="714" w:type="pct"/>
            <w:shd w:val="clear" w:color="auto" w:fill="D9D9D9" w:themeFill="background1" w:themeFillShade="D9"/>
          </w:tcPr>
          <w:p w:rsidR="004D65F6" w:rsidRPr="00454AEA" w:rsidRDefault="004D65F6" w:rsidP="009A6568">
            <w:pPr>
              <w:pStyle w:val="tabtekst"/>
              <w:jc w:val="center"/>
              <w:rPr>
                <w:b/>
                <w:color w:val="000000" w:themeColor="text1"/>
                <w:sz w:val="18"/>
                <w:szCs w:val="18"/>
              </w:rPr>
            </w:pPr>
            <w:r w:rsidRPr="00454AEA">
              <w:rPr>
                <w:b/>
                <w:color w:val="000000" w:themeColor="text1"/>
                <w:sz w:val="18"/>
                <w:szCs w:val="18"/>
              </w:rPr>
              <w:t>2021</w:t>
            </w:r>
          </w:p>
        </w:tc>
      </w:tr>
      <w:tr w:rsidR="004D65F6" w:rsidRPr="00454AEA" w:rsidTr="00454AEA">
        <w:trPr>
          <w:trHeight w:val="215"/>
          <w:tblHeader/>
          <w:jc w:val="center"/>
        </w:trPr>
        <w:tc>
          <w:tcPr>
            <w:tcW w:w="2778" w:type="pct"/>
            <w:vMerge/>
            <w:shd w:val="clear" w:color="auto" w:fill="D9D9D9" w:themeFill="background1" w:themeFillShade="D9"/>
          </w:tcPr>
          <w:p w:rsidR="004D65F6" w:rsidRPr="00454AEA" w:rsidRDefault="004D65F6" w:rsidP="009A6568">
            <w:pPr>
              <w:pStyle w:val="tabtekst"/>
              <w:rPr>
                <w:b/>
                <w:color w:val="000000" w:themeColor="text1"/>
                <w:sz w:val="18"/>
                <w:szCs w:val="18"/>
                <w:highlight w:val="yellow"/>
              </w:rPr>
            </w:pPr>
          </w:p>
        </w:tc>
        <w:tc>
          <w:tcPr>
            <w:tcW w:w="952" w:type="pct"/>
            <w:gridSpan w:val="2"/>
            <w:shd w:val="clear" w:color="auto" w:fill="D9D9D9" w:themeFill="background1" w:themeFillShade="D9"/>
          </w:tcPr>
          <w:p w:rsidR="004D65F6" w:rsidRPr="00454AEA" w:rsidRDefault="004D65F6" w:rsidP="009A6568">
            <w:pPr>
              <w:pStyle w:val="tabtekst"/>
              <w:jc w:val="center"/>
              <w:rPr>
                <w:color w:val="000000" w:themeColor="text1"/>
                <w:sz w:val="18"/>
                <w:szCs w:val="18"/>
              </w:rPr>
            </w:pPr>
            <w:r w:rsidRPr="00454AEA">
              <w:rPr>
                <w:color w:val="000000" w:themeColor="text1"/>
                <w:sz w:val="18"/>
                <w:szCs w:val="18"/>
              </w:rPr>
              <w:t>fakts</w:t>
            </w:r>
          </w:p>
        </w:tc>
        <w:tc>
          <w:tcPr>
            <w:tcW w:w="556" w:type="pct"/>
            <w:shd w:val="clear" w:color="auto" w:fill="D9D9D9" w:themeFill="background1" w:themeFillShade="D9"/>
          </w:tcPr>
          <w:p w:rsidR="004D65F6" w:rsidRPr="00454AEA" w:rsidRDefault="004D65F6" w:rsidP="009A6568">
            <w:pPr>
              <w:pStyle w:val="tabtekst"/>
              <w:jc w:val="center"/>
              <w:rPr>
                <w:color w:val="000000" w:themeColor="text1"/>
                <w:sz w:val="18"/>
                <w:szCs w:val="18"/>
              </w:rPr>
            </w:pPr>
            <w:r w:rsidRPr="00454AEA">
              <w:rPr>
                <w:color w:val="000000" w:themeColor="text1"/>
                <w:sz w:val="18"/>
                <w:szCs w:val="18"/>
              </w:rPr>
              <w:t>prognoze</w:t>
            </w:r>
          </w:p>
        </w:tc>
        <w:tc>
          <w:tcPr>
            <w:tcW w:w="714" w:type="pct"/>
            <w:shd w:val="clear" w:color="auto" w:fill="D9D9D9" w:themeFill="background1" w:themeFillShade="D9"/>
          </w:tcPr>
          <w:p w:rsidR="004D65F6" w:rsidRPr="00454AEA" w:rsidRDefault="004D65F6" w:rsidP="009A6568">
            <w:pPr>
              <w:pStyle w:val="tabtekst"/>
              <w:jc w:val="center"/>
              <w:rPr>
                <w:color w:val="000000" w:themeColor="text1"/>
                <w:sz w:val="18"/>
                <w:szCs w:val="18"/>
              </w:rPr>
            </w:pPr>
            <w:r w:rsidRPr="00454AEA">
              <w:rPr>
                <w:color w:val="000000" w:themeColor="text1"/>
                <w:sz w:val="18"/>
                <w:szCs w:val="18"/>
              </w:rPr>
              <w:t>plāns*</w:t>
            </w:r>
          </w:p>
        </w:tc>
      </w:tr>
      <w:tr w:rsidR="004D65F6" w:rsidRPr="00454AEA" w:rsidTr="00454AEA">
        <w:trPr>
          <w:trHeight w:val="303"/>
          <w:jc w:val="center"/>
        </w:trPr>
        <w:tc>
          <w:tcPr>
            <w:tcW w:w="2778" w:type="pct"/>
            <w:shd w:val="clear" w:color="auto" w:fill="auto"/>
            <w:vAlign w:val="center"/>
          </w:tcPr>
          <w:p w:rsidR="004D65F6" w:rsidRPr="00454AEA" w:rsidRDefault="004D65F6" w:rsidP="00454AEA">
            <w:pPr>
              <w:pStyle w:val="tabtekst"/>
              <w:rPr>
                <w:color w:val="000000" w:themeColor="text1"/>
                <w:sz w:val="18"/>
                <w:szCs w:val="18"/>
              </w:rPr>
            </w:pPr>
            <w:r w:rsidRPr="00454AEA">
              <w:rPr>
                <w:b/>
                <w:color w:val="auto"/>
                <w:sz w:val="18"/>
                <w:szCs w:val="18"/>
              </w:rPr>
              <w:t>Izložu un azartspēļu nodoklis</w:t>
            </w:r>
            <w:r w:rsidRPr="00454AEA">
              <w:rPr>
                <w:color w:val="auto"/>
                <w:sz w:val="18"/>
                <w:szCs w:val="18"/>
              </w:rPr>
              <w:t xml:space="preserve">, milj. </w:t>
            </w:r>
            <w:proofErr w:type="spellStart"/>
            <w:r w:rsidRPr="00454AEA">
              <w:rPr>
                <w:i/>
                <w:color w:val="auto"/>
                <w:sz w:val="18"/>
                <w:szCs w:val="18"/>
              </w:rPr>
              <w:t>euro</w:t>
            </w:r>
            <w:proofErr w:type="spellEnd"/>
          </w:p>
        </w:tc>
        <w:tc>
          <w:tcPr>
            <w:tcW w:w="476" w:type="pct"/>
            <w:tcBorders>
              <w:bottom w:val="single" w:sz="4" w:space="0" w:color="auto"/>
            </w:tcBorders>
            <w:shd w:val="clear" w:color="auto" w:fill="auto"/>
            <w:vAlign w:val="center"/>
          </w:tcPr>
          <w:p w:rsidR="004D65F6" w:rsidRPr="00454AEA" w:rsidRDefault="004D65F6" w:rsidP="009A6568">
            <w:pPr>
              <w:spacing w:after="0"/>
              <w:ind w:firstLine="0"/>
              <w:jc w:val="center"/>
              <w:rPr>
                <w:b/>
                <w:snapToGrid w:val="0"/>
                <w:color w:val="000000" w:themeColor="text1"/>
                <w:sz w:val="18"/>
                <w:szCs w:val="18"/>
              </w:rPr>
            </w:pPr>
            <w:r w:rsidRPr="00454AEA">
              <w:rPr>
                <w:b/>
                <w:snapToGrid w:val="0"/>
                <w:color w:val="000000" w:themeColor="text1"/>
                <w:sz w:val="18"/>
                <w:szCs w:val="18"/>
              </w:rPr>
              <w:t>44,4</w:t>
            </w:r>
          </w:p>
        </w:tc>
        <w:tc>
          <w:tcPr>
            <w:tcW w:w="476" w:type="pct"/>
            <w:tcBorders>
              <w:bottom w:val="single" w:sz="4" w:space="0" w:color="auto"/>
            </w:tcBorders>
            <w:shd w:val="clear" w:color="auto" w:fill="auto"/>
            <w:vAlign w:val="center"/>
          </w:tcPr>
          <w:p w:rsidR="004D65F6" w:rsidRPr="00454AEA" w:rsidRDefault="004D65F6" w:rsidP="009A6568">
            <w:pPr>
              <w:spacing w:after="0"/>
              <w:ind w:firstLine="0"/>
              <w:jc w:val="center"/>
              <w:rPr>
                <w:b/>
                <w:snapToGrid w:val="0"/>
                <w:color w:val="000000" w:themeColor="text1"/>
                <w:sz w:val="18"/>
                <w:szCs w:val="18"/>
              </w:rPr>
            </w:pPr>
            <w:r w:rsidRPr="00454AEA">
              <w:rPr>
                <w:b/>
                <w:snapToGrid w:val="0"/>
                <w:color w:val="000000" w:themeColor="text1"/>
                <w:sz w:val="18"/>
                <w:szCs w:val="18"/>
              </w:rPr>
              <w:t>46,9</w:t>
            </w:r>
          </w:p>
        </w:tc>
        <w:tc>
          <w:tcPr>
            <w:tcW w:w="556" w:type="pct"/>
            <w:tcBorders>
              <w:bottom w:val="single" w:sz="4" w:space="0" w:color="auto"/>
            </w:tcBorders>
            <w:vAlign w:val="center"/>
          </w:tcPr>
          <w:p w:rsidR="004D65F6" w:rsidRPr="00454AEA" w:rsidRDefault="004D65F6" w:rsidP="009A6568">
            <w:pPr>
              <w:spacing w:after="0"/>
              <w:ind w:firstLine="0"/>
              <w:jc w:val="center"/>
              <w:rPr>
                <w:b/>
                <w:snapToGrid w:val="0"/>
                <w:color w:val="000000" w:themeColor="text1"/>
                <w:sz w:val="18"/>
                <w:szCs w:val="18"/>
              </w:rPr>
            </w:pPr>
            <w:r w:rsidRPr="00454AEA">
              <w:rPr>
                <w:b/>
                <w:snapToGrid w:val="0"/>
                <w:color w:val="000000" w:themeColor="text1"/>
                <w:sz w:val="18"/>
                <w:szCs w:val="18"/>
              </w:rPr>
              <w:t>41,2</w:t>
            </w:r>
          </w:p>
        </w:tc>
        <w:tc>
          <w:tcPr>
            <w:tcW w:w="714" w:type="pct"/>
            <w:tcBorders>
              <w:bottom w:val="single" w:sz="4" w:space="0" w:color="auto"/>
            </w:tcBorders>
            <w:shd w:val="clear" w:color="auto" w:fill="auto"/>
            <w:vAlign w:val="center"/>
          </w:tcPr>
          <w:p w:rsidR="004D65F6" w:rsidRPr="00454AEA" w:rsidRDefault="004D65F6" w:rsidP="009A6568">
            <w:pPr>
              <w:pStyle w:val="tabtekst"/>
              <w:jc w:val="center"/>
              <w:rPr>
                <w:b/>
                <w:color w:val="000000" w:themeColor="text1"/>
                <w:sz w:val="18"/>
                <w:szCs w:val="18"/>
              </w:rPr>
            </w:pPr>
            <w:r w:rsidRPr="00454AEA">
              <w:rPr>
                <w:b/>
                <w:color w:val="000000" w:themeColor="text1"/>
                <w:sz w:val="18"/>
                <w:szCs w:val="18"/>
              </w:rPr>
              <w:t>53,4</w:t>
            </w:r>
          </w:p>
        </w:tc>
      </w:tr>
      <w:tr w:rsidR="004D65F6" w:rsidRPr="00454AEA" w:rsidTr="00454AEA">
        <w:trPr>
          <w:trHeight w:val="303"/>
          <w:jc w:val="center"/>
        </w:trPr>
        <w:tc>
          <w:tcPr>
            <w:tcW w:w="2778" w:type="pct"/>
            <w:shd w:val="clear" w:color="auto" w:fill="auto"/>
            <w:vAlign w:val="center"/>
          </w:tcPr>
          <w:p w:rsidR="004D65F6" w:rsidRPr="00454AEA" w:rsidRDefault="004D65F6" w:rsidP="009A6568">
            <w:pPr>
              <w:pStyle w:val="tabtekst"/>
              <w:jc w:val="right"/>
              <w:rPr>
                <w:color w:val="auto"/>
                <w:sz w:val="18"/>
                <w:szCs w:val="18"/>
              </w:rPr>
            </w:pPr>
            <w:r w:rsidRPr="00454AEA">
              <w:rPr>
                <w:color w:val="auto"/>
                <w:sz w:val="18"/>
                <w:szCs w:val="18"/>
              </w:rPr>
              <w:t xml:space="preserve"> t.sk. valsts budžetā</w:t>
            </w:r>
          </w:p>
        </w:tc>
        <w:tc>
          <w:tcPr>
            <w:tcW w:w="476" w:type="pct"/>
            <w:tcBorders>
              <w:bottom w:val="single" w:sz="4" w:space="0" w:color="auto"/>
            </w:tcBorders>
            <w:shd w:val="clear" w:color="auto" w:fill="auto"/>
            <w:vAlign w:val="center"/>
          </w:tcPr>
          <w:p w:rsidR="004D65F6" w:rsidRPr="00454AEA" w:rsidRDefault="004D65F6" w:rsidP="009A6568">
            <w:pPr>
              <w:spacing w:after="0"/>
              <w:ind w:firstLine="0"/>
              <w:jc w:val="center"/>
              <w:rPr>
                <w:snapToGrid w:val="0"/>
                <w:color w:val="000000" w:themeColor="text1"/>
                <w:sz w:val="18"/>
                <w:szCs w:val="18"/>
              </w:rPr>
            </w:pPr>
            <w:r w:rsidRPr="00454AEA">
              <w:rPr>
                <w:snapToGrid w:val="0"/>
                <w:color w:val="000000" w:themeColor="text1"/>
                <w:sz w:val="18"/>
                <w:szCs w:val="18"/>
              </w:rPr>
              <w:t>35,0</w:t>
            </w:r>
          </w:p>
        </w:tc>
        <w:tc>
          <w:tcPr>
            <w:tcW w:w="476" w:type="pct"/>
            <w:tcBorders>
              <w:bottom w:val="single" w:sz="4" w:space="0" w:color="auto"/>
            </w:tcBorders>
            <w:shd w:val="clear" w:color="auto" w:fill="auto"/>
            <w:vAlign w:val="center"/>
          </w:tcPr>
          <w:p w:rsidR="004D65F6" w:rsidRPr="00454AEA" w:rsidRDefault="004D65F6" w:rsidP="009A6568">
            <w:pPr>
              <w:spacing w:after="0"/>
              <w:ind w:firstLine="0"/>
              <w:jc w:val="center"/>
              <w:rPr>
                <w:snapToGrid w:val="0"/>
                <w:color w:val="000000" w:themeColor="text1"/>
                <w:sz w:val="18"/>
                <w:szCs w:val="18"/>
              </w:rPr>
            </w:pPr>
            <w:r w:rsidRPr="00454AEA">
              <w:rPr>
                <w:snapToGrid w:val="0"/>
                <w:color w:val="000000" w:themeColor="text1"/>
                <w:sz w:val="18"/>
                <w:szCs w:val="18"/>
              </w:rPr>
              <w:t>37,3</w:t>
            </w:r>
          </w:p>
        </w:tc>
        <w:tc>
          <w:tcPr>
            <w:tcW w:w="556" w:type="pct"/>
            <w:tcBorders>
              <w:bottom w:val="single" w:sz="4" w:space="0" w:color="auto"/>
            </w:tcBorders>
            <w:vAlign w:val="center"/>
          </w:tcPr>
          <w:p w:rsidR="004D65F6" w:rsidRPr="00454AEA" w:rsidRDefault="004D65F6" w:rsidP="009A6568">
            <w:pPr>
              <w:spacing w:after="0"/>
              <w:ind w:firstLine="0"/>
              <w:jc w:val="center"/>
              <w:rPr>
                <w:snapToGrid w:val="0"/>
                <w:color w:val="000000" w:themeColor="text1"/>
                <w:sz w:val="18"/>
                <w:szCs w:val="18"/>
              </w:rPr>
            </w:pPr>
            <w:r w:rsidRPr="00454AEA">
              <w:rPr>
                <w:snapToGrid w:val="0"/>
                <w:color w:val="000000" w:themeColor="text1"/>
                <w:sz w:val="18"/>
                <w:szCs w:val="18"/>
              </w:rPr>
              <w:t>39,6</w:t>
            </w:r>
          </w:p>
        </w:tc>
        <w:tc>
          <w:tcPr>
            <w:tcW w:w="714" w:type="pct"/>
            <w:tcBorders>
              <w:bottom w:val="single" w:sz="4" w:space="0" w:color="auto"/>
            </w:tcBorders>
            <w:shd w:val="clear" w:color="auto" w:fill="auto"/>
            <w:vAlign w:val="center"/>
          </w:tcPr>
          <w:p w:rsidR="004D65F6" w:rsidRPr="00454AEA" w:rsidRDefault="004D65F6" w:rsidP="009A6568">
            <w:pPr>
              <w:pStyle w:val="tabtekst"/>
              <w:jc w:val="center"/>
              <w:rPr>
                <w:color w:val="000000" w:themeColor="text1"/>
                <w:sz w:val="18"/>
                <w:szCs w:val="18"/>
              </w:rPr>
            </w:pPr>
            <w:r w:rsidRPr="00454AEA">
              <w:rPr>
                <w:color w:val="000000" w:themeColor="text1"/>
                <w:sz w:val="18"/>
                <w:szCs w:val="18"/>
              </w:rPr>
              <w:t>51,3</w:t>
            </w:r>
          </w:p>
        </w:tc>
      </w:tr>
      <w:tr w:rsidR="004D65F6" w:rsidRPr="00454AEA" w:rsidTr="00454AEA">
        <w:trPr>
          <w:trHeight w:val="139"/>
          <w:jc w:val="center"/>
        </w:trPr>
        <w:tc>
          <w:tcPr>
            <w:tcW w:w="2778" w:type="pct"/>
            <w:shd w:val="clear" w:color="auto" w:fill="auto"/>
            <w:vAlign w:val="center"/>
          </w:tcPr>
          <w:p w:rsidR="004D65F6" w:rsidRPr="00454AEA" w:rsidRDefault="004D65F6" w:rsidP="009A6568">
            <w:pPr>
              <w:pStyle w:val="tabtekst"/>
              <w:jc w:val="right"/>
              <w:rPr>
                <w:color w:val="auto"/>
                <w:sz w:val="18"/>
                <w:szCs w:val="18"/>
              </w:rPr>
            </w:pPr>
            <w:r w:rsidRPr="00454AEA">
              <w:rPr>
                <w:color w:val="auto"/>
                <w:sz w:val="18"/>
                <w:szCs w:val="18"/>
              </w:rPr>
              <w:t xml:space="preserve">   pašvaldību pamatbudžetā</w:t>
            </w:r>
          </w:p>
        </w:tc>
        <w:tc>
          <w:tcPr>
            <w:tcW w:w="476" w:type="pct"/>
            <w:tcBorders>
              <w:bottom w:val="single" w:sz="4" w:space="0" w:color="auto"/>
            </w:tcBorders>
            <w:shd w:val="clear" w:color="auto" w:fill="auto"/>
            <w:vAlign w:val="center"/>
          </w:tcPr>
          <w:p w:rsidR="004D65F6" w:rsidRPr="00454AEA" w:rsidRDefault="004D65F6" w:rsidP="009A6568">
            <w:pPr>
              <w:spacing w:after="0"/>
              <w:ind w:firstLine="0"/>
              <w:jc w:val="center"/>
              <w:rPr>
                <w:snapToGrid w:val="0"/>
                <w:color w:val="000000" w:themeColor="text1"/>
                <w:sz w:val="18"/>
                <w:szCs w:val="18"/>
              </w:rPr>
            </w:pPr>
            <w:r w:rsidRPr="00454AEA">
              <w:rPr>
                <w:snapToGrid w:val="0"/>
                <w:color w:val="000000" w:themeColor="text1"/>
                <w:sz w:val="18"/>
                <w:szCs w:val="18"/>
              </w:rPr>
              <w:t>9,4</w:t>
            </w:r>
          </w:p>
        </w:tc>
        <w:tc>
          <w:tcPr>
            <w:tcW w:w="476" w:type="pct"/>
            <w:tcBorders>
              <w:bottom w:val="single" w:sz="4" w:space="0" w:color="auto"/>
            </w:tcBorders>
            <w:shd w:val="clear" w:color="auto" w:fill="auto"/>
            <w:vAlign w:val="center"/>
          </w:tcPr>
          <w:p w:rsidR="004D65F6" w:rsidRPr="00454AEA" w:rsidRDefault="004D65F6" w:rsidP="009A6568">
            <w:pPr>
              <w:spacing w:after="0"/>
              <w:ind w:firstLine="0"/>
              <w:jc w:val="center"/>
              <w:rPr>
                <w:snapToGrid w:val="0"/>
                <w:color w:val="000000" w:themeColor="text1"/>
                <w:sz w:val="18"/>
                <w:szCs w:val="18"/>
              </w:rPr>
            </w:pPr>
            <w:r w:rsidRPr="00454AEA">
              <w:rPr>
                <w:snapToGrid w:val="0"/>
                <w:color w:val="000000" w:themeColor="text1"/>
                <w:sz w:val="18"/>
                <w:szCs w:val="18"/>
              </w:rPr>
              <w:t>9,6</w:t>
            </w:r>
          </w:p>
        </w:tc>
        <w:tc>
          <w:tcPr>
            <w:tcW w:w="556" w:type="pct"/>
            <w:tcBorders>
              <w:bottom w:val="single" w:sz="4" w:space="0" w:color="auto"/>
            </w:tcBorders>
            <w:vAlign w:val="center"/>
          </w:tcPr>
          <w:p w:rsidR="004D65F6" w:rsidRPr="00454AEA" w:rsidRDefault="004D65F6" w:rsidP="009A6568">
            <w:pPr>
              <w:spacing w:after="0"/>
              <w:ind w:firstLine="0"/>
              <w:jc w:val="center"/>
              <w:rPr>
                <w:snapToGrid w:val="0"/>
                <w:color w:val="000000" w:themeColor="text1"/>
                <w:sz w:val="18"/>
                <w:szCs w:val="18"/>
              </w:rPr>
            </w:pPr>
            <w:r w:rsidRPr="00454AEA">
              <w:rPr>
                <w:snapToGrid w:val="0"/>
                <w:color w:val="000000" w:themeColor="text1"/>
                <w:sz w:val="18"/>
                <w:szCs w:val="18"/>
              </w:rPr>
              <w:t>1,6</w:t>
            </w:r>
          </w:p>
        </w:tc>
        <w:tc>
          <w:tcPr>
            <w:tcW w:w="714" w:type="pct"/>
            <w:tcBorders>
              <w:bottom w:val="single" w:sz="4" w:space="0" w:color="auto"/>
            </w:tcBorders>
            <w:shd w:val="clear" w:color="auto" w:fill="auto"/>
            <w:vAlign w:val="center"/>
          </w:tcPr>
          <w:p w:rsidR="004D65F6" w:rsidRPr="00454AEA" w:rsidRDefault="004D65F6" w:rsidP="009A6568">
            <w:pPr>
              <w:pStyle w:val="tabtekst"/>
              <w:jc w:val="center"/>
              <w:rPr>
                <w:color w:val="000000" w:themeColor="text1"/>
                <w:sz w:val="18"/>
                <w:szCs w:val="18"/>
              </w:rPr>
            </w:pPr>
            <w:r w:rsidRPr="00454AEA">
              <w:rPr>
                <w:color w:val="000000" w:themeColor="text1"/>
                <w:sz w:val="18"/>
                <w:szCs w:val="18"/>
              </w:rPr>
              <w:t>2,1</w:t>
            </w:r>
          </w:p>
        </w:tc>
      </w:tr>
      <w:tr w:rsidR="004D65F6" w:rsidRPr="00454AEA" w:rsidTr="00454AEA">
        <w:trPr>
          <w:trHeight w:val="215"/>
          <w:jc w:val="center"/>
        </w:trPr>
        <w:tc>
          <w:tcPr>
            <w:tcW w:w="2778" w:type="pct"/>
            <w:shd w:val="clear" w:color="auto" w:fill="auto"/>
          </w:tcPr>
          <w:p w:rsidR="004D65F6" w:rsidRPr="00454AEA" w:rsidRDefault="004D65F6" w:rsidP="009A6568">
            <w:pPr>
              <w:pStyle w:val="tabtekst"/>
              <w:rPr>
                <w:i/>
                <w:color w:val="auto"/>
                <w:sz w:val="18"/>
                <w:szCs w:val="18"/>
                <w:lang w:eastAsia="lv-LV"/>
              </w:rPr>
            </w:pPr>
            <w:r w:rsidRPr="00454AEA">
              <w:rPr>
                <w:i/>
                <w:color w:val="auto"/>
                <w:sz w:val="18"/>
                <w:szCs w:val="18"/>
                <w:lang w:eastAsia="lv-LV"/>
              </w:rPr>
              <w:t>pieauguma tempi, faktiskās cenās, %</w:t>
            </w:r>
          </w:p>
        </w:tc>
        <w:tc>
          <w:tcPr>
            <w:tcW w:w="476" w:type="pct"/>
            <w:tcBorders>
              <w:top w:val="single" w:sz="4" w:space="0" w:color="auto"/>
              <w:left w:val="nil"/>
              <w:bottom w:val="single" w:sz="4" w:space="0" w:color="auto"/>
              <w:right w:val="single" w:sz="4" w:space="0" w:color="auto"/>
            </w:tcBorders>
            <w:shd w:val="clear" w:color="auto" w:fill="auto"/>
            <w:vAlign w:val="bottom"/>
          </w:tcPr>
          <w:p w:rsidR="004D65F6" w:rsidRPr="00454AEA" w:rsidRDefault="004D65F6" w:rsidP="009A6568">
            <w:pPr>
              <w:pStyle w:val="tabtekst"/>
              <w:jc w:val="center"/>
              <w:rPr>
                <w:i/>
                <w:color w:val="000000" w:themeColor="text1"/>
                <w:sz w:val="18"/>
                <w:szCs w:val="18"/>
              </w:rPr>
            </w:pPr>
            <w:r w:rsidRPr="00454AEA">
              <w:rPr>
                <w:i/>
                <w:color w:val="000000" w:themeColor="text1"/>
                <w:sz w:val="18"/>
                <w:szCs w:val="18"/>
              </w:rPr>
              <w:t>+22,2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bottom"/>
          </w:tcPr>
          <w:p w:rsidR="004D65F6" w:rsidRPr="00454AEA" w:rsidRDefault="004D65F6" w:rsidP="009A6568">
            <w:pPr>
              <w:pStyle w:val="tabtekst"/>
              <w:jc w:val="center"/>
              <w:rPr>
                <w:i/>
                <w:color w:val="000000" w:themeColor="text1"/>
                <w:sz w:val="18"/>
                <w:szCs w:val="18"/>
              </w:rPr>
            </w:pPr>
            <w:r w:rsidRPr="00454AEA">
              <w:rPr>
                <w:i/>
                <w:color w:val="000000" w:themeColor="text1"/>
                <w:sz w:val="18"/>
                <w:szCs w:val="18"/>
              </w:rPr>
              <w:t>+5,6</w:t>
            </w:r>
          </w:p>
        </w:tc>
        <w:tc>
          <w:tcPr>
            <w:tcW w:w="556" w:type="pct"/>
            <w:tcBorders>
              <w:top w:val="single" w:sz="4" w:space="0" w:color="auto"/>
              <w:left w:val="single" w:sz="4" w:space="0" w:color="auto"/>
              <w:bottom w:val="single" w:sz="4" w:space="0" w:color="auto"/>
              <w:right w:val="single" w:sz="4" w:space="0" w:color="auto"/>
            </w:tcBorders>
          </w:tcPr>
          <w:p w:rsidR="004D65F6" w:rsidRPr="00454AEA" w:rsidRDefault="004D65F6" w:rsidP="009A6568">
            <w:pPr>
              <w:pStyle w:val="tabtekst"/>
              <w:jc w:val="center"/>
              <w:rPr>
                <w:i/>
                <w:color w:val="000000" w:themeColor="text1"/>
                <w:sz w:val="18"/>
                <w:szCs w:val="18"/>
              </w:rPr>
            </w:pPr>
            <w:r w:rsidRPr="00454AEA">
              <w:rPr>
                <w:i/>
                <w:color w:val="000000" w:themeColor="text1"/>
                <w:sz w:val="18"/>
                <w:szCs w:val="18"/>
              </w:rPr>
              <w:t>-12,2</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4D65F6" w:rsidRPr="00454AEA" w:rsidRDefault="004D65F6" w:rsidP="009A6568">
            <w:pPr>
              <w:pStyle w:val="tabtekst"/>
              <w:jc w:val="center"/>
              <w:rPr>
                <w:i/>
                <w:color w:val="000000" w:themeColor="text1"/>
                <w:sz w:val="18"/>
                <w:szCs w:val="18"/>
              </w:rPr>
            </w:pPr>
            <w:r w:rsidRPr="00454AEA">
              <w:rPr>
                <w:i/>
                <w:color w:val="000000" w:themeColor="text1"/>
                <w:sz w:val="18"/>
                <w:szCs w:val="18"/>
              </w:rPr>
              <w:t>+29,8</w:t>
            </w:r>
          </w:p>
        </w:tc>
      </w:tr>
      <w:tr w:rsidR="004D65F6" w:rsidRPr="00454AEA" w:rsidTr="00454AEA">
        <w:trPr>
          <w:trHeight w:val="202"/>
          <w:jc w:val="center"/>
        </w:trPr>
        <w:tc>
          <w:tcPr>
            <w:tcW w:w="2778" w:type="pct"/>
          </w:tcPr>
          <w:p w:rsidR="004D65F6" w:rsidRPr="00454AEA" w:rsidRDefault="004D65F6" w:rsidP="009A6568">
            <w:pPr>
              <w:pStyle w:val="tabtekst"/>
              <w:rPr>
                <w:i/>
                <w:color w:val="auto"/>
                <w:sz w:val="18"/>
                <w:szCs w:val="18"/>
                <w:lang w:eastAsia="lv-LV"/>
              </w:rPr>
            </w:pPr>
            <w:r w:rsidRPr="00454AEA">
              <w:rPr>
                <w:i/>
                <w:color w:val="auto"/>
                <w:sz w:val="18"/>
                <w:szCs w:val="18"/>
                <w:lang w:eastAsia="lv-LV"/>
              </w:rPr>
              <w:t>% no IKP</w:t>
            </w:r>
          </w:p>
        </w:tc>
        <w:tc>
          <w:tcPr>
            <w:tcW w:w="476" w:type="pct"/>
            <w:tcBorders>
              <w:top w:val="single" w:sz="4" w:space="0" w:color="auto"/>
              <w:left w:val="nil"/>
              <w:bottom w:val="single" w:sz="4" w:space="0" w:color="auto"/>
              <w:right w:val="single" w:sz="4" w:space="0" w:color="auto"/>
            </w:tcBorders>
            <w:shd w:val="clear" w:color="auto" w:fill="auto"/>
            <w:vAlign w:val="bottom"/>
          </w:tcPr>
          <w:p w:rsidR="004D65F6" w:rsidRPr="00454AEA" w:rsidRDefault="004D65F6" w:rsidP="009A6568">
            <w:pPr>
              <w:pStyle w:val="tabtekst"/>
              <w:jc w:val="center"/>
              <w:rPr>
                <w:i/>
                <w:color w:val="000000" w:themeColor="text1"/>
                <w:sz w:val="18"/>
                <w:szCs w:val="18"/>
              </w:rPr>
            </w:pPr>
            <w:r w:rsidRPr="00454AEA">
              <w:rPr>
                <w:i/>
                <w:color w:val="000000" w:themeColor="text1"/>
                <w:sz w:val="18"/>
                <w:szCs w:val="18"/>
              </w:rPr>
              <w:t>0,2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bottom"/>
          </w:tcPr>
          <w:p w:rsidR="004D65F6" w:rsidRPr="00454AEA" w:rsidRDefault="004D65F6" w:rsidP="009A6568">
            <w:pPr>
              <w:pStyle w:val="tabtekst"/>
              <w:jc w:val="center"/>
              <w:rPr>
                <w:i/>
                <w:color w:val="000000" w:themeColor="text1"/>
                <w:sz w:val="18"/>
                <w:szCs w:val="18"/>
              </w:rPr>
            </w:pPr>
            <w:r w:rsidRPr="00454AEA">
              <w:rPr>
                <w:i/>
                <w:color w:val="000000" w:themeColor="text1"/>
                <w:sz w:val="18"/>
                <w:szCs w:val="18"/>
              </w:rPr>
              <w:t>0,2</w:t>
            </w:r>
          </w:p>
        </w:tc>
        <w:tc>
          <w:tcPr>
            <w:tcW w:w="556" w:type="pct"/>
            <w:tcBorders>
              <w:top w:val="single" w:sz="4" w:space="0" w:color="auto"/>
              <w:left w:val="single" w:sz="4" w:space="0" w:color="auto"/>
              <w:bottom w:val="single" w:sz="4" w:space="0" w:color="auto"/>
              <w:right w:val="single" w:sz="4" w:space="0" w:color="auto"/>
            </w:tcBorders>
          </w:tcPr>
          <w:p w:rsidR="004D65F6" w:rsidRPr="00454AEA" w:rsidRDefault="004D65F6" w:rsidP="009A6568">
            <w:pPr>
              <w:pStyle w:val="tabtekst"/>
              <w:jc w:val="center"/>
              <w:rPr>
                <w:i/>
                <w:color w:val="000000" w:themeColor="text1"/>
                <w:sz w:val="18"/>
                <w:szCs w:val="18"/>
              </w:rPr>
            </w:pPr>
            <w:r w:rsidRPr="00454AEA">
              <w:rPr>
                <w:i/>
                <w:color w:val="000000" w:themeColor="text1"/>
                <w:sz w:val="18"/>
                <w:szCs w:val="18"/>
              </w:rPr>
              <w:t>0,2</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4D65F6" w:rsidRPr="00454AEA" w:rsidRDefault="004D65F6" w:rsidP="009A6568">
            <w:pPr>
              <w:pStyle w:val="tabtekst"/>
              <w:jc w:val="center"/>
              <w:rPr>
                <w:i/>
                <w:color w:val="000000" w:themeColor="text1"/>
                <w:sz w:val="18"/>
                <w:szCs w:val="18"/>
              </w:rPr>
            </w:pPr>
            <w:r w:rsidRPr="00454AEA">
              <w:rPr>
                <w:i/>
                <w:color w:val="000000" w:themeColor="text1"/>
                <w:sz w:val="18"/>
                <w:szCs w:val="18"/>
              </w:rPr>
              <w:t>0,2</w:t>
            </w:r>
          </w:p>
        </w:tc>
      </w:tr>
    </w:tbl>
    <w:p w:rsidR="004D65F6" w:rsidRPr="00454AEA" w:rsidRDefault="004D65F6" w:rsidP="00454AEA">
      <w:pPr>
        <w:pStyle w:val="cipari"/>
        <w:rPr>
          <w:b/>
          <w:i/>
          <w:sz w:val="20"/>
        </w:rPr>
      </w:pPr>
      <w:r w:rsidRPr="00454AEA">
        <w:rPr>
          <w:i/>
          <w:sz w:val="20"/>
        </w:rPr>
        <w:t xml:space="preserve">  </w:t>
      </w:r>
      <w:r w:rsidR="00454AEA" w:rsidRPr="00454AEA">
        <w:rPr>
          <w:i/>
          <w:sz w:val="20"/>
        </w:rPr>
        <w:t>* saskaņā ar likumprojektu “</w:t>
      </w:r>
      <w:r w:rsidRPr="00454AEA">
        <w:rPr>
          <w:i/>
          <w:sz w:val="20"/>
        </w:rPr>
        <w:t>Par valsts budžetu 2021.gadam”</w:t>
      </w:r>
    </w:p>
    <w:p w:rsidR="004D65F6" w:rsidRPr="00ED0E75" w:rsidRDefault="004D65F6" w:rsidP="00454AEA">
      <w:pPr>
        <w:spacing w:before="240" w:after="240"/>
        <w:ind w:firstLine="0"/>
        <w:jc w:val="center"/>
        <w:rPr>
          <w:b/>
          <w:sz w:val="28"/>
          <w:szCs w:val="28"/>
        </w:rPr>
      </w:pPr>
      <w:r w:rsidRPr="00ED0E75">
        <w:rPr>
          <w:b/>
          <w:sz w:val="28"/>
          <w:szCs w:val="28"/>
        </w:rPr>
        <w:t>Elektroenerģijas nodoklis</w:t>
      </w:r>
    </w:p>
    <w:p w:rsidR="004D65F6" w:rsidRPr="005F300D" w:rsidRDefault="004D65F6" w:rsidP="004D65F6">
      <w:r w:rsidRPr="005F300D">
        <w:t>Elek</w:t>
      </w:r>
      <w:r>
        <w:t xml:space="preserve">troenerģijas nodokli </w:t>
      </w:r>
      <w:r w:rsidRPr="005F300D">
        <w:t>regulē Elektroenerģijas nodokļa likums, kas nosaka kārtību, kādā elektroener</w:t>
      </w:r>
      <w:r>
        <w:t xml:space="preserve">ģiju apliek ar </w:t>
      </w:r>
      <w:r w:rsidRPr="005F300D">
        <w:t xml:space="preserve">nodokli. </w:t>
      </w:r>
    </w:p>
    <w:p w:rsidR="004D65F6" w:rsidRPr="005F300D" w:rsidRDefault="004D65F6" w:rsidP="004D65F6">
      <w:pPr>
        <w:rPr>
          <w:i/>
        </w:rPr>
      </w:pPr>
      <w:r w:rsidRPr="005F300D">
        <w:t>Elektroenerģijas nodoklis ir daļa no izmaksām, kuras tiek iecenotas tirdzniecības pakalpojumu cenā, jo nodokļu maksātājs ir elektroenerģijas tirgotājs un elektroenerģijas ražotājs. Elektroenerģijas nodokļa likme ir 1,01 </w:t>
      </w:r>
      <w:proofErr w:type="spellStart"/>
      <w:r w:rsidRPr="005F300D">
        <w:rPr>
          <w:i/>
        </w:rPr>
        <w:t>euro</w:t>
      </w:r>
      <w:proofErr w:type="spellEnd"/>
      <w:r w:rsidRPr="005F300D">
        <w:t xml:space="preserve"> par megavatstundu, tas ir 0,10 </w:t>
      </w:r>
      <w:proofErr w:type="spellStart"/>
      <w:r w:rsidRPr="005F300D">
        <w:rPr>
          <w:i/>
        </w:rPr>
        <w:t>euro</w:t>
      </w:r>
      <w:proofErr w:type="spellEnd"/>
      <w:r w:rsidRPr="005F300D">
        <w:t xml:space="preserve"> par 100 kilovatiem</w:t>
      </w:r>
      <w:r w:rsidRPr="005F300D">
        <w:rPr>
          <w:i/>
        </w:rPr>
        <w:t>.</w:t>
      </w:r>
    </w:p>
    <w:p w:rsidR="004D65F6" w:rsidRPr="009D7EA4" w:rsidRDefault="004D65F6" w:rsidP="004D65F6">
      <w:r w:rsidRPr="002B0E69">
        <w:t>Elektroenerģijas nodokļa ieņēmumi 2020.</w:t>
      </w:r>
      <w:r w:rsidR="00454AEA">
        <w:t xml:space="preserve"> </w:t>
      </w:r>
      <w:r w:rsidRPr="002B0E69">
        <w:t xml:space="preserve">gada sešos mēnešos bija 2,5 milj. </w:t>
      </w:r>
      <w:proofErr w:type="spellStart"/>
      <w:r w:rsidRPr="002B0E69">
        <w:rPr>
          <w:i/>
        </w:rPr>
        <w:t>euro</w:t>
      </w:r>
      <w:proofErr w:type="spellEnd"/>
      <w:r w:rsidRPr="002B0E69">
        <w:t>, kas salīdzinājumā ar 2019.</w:t>
      </w:r>
      <w:r w:rsidR="00454AEA">
        <w:t xml:space="preserve"> </w:t>
      </w:r>
      <w:r w:rsidRPr="002B0E69">
        <w:t>gada sešiem mēnešiem ir par 0,1 milj. </w:t>
      </w:r>
      <w:proofErr w:type="spellStart"/>
      <w:r w:rsidRPr="002B0E69">
        <w:rPr>
          <w:i/>
        </w:rPr>
        <w:t>euro</w:t>
      </w:r>
      <w:proofErr w:type="spellEnd"/>
      <w:r w:rsidRPr="002B0E69">
        <w:t xml:space="preserve"> jeb 5,0% mazāk. Arī pret plānu ieņēmumi sešos mēnešos ir zemāki – neizpilde ir 0,3 milj. </w:t>
      </w:r>
      <w:proofErr w:type="spellStart"/>
      <w:r w:rsidRPr="002B0E69">
        <w:rPr>
          <w:i/>
        </w:rPr>
        <w:t>euro</w:t>
      </w:r>
      <w:proofErr w:type="spellEnd"/>
      <w:r w:rsidRPr="002B0E69">
        <w:t xml:space="preserve"> jeb 10,1%. </w:t>
      </w:r>
      <w:r>
        <w:t xml:space="preserve">Līdz ar to </w:t>
      </w:r>
      <w:r w:rsidRPr="00716806">
        <w:t xml:space="preserve">prognoze </w:t>
      </w:r>
      <w:r>
        <w:t>2020.</w:t>
      </w:r>
      <w:r w:rsidR="00454AEA">
        <w:t xml:space="preserve"> </w:t>
      </w:r>
      <w:r>
        <w:t xml:space="preserve">gadam </w:t>
      </w:r>
      <w:r w:rsidRPr="00716806">
        <w:t>ir samazināta</w:t>
      </w:r>
      <w:r>
        <w:t xml:space="preserve"> par 0,7 milj. </w:t>
      </w:r>
      <w:proofErr w:type="spellStart"/>
      <w:r w:rsidRPr="00B938A4">
        <w:rPr>
          <w:i/>
        </w:rPr>
        <w:t>euro</w:t>
      </w:r>
      <w:proofErr w:type="spellEnd"/>
      <w:r>
        <w:t xml:space="preserve"> jeb par 12,4% no plāna</w:t>
      </w:r>
      <w:r w:rsidRPr="00716806">
        <w:t xml:space="preserve">, un, balstoties uz zemo izpildi ir </w:t>
      </w:r>
      <w:r>
        <w:t>sa</w:t>
      </w:r>
      <w:r w:rsidRPr="00716806">
        <w:t xml:space="preserve">mazināts </w:t>
      </w:r>
      <w:r>
        <w:t xml:space="preserve">arī </w:t>
      </w:r>
      <w:r w:rsidRPr="00716806">
        <w:t>nodokļa ieņēmumu pi</w:t>
      </w:r>
      <w:r>
        <w:t xml:space="preserve">eauguma </w:t>
      </w:r>
      <w:r w:rsidRPr="009D7EA4">
        <w:t>temps. Izmaiņas normatīvos aktos netiek paredzētas.</w:t>
      </w:r>
    </w:p>
    <w:p w:rsidR="004D65F6" w:rsidRPr="00454AEA" w:rsidRDefault="004D65F6" w:rsidP="004D65F6">
      <w:r w:rsidRPr="00454AEA">
        <w:t>2021.</w:t>
      </w:r>
      <w:r w:rsidR="00454AEA" w:rsidRPr="00454AEA">
        <w:t xml:space="preserve"> </w:t>
      </w:r>
      <w:r w:rsidRPr="00454AEA">
        <w:t>gadā elektroenerģijas nodokļa ieņēmumi tiek plānoti 4,8 milj. </w:t>
      </w:r>
      <w:proofErr w:type="spellStart"/>
      <w:r w:rsidRPr="00454AEA">
        <w:rPr>
          <w:i/>
        </w:rPr>
        <w:t>euro</w:t>
      </w:r>
      <w:proofErr w:type="spellEnd"/>
      <w:r w:rsidRPr="00454AEA">
        <w:rPr>
          <w:i/>
        </w:rPr>
        <w:t xml:space="preserve"> </w:t>
      </w:r>
      <w:r w:rsidRPr="00454AEA">
        <w:t xml:space="preserve">apmērā, kas ir par 0,05 milj. </w:t>
      </w:r>
      <w:proofErr w:type="spellStart"/>
      <w:r w:rsidRPr="00454AEA">
        <w:rPr>
          <w:i/>
        </w:rPr>
        <w:t>euro</w:t>
      </w:r>
      <w:proofErr w:type="spellEnd"/>
      <w:r w:rsidRPr="00454AEA">
        <w:t xml:space="preserve"> jeb 1,0% vairāk nekā prognozēts 2020.gadā. </w:t>
      </w:r>
    </w:p>
    <w:p w:rsidR="004D65F6" w:rsidRPr="00454AEA" w:rsidRDefault="004D65F6" w:rsidP="00454AEA">
      <w:pPr>
        <w:pStyle w:val="cipari"/>
        <w:spacing w:before="240"/>
        <w:jc w:val="center"/>
        <w:rPr>
          <w:b/>
          <w:szCs w:val="24"/>
        </w:rPr>
      </w:pPr>
      <w:r w:rsidRPr="00454AEA">
        <w:rPr>
          <w:b/>
          <w:i/>
          <w:szCs w:val="24"/>
        </w:rPr>
        <w:t>3.22.</w:t>
      </w:r>
      <w:r w:rsidRPr="00454AEA">
        <w:rPr>
          <w:b/>
          <w:szCs w:val="24"/>
        </w:rPr>
        <w:t xml:space="preserve"> </w:t>
      </w:r>
      <w:r w:rsidRPr="00454AEA">
        <w:rPr>
          <w:b/>
          <w:i/>
          <w:szCs w:val="24"/>
        </w:rPr>
        <w:t>tabula</w:t>
      </w:r>
      <w:r w:rsidRPr="00454AEA">
        <w:rPr>
          <w:b/>
          <w:szCs w:val="24"/>
        </w:rPr>
        <w:t xml:space="preserve"> Elektroenerģijas nodokļa ieņēmumi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823"/>
        <w:gridCol w:w="1133"/>
        <w:gridCol w:w="1274"/>
        <w:gridCol w:w="1274"/>
        <w:gridCol w:w="1557"/>
      </w:tblGrid>
      <w:tr w:rsidR="004D65F6" w:rsidRPr="00454AEA" w:rsidTr="00454AEA">
        <w:trPr>
          <w:trHeight w:val="215"/>
          <w:tblHeader/>
          <w:jc w:val="center"/>
        </w:trPr>
        <w:tc>
          <w:tcPr>
            <w:tcW w:w="2110" w:type="pct"/>
            <w:vMerge w:val="restart"/>
            <w:shd w:val="clear" w:color="auto" w:fill="D9D9D9" w:themeFill="background1" w:themeFillShade="D9"/>
          </w:tcPr>
          <w:p w:rsidR="004D65F6" w:rsidRPr="00454AEA" w:rsidRDefault="004D65F6" w:rsidP="009A6568">
            <w:pPr>
              <w:pStyle w:val="tabtekst"/>
              <w:rPr>
                <w:b/>
                <w:color w:val="000000" w:themeColor="text1"/>
                <w:sz w:val="18"/>
                <w:szCs w:val="18"/>
                <w:highlight w:val="yellow"/>
              </w:rPr>
            </w:pPr>
          </w:p>
        </w:tc>
        <w:tc>
          <w:tcPr>
            <w:tcW w:w="625" w:type="pct"/>
            <w:tcBorders>
              <w:bottom w:val="single" w:sz="4" w:space="0" w:color="auto"/>
            </w:tcBorders>
            <w:shd w:val="clear" w:color="auto" w:fill="D9D9D9" w:themeFill="background1" w:themeFillShade="D9"/>
          </w:tcPr>
          <w:p w:rsidR="004D65F6" w:rsidRPr="00454AEA" w:rsidRDefault="004D65F6" w:rsidP="009A6568">
            <w:pPr>
              <w:pStyle w:val="tabtekst"/>
              <w:jc w:val="center"/>
              <w:rPr>
                <w:b/>
                <w:color w:val="000000" w:themeColor="text1"/>
                <w:sz w:val="18"/>
                <w:szCs w:val="18"/>
              </w:rPr>
            </w:pPr>
            <w:r w:rsidRPr="00454AEA">
              <w:rPr>
                <w:b/>
                <w:color w:val="000000" w:themeColor="text1"/>
                <w:sz w:val="18"/>
                <w:szCs w:val="18"/>
              </w:rPr>
              <w:t>2018</w:t>
            </w:r>
          </w:p>
        </w:tc>
        <w:tc>
          <w:tcPr>
            <w:tcW w:w="703" w:type="pct"/>
            <w:tcBorders>
              <w:bottom w:val="single" w:sz="4" w:space="0" w:color="auto"/>
            </w:tcBorders>
            <w:shd w:val="clear" w:color="auto" w:fill="D9D9D9" w:themeFill="background1" w:themeFillShade="D9"/>
          </w:tcPr>
          <w:p w:rsidR="004D65F6" w:rsidRPr="00454AEA" w:rsidRDefault="004D65F6" w:rsidP="009A6568">
            <w:pPr>
              <w:pStyle w:val="tabtekst"/>
              <w:jc w:val="center"/>
              <w:rPr>
                <w:b/>
                <w:color w:val="000000" w:themeColor="text1"/>
                <w:sz w:val="18"/>
                <w:szCs w:val="18"/>
              </w:rPr>
            </w:pPr>
            <w:r w:rsidRPr="00454AEA">
              <w:rPr>
                <w:b/>
                <w:color w:val="000000" w:themeColor="text1"/>
                <w:sz w:val="18"/>
                <w:szCs w:val="18"/>
              </w:rPr>
              <w:t>2019</w:t>
            </w:r>
          </w:p>
        </w:tc>
        <w:tc>
          <w:tcPr>
            <w:tcW w:w="703" w:type="pct"/>
            <w:shd w:val="clear" w:color="auto" w:fill="D9D9D9" w:themeFill="background1" w:themeFillShade="D9"/>
          </w:tcPr>
          <w:p w:rsidR="004D65F6" w:rsidRPr="00454AEA" w:rsidRDefault="004D65F6" w:rsidP="009A6568">
            <w:pPr>
              <w:pStyle w:val="tabtekst"/>
              <w:jc w:val="center"/>
              <w:rPr>
                <w:b/>
                <w:color w:val="000000" w:themeColor="text1"/>
                <w:sz w:val="18"/>
                <w:szCs w:val="18"/>
              </w:rPr>
            </w:pPr>
            <w:r w:rsidRPr="00454AEA">
              <w:rPr>
                <w:b/>
                <w:color w:val="000000" w:themeColor="text1"/>
                <w:sz w:val="18"/>
                <w:szCs w:val="18"/>
              </w:rPr>
              <w:t>2020</w:t>
            </w:r>
          </w:p>
        </w:tc>
        <w:tc>
          <w:tcPr>
            <w:tcW w:w="859" w:type="pct"/>
            <w:shd w:val="clear" w:color="auto" w:fill="D9D9D9" w:themeFill="background1" w:themeFillShade="D9"/>
          </w:tcPr>
          <w:p w:rsidR="004D65F6" w:rsidRPr="00454AEA" w:rsidRDefault="004D65F6" w:rsidP="009A6568">
            <w:pPr>
              <w:pStyle w:val="tabtekst"/>
              <w:jc w:val="center"/>
              <w:rPr>
                <w:b/>
                <w:color w:val="000000" w:themeColor="text1"/>
                <w:sz w:val="18"/>
                <w:szCs w:val="18"/>
              </w:rPr>
            </w:pPr>
            <w:r w:rsidRPr="00454AEA">
              <w:rPr>
                <w:b/>
                <w:color w:val="000000" w:themeColor="text1"/>
                <w:sz w:val="18"/>
                <w:szCs w:val="18"/>
              </w:rPr>
              <w:t>2021</w:t>
            </w:r>
          </w:p>
        </w:tc>
      </w:tr>
      <w:tr w:rsidR="004D65F6" w:rsidRPr="00454AEA" w:rsidTr="00454AEA">
        <w:trPr>
          <w:trHeight w:val="215"/>
          <w:tblHeader/>
          <w:jc w:val="center"/>
        </w:trPr>
        <w:tc>
          <w:tcPr>
            <w:tcW w:w="2110" w:type="pct"/>
            <w:vMerge/>
            <w:shd w:val="clear" w:color="auto" w:fill="D9D9D9" w:themeFill="background1" w:themeFillShade="D9"/>
          </w:tcPr>
          <w:p w:rsidR="004D65F6" w:rsidRPr="00454AEA" w:rsidRDefault="004D65F6" w:rsidP="009A6568">
            <w:pPr>
              <w:pStyle w:val="tabtekst"/>
              <w:rPr>
                <w:b/>
                <w:color w:val="000000" w:themeColor="text1"/>
                <w:sz w:val="18"/>
                <w:szCs w:val="18"/>
                <w:highlight w:val="yellow"/>
              </w:rPr>
            </w:pPr>
          </w:p>
        </w:tc>
        <w:tc>
          <w:tcPr>
            <w:tcW w:w="1328" w:type="pct"/>
            <w:gridSpan w:val="2"/>
            <w:shd w:val="clear" w:color="auto" w:fill="D9D9D9" w:themeFill="background1" w:themeFillShade="D9"/>
          </w:tcPr>
          <w:p w:rsidR="004D65F6" w:rsidRPr="00454AEA" w:rsidRDefault="004D65F6" w:rsidP="009A6568">
            <w:pPr>
              <w:pStyle w:val="tabtekst"/>
              <w:jc w:val="center"/>
              <w:rPr>
                <w:color w:val="000000" w:themeColor="text1"/>
                <w:sz w:val="18"/>
                <w:szCs w:val="18"/>
              </w:rPr>
            </w:pPr>
            <w:r w:rsidRPr="00454AEA">
              <w:rPr>
                <w:color w:val="000000" w:themeColor="text1"/>
                <w:sz w:val="18"/>
                <w:szCs w:val="18"/>
              </w:rPr>
              <w:t>fakts</w:t>
            </w:r>
          </w:p>
        </w:tc>
        <w:tc>
          <w:tcPr>
            <w:tcW w:w="703" w:type="pct"/>
            <w:shd w:val="clear" w:color="auto" w:fill="D9D9D9" w:themeFill="background1" w:themeFillShade="D9"/>
          </w:tcPr>
          <w:p w:rsidR="004D65F6" w:rsidRPr="00454AEA" w:rsidRDefault="004D65F6" w:rsidP="009A6568">
            <w:pPr>
              <w:pStyle w:val="tabtekst"/>
              <w:jc w:val="center"/>
              <w:rPr>
                <w:color w:val="000000" w:themeColor="text1"/>
                <w:sz w:val="18"/>
                <w:szCs w:val="18"/>
              </w:rPr>
            </w:pPr>
            <w:r w:rsidRPr="00454AEA">
              <w:rPr>
                <w:color w:val="000000" w:themeColor="text1"/>
                <w:sz w:val="18"/>
                <w:szCs w:val="18"/>
              </w:rPr>
              <w:t>prognoze</w:t>
            </w:r>
          </w:p>
        </w:tc>
        <w:tc>
          <w:tcPr>
            <w:tcW w:w="859" w:type="pct"/>
            <w:shd w:val="clear" w:color="auto" w:fill="D9D9D9" w:themeFill="background1" w:themeFillShade="D9"/>
          </w:tcPr>
          <w:p w:rsidR="004D65F6" w:rsidRPr="00454AEA" w:rsidRDefault="004D65F6" w:rsidP="009A6568">
            <w:pPr>
              <w:pStyle w:val="tabtekst"/>
              <w:jc w:val="center"/>
              <w:rPr>
                <w:color w:val="000000" w:themeColor="text1"/>
                <w:sz w:val="18"/>
                <w:szCs w:val="18"/>
              </w:rPr>
            </w:pPr>
            <w:r w:rsidRPr="00454AEA">
              <w:rPr>
                <w:color w:val="000000" w:themeColor="text1"/>
                <w:sz w:val="18"/>
                <w:szCs w:val="18"/>
              </w:rPr>
              <w:t>plāns*</w:t>
            </w:r>
          </w:p>
        </w:tc>
      </w:tr>
      <w:tr w:rsidR="004D65F6" w:rsidRPr="00454AEA" w:rsidTr="00454AEA">
        <w:trPr>
          <w:trHeight w:val="431"/>
          <w:jc w:val="center"/>
        </w:trPr>
        <w:tc>
          <w:tcPr>
            <w:tcW w:w="2110" w:type="pct"/>
            <w:shd w:val="clear" w:color="auto" w:fill="auto"/>
            <w:vAlign w:val="center"/>
          </w:tcPr>
          <w:p w:rsidR="004D65F6" w:rsidRPr="00454AEA" w:rsidRDefault="004D65F6" w:rsidP="00454AEA">
            <w:pPr>
              <w:pStyle w:val="tabtekst"/>
              <w:rPr>
                <w:color w:val="000000" w:themeColor="text1"/>
                <w:sz w:val="18"/>
                <w:szCs w:val="18"/>
              </w:rPr>
            </w:pPr>
            <w:r w:rsidRPr="00454AEA">
              <w:rPr>
                <w:b/>
                <w:color w:val="auto"/>
                <w:sz w:val="18"/>
                <w:szCs w:val="18"/>
                <w:lang w:eastAsia="lv-LV"/>
              </w:rPr>
              <w:t>Elektroenerģijas nodoklis,</w:t>
            </w:r>
            <w:r w:rsidRPr="00454AEA">
              <w:rPr>
                <w:color w:val="auto"/>
                <w:sz w:val="18"/>
                <w:szCs w:val="18"/>
                <w:lang w:eastAsia="lv-LV"/>
              </w:rPr>
              <w:t xml:space="preserve"> milj. </w:t>
            </w:r>
            <w:proofErr w:type="spellStart"/>
            <w:r w:rsidRPr="00454AEA">
              <w:rPr>
                <w:i/>
                <w:color w:val="auto"/>
                <w:sz w:val="18"/>
                <w:szCs w:val="18"/>
                <w:lang w:eastAsia="lv-LV"/>
              </w:rPr>
              <w:t>euro</w:t>
            </w:r>
            <w:proofErr w:type="spellEnd"/>
          </w:p>
        </w:tc>
        <w:tc>
          <w:tcPr>
            <w:tcW w:w="625" w:type="pct"/>
            <w:tcBorders>
              <w:bottom w:val="single" w:sz="4" w:space="0" w:color="auto"/>
            </w:tcBorders>
            <w:shd w:val="clear" w:color="auto" w:fill="auto"/>
            <w:vAlign w:val="center"/>
          </w:tcPr>
          <w:p w:rsidR="004D65F6" w:rsidRPr="00454AEA" w:rsidRDefault="004D65F6" w:rsidP="009A6568">
            <w:pPr>
              <w:spacing w:after="0"/>
              <w:ind w:firstLine="0"/>
              <w:jc w:val="center"/>
              <w:rPr>
                <w:b/>
                <w:snapToGrid w:val="0"/>
                <w:color w:val="000000" w:themeColor="text1"/>
                <w:sz w:val="18"/>
                <w:szCs w:val="18"/>
              </w:rPr>
            </w:pPr>
            <w:r w:rsidRPr="00454AEA">
              <w:rPr>
                <w:b/>
                <w:snapToGrid w:val="0"/>
                <w:color w:val="000000" w:themeColor="text1"/>
                <w:sz w:val="18"/>
                <w:szCs w:val="18"/>
              </w:rPr>
              <w:t>5,0</w:t>
            </w:r>
          </w:p>
        </w:tc>
        <w:tc>
          <w:tcPr>
            <w:tcW w:w="703" w:type="pct"/>
            <w:tcBorders>
              <w:bottom w:val="single" w:sz="4" w:space="0" w:color="auto"/>
            </w:tcBorders>
            <w:shd w:val="clear" w:color="auto" w:fill="auto"/>
            <w:vAlign w:val="center"/>
          </w:tcPr>
          <w:p w:rsidR="004D65F6" w:rsidRPr="00454AEA" w:rsidRDefault="004D65F6" w:rsidP="009A6568">
            <w:pPr>
              <w:spacing w:after="0"/>
              <w:ind w:firstLine="0"/>
              <w:jc w:val="center"/>
              <w:rPr>
                <w:b/>
                <w:snapToGrid w:val="0"/>
                <w:color w:val="000000" w:themeColor="text1"/>
                <w:sz w:val="18"/>
                <w:szCs w:val="18"/>
              </w:rPr>
            </w:pPr>
            <w:r w:rsidRPr="00454AEA">
              <w:rPr>
                <w:b/>
                <w:snapToGrid w:val="0"/>
                <w:color w:val="000000" w:themeColor="text1"/>
                <w:sz w:val="18"/>
                <w:szCs w:val="18"/>
              </w:rPr>
              <w:t>5,0</w:t>
            </w:r>
          </w:p>
        </w:tc>
        <w:tc>
          <w:tcPr>
            <w:tcW w:w="703" w:type="pct"/>
            <w:tcBorders>
              <w:bottom w:val="single" w:sz="4" w:space="0" w:color="auto"/>
            </w:tcBorders>
            <w:vAlign w:val="center"/>
          </w:tcPr>
          <w:p w:rsidR="004D65F6" w:rsidRPr="00454AEA" w:rsidRDefault="004D65F6" w:rsidP="009A6568">
            <w:pPr>
              <w:spacing w:after="0"/>
              <w:ind w:firstLine="0"/>
              <w:jc w:val="center"/>
              <w:rPr>
                <w:b/>
                <w:snapToGrid w:val="0"/>
                <w:color w:val="000000" w:themeColor="text1"/>
                <w:sz w:val="18"/>
                <w:szCs w:val="18"/>
              </w:rPr>
            </w:pPr>
            <w:r w:rsidRPr="00454AEA">
              <w:rPr>
                <w:b/>
                <w:snapToGrid w:val="0"/>
                <w:color w:val="000000" w:themeColor="text1"/>
                <w:sz w:val="18"/>
                <w:szCs w:val="18"/>
              </w:rPr>
              <w:t>4,8</w:t>
            </w:r>
          </w:p>
        </w:tc>
        <w:tc>
          <w:tcPr>
            <w:tcW w:w="859" w:type="pct"/>
            <w:tcBorders>
              <w:bottom w:val="single" w:sz="4" w:space="0" w:color="auto"/>
            </w:tcBorders>
            <w:shd w:val="clear" w:color="auto" w:fill="auto"/>
            <w:vAlign w:val="center"/>
          </w:tcPr>
          <w:p w:rsidR="004D65F6" w:rsidRPr="00454AEA" w:rsidRDefault="004D65F6" w:rsidP="009A6568">
            <w:pPr>
              <w:spacing w:after="0"/>
              <w:ind w:firstLine="0"/>
              <w:jc w:val="center"/>
              <w:rPr>
                <w:b/>
                <w:snapToGrid w:val="0"/>
                <w:color w:val="000000" w:themeColor="text1"/>
                <w:sz w:val="18"/>
                <w:szCs w:val="18"/>
              </w:rPr>
            </w:pPr>
            <w:r w:rsidRPr="00454AEA">
              <w:rPr>
                <w:b/>
                <w:snapToGrid w:val="0"/>
                <w:color w:val="000000" w:themeColor="text1"/>
                <w:sz w:val="18"/>
                <w:szCs w:val="18"/>
              </w:rPr>
              <w:t>4,8</w:t>
            </w:r>
          </w:p>
        </w:tc>
      </w:tr>
      <w:tr w:rsidR="004D65F6" w:rsidRPr="00454AEA" w:rsidTr="00454AEA">
        <w:trPr>
          <w:trHeight w:val="215"/>
          <w:jc w:val="center"/>
        </w:trPr>
        <w:tc>
          <w:tcPr>
            <w:tcW w:w="2110" w:type="pct"/>
            <w:shd w:val="clear" w:color="auto" w:fill="auto"/>
          </w:tcPr>
          <w:p w:rsidR="004D65F6" w:rsidRPr="00454AEA" w:rsidRDefault="004D65F6" w:rsidP="009A6568">
            <w:pPr>
              <w:pStyle w:val="tabtekst"/>
              <w:rPr>
                <w:i/>
                <w:color w:val="000000" w:themeColor="text1"/>
                <w:sz w:val="18"/>
                <w:szCs w:val="18"/>
              </w:rPr>
            </w:pPr>
            <w:r w:rsidRPr="00454AEA">
              <w:rPr>
                <w:i/>
                <w:color w:val="000000" w:themeColor="text1"/>
                <w:sz w:val="18"/>
                <w:szCs w:val="18"/>
              </w:rPr>
              <w:t xml:space="preserve">   pieauguma tempi faktiskās cenās, %</w:t>
            </w:r>
          </w:p>
        </w:tc>
        <w:tc>
          <w:tcPr>
            <w:tcW w:w="625" w:type="pct"/>
            <w:tcBorders>
              <w:top w:val="single" w:sz="4" w:space="0" w:color="auto"/>
              <w:left w:val="nil"/>
              <w:bottom w:val="single" w:sz="4" w:space="0" w:color="auto"/>
              <w:right w:val="single" w:sz="4" w:space="0" w:color="auto"/>
            </w:tcBorders>
            <w:shd w:val="clear" w:color="auto" w:fill="auto"/>
            <w:vAlign w:val="bottom"/>
          </w:tcPr>
          <w:p w:rsidR="004D65F6" w:rsidRPr="00454AEA" w:rsidRDefault="004D65F6" w:rsidP="009A6568">
            <w:pPr>
              <w:pStyle w:val="tabtekst"/>
              <w:jc w:val="center"/>
              <w:rPr>
                <w:i/>
                <w:color w:val="000000" w:themeColor="text1"/>
                <w:sz w:val="18"/>
                <w:szCs w:val="18"/>
              </w:rPr>
            </w:pPr>
            <w:r w:rsidRPr="00454AEA">
              <w:rPr>
                <w:i/>
                <w:color w:val="000000" w:themeColor="text1"/>
                <w:sz w:val="18"/>
                <w:szCs w:val="18"/>
              </w:rPr>
              <w:t>+8,6</w:t>
            </w:r>
          </w:p>
        </w:tc>
        <w:tc>
          <w:tcPr>
            <w:tcW w:w="703" w:type="pct"/>
            <w:tcBorders>
              <w:top w:val="single" w:sz="4" w:space="0" w:color="auto"/>
              <w:left w:val="single" w:sz="4" w:space="0" w:color="auto"/>
              <w:bottom w:val="single" w:sz="4" w:space="0" w:color="auto"/>
              <w:right w:val="single" w:sz="4" w:space="0" w:color="auto"/>
            </w:tcBorders>
            <w:shd w:val="clear" w:color="auto" w:fill="auto"/>
            <w:vAlign w:val="bottom"/>
          </w:tcPr>
          <w:p w:rsidR="004D65F6" w:rsidRPr="00454AEA" w:rsidRDefault="004D65F6" w:rsidP="009A6568">
            <w:pPr>
              <w:pStyle w:val="tabtekst"/>
              <w:jc w:val="center"/>
              <w:rPr>
                <w:i/>
                <w:color w:val="000000" w:themeColor="text1"/>
                <w:sz w:val="18"/>
                <w:szCs w:val="18"/>
              </w:rPr>
            </w:pPr>
            <w:r w:rsidRPr="00454AEA">
              <w:rPr>
                <w:i/>
                <w:color w:val="000000" w:themeColor="text1"/>
                <w:sz w:val="18"/>
                <w:szCs w:val="18"/>
              </w:rPr>
              <w:t>+0,4</w:t>
            </w:r>
          </w:p>
        </w:tc>
        <w:tc>
          <w:tcPr>
            <w:tcW w:w="703" w:type="pct"/>
            <w:tcBorders>
              <w:top w:val="single" w:sz="4" w:space="0" w:color="auto"/>
              <w:left w:val="single" w:sz="4" w:space="0" w:color="auto"/>
              <w:bottom w:val="single" w:sz="4" w:space="0" w:color="auto"/>
              <w:right w:val="single" w:sz="4" w:space="0" w:color="auto"/>
            </w:tcBorders>
          </w:tcPr>
          <w:p w:rsidR="004D65F6" w:rsidRPr="00454AEA" w:rsidRDefault="004D65F6" w:rsidP="009A6568">
            <w:pPr>
              <w:pStyle w:val="tabtekst"/>
              <w:jc w:val="center"/>
              <w:rPr>
                <w:i/>
                <w:color w:val="000000" w:themeColor="text1"/>
                <w:sz w:val="18"/>
                <w:szCs w:val="18"/>
              </w:rPr>
            </w:pPr>
            <w:r w:rsidRPr="00454AEA">
              <w:rPr>
                <w:i/>
                <w:color w:val="000000" w:themeColor="text1"/>
                <w:sz w:val="18"/>
                <w:szCs w:val="18"/>
              </w:rPr>
              <w:t>-5,0</w:t>
            </w:r>
          </w:p>
        </w:tc>
        <w:tc>
          <w:tcPr>
            <w:tcW w:w="859" w:type="pct"/>
            <w:tcBorders>
              <w:top w:val="single" w:sz="4" w:space="0" w:color="auto"/>
              <w:left w:val="single" w:sz="4" w:space="0" w:color="auto"/>
              <w:bottom w:val="single" w:sz="4" w:space="0" w:color="auto"/>
              <w:right w:val="single" w:sz="4" w:space="0" w:color="auto"/>
            </w:tcBorders>
            <w:shd w:val="clear" w:color="auto" w:fill="auto"/>
            <w:vAlign w:val="bottom"/>
          </w:tcPr>
          <w:p w:rsidR="004D65F6" w:rsidRPr="00454AEA" w:rsidRDefault="004D65F6" w:rsidP="009A6568">
            <w:pPr>
              <w:pStyle w:val="tabtekst"/>
              <w:jc w:val="center"/>
              <w:rPr>
                <w:i/>
                <w:color w:val="000000" w:themeColor="text1"/>
                <w:sz w:val="18"/>
                <w:szCs w:val="18"/>
              </w:rPr>
            </w:pPr>
            <w:r w:rsidRPr="00454AEA">
              <w:rPr>
                <w:i/>
                <w:color w:val="000000" w:themeColor="text1"/>
                <w:sz w:val="18"/>
                <w:szCs w:val="18"/>
              </w:rPr>
              <w:t>+1,0</w:t>
            </w:r>
          </w:p>
        </w:tc>
      </w:tr>
      <w:tr w:rsidR="004D65F6" w:rsidRPr="00454AEA" w:rsidTr="00454AEA">
        <w:trPr>
          <w:trHeight w:val="202"/>
          <w:jc w:val="center"/>
        </w:trPr>
        <w:tc>
          <w:tcPr>
            <w:tcW w:w="2110" w:type="pct"/>
          </w:tcPr>
          <w:p w:rsidR="004D65F6" w:rsidRPr="00454AEA" w:rsidRDefault="004D65F6" w:rsidP="009A6568">
            <w:pPr>
              <w:pStyle w:val="tabtekst"/>
              <w:rPr>
                <w:i/>
                <w:color w:val="000000" w:themeColor="text1"/>
                <w:sz w:val="18"/>
                <w:szCs w:val="18"/>
              </w:rPr>
            </w:pPr>
            <w:r w:rsidRPr="00454AEA">
              <w:rPr>
                <w:i/>
                <w:color w:val="000000" w:themeColor="text1"/>
                <w:sz w:val="18"/>
                <w:szCs w:val="18"/>
              </w:rPr>
              <w:t xml:space="preserve">   % no IKP</w:t>
            </w:r>
          </w:p>
        </w:tc>
        <w:tc>
          <w:tcPr>
            <w:tcW w:w="625" w:type="pct"/>
            <w:tcBorders>
              <w:top w:val="single" w:sz="4" w:space="0" w:color="auto"/>
              <w:left w:val="nil"/>
              <w:bottom w:val="single" w:sz="4" w:space="0" w:color="auto"/>
              <w:right w:val="single" w:sz="4" w:space="0" w:color="auto"/>
            </w:tcBorders>
            <w:shd w:val="clear" w:color="auto" w:fill="auto"/>
            <w:vAlign w:val="bottom"/>
          </w:tcPr>
          <w:p w:rsidR="004D65F6" w:rsidRPr="00454AEA" w:rsidRDefault="004D65F6" w:rsidP="009A6568">
            <w:pPr>
              <w:pStyle w:val="tabtekst"/>
              <w:jc w:val="center"/>
              <w:rPr>
                <w:i/>
                <w:color w:val="000000" w:themeColor="text1"/>
                <w:sz w:val="18"/>
                <w:szCs w:val="18"/>
              </w:rPr>
            </w:pPr>
            <w:r w:rsidRPr="00454AEA">
              <w:rPr>
                <w:i/>
                <w:color w:val="000000" w:themeColor="text1"/>
                <w:sz w:val="18"/>
                <w:szCs w:val="18"/>
              </w:rPr>
              <w:t>0,02</w:t>
            </w:r>
          </w:p>
        </w:tc>
        <w:tc>
          <w:tcPr>
            <w:tcW w:w="703" w:type="pct"/>
            <w:tcBorders>
              <w:top w:val="single" w:sz="4" w:space="0" w:color="auto"/>
              <w:left w:val="single" w:sz="4" w:space="0" w:color="auto"/>
              <w:bottom w:val="single" w:sz="4" w:space="0" w:color="auto"/>
              <w:right w:val="single" w:sz="4" w:space="0" w:color="auto"/>
            </w:tcBorders>
            <w:shd w:val="clear" w:color="auto" w:fill="auto"/>
            <w:vAlign w:val="bottom"/>
          </w:tcPr>
          <w:p w:rsidR="004D65F6" w:rsidRPr="00454AEA" w:rsidRDefault="004D65F6" w:rsidP="009A6568">
            <w:pPr>
              <w:pStyle w:val="tabtekst"/>
              <w:jc w:val="center"/>
              <w:rPr>
                <w:i/>
                <w:color w:val="000000" w:themeColor="text1"/>
                <w:sz w:val="18"/>
                <w:szCs w:val="18"/>
              </w:rPr>
            </w:pPr>
            <w:r w:rsidRPr="00454AEA">
              <w:rPr>
                <w:i/>
                <w:color w:val="000000" w:themeColor="text1"/>
                <w:sz w:val="18"/>
                <w:szCs w:val="18"/>
              </w:rPr>
              <w:t>0,02</w:t>
            </w:r>
          </w:p>
        </w:tc>
        <w:tc>
          <w:tcPr>
            <w:tcW w:w="703" w:type="pct"/>
            <w:tcBorders>
              <w:top w:val="single" w:sz="4" w:space="0" w:color="auto"/>
              <w:left w:val="single" w:sz="4" w:space="0" w:color="auto"/>
              <w:bottom w:val="single" w:sz="4" w:space="0" w:color="auto"/>
              <w:right w:val="single" w:sz="4" w:space="0" w:color="auto"/>
            </w:tcBorders>
          </w:tcPr>
          <w:p w:rsidR="004D65F6" w:rsidRPr="00454AEA" w:rsidRDefault="004D65F6" w:rsidP="009A6568">
            <w:pPr>
              <w:pStyle w:val="tabtekst"/>
              <w:jc w:val="center"/>
              <w:rPr>
                <w:i/>
                <w:color w:val="000000" w:themeColor="text1"/>
                <w:sz w:val="18"/>
                <w:szCs w:val="18"/>
              </w:rPr>
            </w:pPr>
            <w:r w:rsidRPr="00454AEA">
              <w:rPr>
                <w:i/>
                <w:color w:val="000000" w:themeColor="text1"/>
                <w:sz w:val="18"/>
                <w:szCs w:val="18"/>
              </w:rPr>
              <w:t>0,02</w:t>
            </w:r>
          </w:p>
        </w:tc>
        <w:tc>
          <w:tcPr>
            <w:tcW w:w="859" w:type="pct"/>
            <w:tcBorders>
              <w:top w:val="single" w:sz="4" w:space="0" w:color="auto"/>
              <w:left w:val="single" w:sz="4" w:space="0" w:color="auto"/>
              <w:bottom w:val="single" w:sz="4" w:space="0" w:color="auto"/>
              <w:right w:val="single" w:sz="4" w:space="0" w:color="auto"/>
            </w:tcBorders>
            <w:shd w:val="clear" w:color="auto" w:fill="auto"/>
            <w:vAlign w:val="bottom"/>
          </w:tcPr>
          <w:p w:rsidR="004D65F6" w:rsidRPr="00454AEA" w:rsidRDefault="004D65F6" w:rsidP="009A6568">
            <w:pPr>
              <w:pStyle w:val="tabtekst"/>
              <w:jc w:val="center"/>
              <w:rPr>
                <w:i/>
                <w:color w:val="000000" w:themeColor="text1"/>
                <w:sz w:val="18"/>
                <w:szCs w:val="18"/>
              </w:rPr>
            </w:pPr>
            <w:r w:rsidRPr="00454AEA">
              <w:rPr>
                <w:i/>
                <w:color w:val="000000" w:themeColor="text1"/>
                <w:sz w:val="18"/>
                <w:szCs w:val="18"/>
              </w:rPr>
              <w:t>0,02</w:t>
            </w:r>
          </w:p>
        </w:tc>
      </w:tr>
    </w:tbl>
    <w:p w:rsidR="004D65F6" w:rsidRPr="00454AEA" w:rsidRDefault="004D65F6" w:rsidP="00454AEA">
      <w:pPr>
        <w:pStyle w:val="cipari"/>
        <w:rPr>
          <w:b/>
          <w:i/>
          <w:sz w:val="20"/>
        </w:rPr>
      </w:pPr>
      <w:r w:rsidRPr="00454AEA">
        <w:rPr>
          <w:i/>
        </w:rPr>
        <w:t xml:space="preserve">  </w:t>
      </w:r>
      <w:r w:rsidRPr="00454AEA">
        <w:rPr>
          <w:i/>
          <w:sz w:val="20"/>
        </w:rPr>
        <w:t>* saskaņā ar likumprojektu</w:t>
      </w:r>
      <w:r w:rsidR="00454AEA" w:rsidRPr="00454AEA">
        <w:rPr>
          <w:i/>
          <w:sz w:val="20"/>
        </w:rPr>
        <w:t xml:space="preserve"> “</w:t>
      </w:r>
      <w:r w:rsidRPr="00454AEA">
        <w:rPr>
          <w:i/>
          <w:sz w:val="20"/>
        </w:rPr>
        <w:t>Par valsts budžetu 2021.</w:t>
      </w:r>
      <w:r w:rsidR="00454AEA" w:rsidRPr="00454AEA">
        <w:rPr>
          <w:i/>
          <w:sz w:val="20"/>
        </w:rPr>
        <w:t xml:space="preserve"> </w:t>
      </w:r>
      <w:r w:rsidRPr="00454AEA">
        <w:rPr>
          <w:i/>
          <w:sz w:val="20"/>
        </w:rPr>
        <w:t>gadam”</w:t>
      </w:r>
    </w:p>
    <w:p w:rsidR="004D65F6" w:rsidRDefault="004D65F6" w:rsidP="004D65F6">
      <w:pPr>
        <w:spacing w:after="0"/>
        <w:ind w:firstLine="0"/>
        <w:jc w:val="left"/>
        <w:rPr>
          <w:i/>
          <w:sz w:val="20"/>
        </w:rPr>
      </w:pPr>
      <w:r>
        <w:rPr>
          <w:b/>
          <w:i/>
          <w:sz w:val="20"/>
        </w:rPr>
        <w:br w:type="page"/>
      </w:r>
    </w:p>
    <w:p w:rsidR="000F4C77" w:rsidRDefault="003613E3" w:rsidP="009B5160">
      <w:pPr>
        <w:pStyle w:val="H2"/>
        <w:spacing w:after="240"/>
      </w:pPr>
      <w:bookmarkStart w:id="18" w:name="_Toc150840183"/>
      <w:bookmarkStart w:id="19" w:name="_Toc150941373"/>
      <w:bookmarkStart w:id="20" w:name="_GoBack"/>
      <w:bookmarkEnd w:id="20"/>
      <w:r w:rsidRPr="00221972">
        <w:lastRenderedPageBreak/>
        <w:t>3.</w:t>
      </w:r>
      <w:r w:rsidR="003A2D6C">
        <w:t>3</w:t>
      </w:r>
      <w:r w:rsidRPr="00221972">
        <w:t xml:space="preserve">. Valsts pamatbudžeta </w:t>
      </w:r>
      <w:proofErr w:type="spellStart"/>
      <w:r w:rsidRPr="00221972">
        <w:t>nenodokļu</w:t>
      </w:r>
      <w:proofErr w:type="spellEnd"/>
      <w:r w:rsidRPr="00221972">
        <w:t xml:space="preserve"> ieņēmumi</w:t>
      </w:r>
      <w:bookmarkEnd w:id="18"/>
      <w:bookmarkEnd w:id="19"/>
    </w:p>
    <w:p w:rsidR="009A6568" w:rsidRPr="009A6568" w:rsidRDefault="009A6568" w:rsidP="009A6568">
      <w:pPr>
        <w:ind w:firstLine="0"/>
        <w:jc w:val="center"/>
      </w:pPr>
      <w:r w:rsidRPr="009A6568">
        <w:rPr>
          <w:b/>
          <w:i/>
        </w:rPr>
        <w:t xml:space="preserve">3.3. attēls </w:t>
      </w:r>
      <w:r w:rsidRPr="009A6568">
        <w:rPr>
          <w:b/>
        </w:rPr>
        <w:t xml:space="preserve">Valsts pamatbudžeta </w:t>
      </w:r>
      <w:proofErr w:type="spellStart"/>
      <w:r w:rsidRPr="009A6568">
        <w:rPr>
          <w:b/>
        </w:rPr>
        <w:t>nenodokļu</w:t>
      </w:r>
      <w:proofErr w:type="spellEnd"/>
      <w:r w:rsidRPr="009A6568">
        <w:rPr>
          <w:b/>
        </w:rPr>
        <w:t xml:space="preserve"> ieņēmumu struktūra 2020.gada sešos mēnešos</w:t>
      </w:r>
    </w:p>
    <w:p w:rsidR="009A6568" w:rsidRPr="00324699" w:rsidRDefault="009A6568" w:rsidP="009A6568">
      <w:pPr>
        <w:pStyle w:val="cipari"/>
        <w:rPr>
          <w:highlight w:val="yellow"/>
        </w:rPr>
      </w:pPr>
      <w:r>
        <w:rPr>
          <w:noProof/>
          <w:lang w:eastAsia="lv-LV"/>
        </w:rPr>
        <w:drawing>
          <wp:inline distT="0" distB="0" distL="0" distR="0" wp14:anchorId="7D4987EC" wp14:editId="08F06352">
            <wp:extent cx="5760085" cy="2924175"/>
            <wp:effectExtent l="0" t="0" r="1206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6568" w:rsidRPr="0090612E" w:rsidRDefault="009A6568" w:rsidP="002706C0">
      <w:pPr>
        <w:spacing w:before="120"/>
      </w:pPr>
      <w:r w:rsidRPr="0090612E">
        <w:rPr>
          <w:bCs/>
          <w:szCs w:val="24"/>
        </w:rPr>
        <w:t xml:space="preserve">Pamatbudžeta </w:t>
      </w:r>
      <w:proofErr w:type="spellStart"/>
      <w:r w:rsidRPr="0090612E">
        <w:rPr>
          <w:bCs/>
          <w:szCs w:val="24"/>
        </w:rPr>
        <w:t>nenodokļu</w:t>
      </w:r>
      <w:proofErr w:type="spellEnd"/>
      <w:r w:rsidRPr="0090612E">
        <w:rPr>
          <w:bCs/>
          <w:szCs w:val="24"/>
        </w:rPr>
        <w:t xml:space="preserve"> ieņēmumi 2020.</w:t>
      </w:r>
      <w:r w:rsidR="002706C0">
        <w:rPr>
          <w:bCs/>
          <w:szCs w:val="24"/>
        </w:rPr>
        <w:t xml:space="preserve"> </w:t>
      </w:r>
      <w:r w:rsidRPr="0090612E">
        <w:rPr>
          <w:bCs/>
          <w:szCs w:val="24"/>
        </w:rPr>
        <w:t xml:space="preserve">gada sešos mēnešos bija 396,6 milj. </w:t>
      </w:r>
      <w:proofErr w:type="spellStart"/>
      <w:r w:rsidRPr="0090612E">
        <w:rPr>
          <w:bCs/>
          <w:i/>
          <w:szCs w:val="24"/>
        </w:rPr>
        <w:t>euro</w:t>
      </w:r>
      <w:proofErr w:type="spellEnd"/>
      <w:r w:rsidRPr="0090612E">
        <w:rPr>
          <w:bCs/>
          <w:szCs w:val="24"/>
        </w:rPr>
        <w:t xml:space="preserve">, kas ir par 39,6 milj. </w:t>
      </w:r>
      <w:proofErr w:type="spellStart"/>
      <w:r w:rsidRPr="0090612E">
        <w:rPr>
          <w:bCs/>
          <w:i/>
          <w:szCs w:val="24"/>
        </w:rPr>
        <w:t>euro</w:t>
      </w:r>
      <w:proofErr w:type="spellEnd"/>
      <w:r w:rsidRPr="0090612E">
        <w:rPr>
          <w:bCs/>
          <w:szCs w:val="24"/>
        </w:rPr>
        <w:t xml:space="preserve"> jeb 11,1% vairāk kā plānots. Salīdzinot ar 2019.gada sešiem mēnešiem, </w:t>
      </w:r>
      <w:proofErr w:type="spellStart"/>
      <w:r w:rsidRPr="0090612E">
        <w:rPr>
          <w:bCs/>
          <w:szCs w:val="24"/>
        </w:rPr>
        <w:t>nenodokļu</w:t>
      </w:r>
      <w:proofErr w:type="spellEnd"/>
      <w:r w:rsidRPr="0090612E">
        <w:rPr>
          <w:bCs/>
          <w:szCs w:val="24"/>
        </w:rPr>
        <w:t xml:space="preserve"> ieņēmumi ir iekasēti par 18,1 milj. </w:t>
      </w:r>
      <w:proofErr w:type="spellStart"/>
      <w:r w:rsidRPr="0090612E">
        <w:rPr>
          <w:bCs/>
          <w:i/>
          <w:szCs w:val="24"/>
        </w:rPr>
        <w:t>euro</w:t>
      </w:r>
      <w:proofErr w:type="spellEnd"/>
      <w:r w:rsidRPr="0090612E">
        <w:rPr>
          <w:bCs/>
          <w:szCs w:val="24"/>
        </w:rPr>
        <w:t xml:space="preserve"> jeb 4,8% vairāk.</w:t>
      </w:r>
      <w:r w:rsidRPr="0090612E">
        <w:t xml:space="preserve"> </w:t>
      </w:r>
    </w:p>
    <w:p w:rsidR="009A6568" w:rsidRPr="0090612E" w:rsidRDefault="009A6568" w:rsidP="009A6568">
      <w:pPr>
        <w:rPr>
          <w:szCs w:val="24"/>
          <w:u w:val="single"/>
        </w:rPr>
      </w:pPr>
      <w:proofErr w:type="spellStart"/>
      <w:r w:rsidRPr="0090612E">
        <w:rPr>
          <w:szCs w:val="24"/>
        </w:rPr>
        <w:t>Nenodokļu</w:t>
      </w:r>
      <w:proofErr w:type="spellEnd"/>
      <w:r w:rsidRPr="0090612E">
        <w:rPr>
          <w:szCs w:val="24"/>
        </w:rPr>
        <w:t xml:space="preserve"> ieņēmumu sešu mēnešu plāna pārpildi pamatā nodrošināja ieņēmumi no dividendēm. Plānoto 193,0 milj. </w:t>
      </w:r>
      <w:proofErr w:type="spellStart"/>
      <w:r w:rsidRPr="0090612E">
        <w:rPr>
          <w:i/>
          <w:szCs w:val="24"/>
        </w:rPr>
        <w:t>euro</w:t>
      </w:r>
      <w:proofErr w:type="spellEnd"/>
      <w:r w:rsidRPr="0090612E">
        <w:rPr>
          <w:szCs w:val="24"/>
        </w:rPr>
        <w:t xml:space="preserve"> vietā sešos mēnešos ieskaitīti 227,5 milj. </w:t>
      </w:r>
      <w:proofErr w:type="spellStart"/>
      <w:r w:rsidRPr="0000105B">
        <w:rPr>
          <w:i/>
          <w:szCs w:val="24"/>
        </w:rPr>
        <w:t>euro</w:t>
      </w:r>
      <w:proofErr w:type="spellEnd"/>
      <w:r w:rsidRPr="0090612E">
        <w:rPr>
          <w:szCs w:val="24"/>
        </w:rPr>
        <w:t>.</w:t>
      </w:r>
      <w:r w:rsidRPr="0090612E">
        <w:rPr>
          <w:szCs w:val="24"/>
          <w:u w:val="single"/>
        </w:rPr>
        <w:t xml:space="preserve"> </w:t>
      </w:r>
    </w:p>
    <w:p w:rsidR="009A6568" w:rsidRPr="0090612E" w:rsidRDefault="009A6568" w:rsidP="009A6568">
      <w:pPr>
        <w:rPr>
          <w:szCs w:val="24"/>
        </w:rPr>
      </w:pPr>
      <w:r w:rsidRPr="0090612E">
        <w:rPr>
          <w:szCs w:val="24"/>
        </w:rPr>
        <w:t xml:space="preserve">Tāpat </w:t>
      </w:r>
      <w:proofErr w:type="spellStart"/>
      <w:r>
        <w:rPr>
          <w:szCs w:val="24"/>
        </w:rPr>
        <w:t>pārpilde</w:t>
      </w:r>
      <w:proofErr w:type="spellEnd"/>
      <w:r>
        <w:rPr>
          <w:szCs w:val="24"/>
        </w:rPr>
        <w:t xml:space="preserve"> ir arī šādās </w:t>
      </w:r>
      <w:proofErr w:type="spellStart"/>
      <w:r>
        <w:rPr>
          <w:szCs w:val="24"/>
        </w:rPr>
        <w:t>nenodokļu</w:t>
      </w:r>
      <w:proofErr w:type="spellEnd"/>
      <w:r>
        <w:rPr>
          <w:szCs w:val="24"/>
        </w:rPr>
        <w:t xml:space="preserve"> pozīcijās</w:t>
      </w:r>
      <w:r w:rsidRPr="0090612E">
        <w:rPr>
          <w:szCs w:val="24"/>
        </w:rPr>
        <w:t xml:space="preserve">: </w:t>
      </w:r>
    </w:p>
    <w:p w:rsidR="009A6568" w:rsidRPr="00F34E54" w:rsidRDefault="009A6568" w:rsidP="009A6568">
      <w:pPr>
        <w:pStyle w:val="ListParagraph"/>
        <w:numPr>
          <w:ilvl w:val="0"/>
          <w:numId w:val="29"/>
        </w:numPr>
        <w:spacing w:after="0"/>
        <w:contextualSpacing w:val="0"/>
        <w:rPr>
          <w:bCs/>
          <w:szCs w:val="24"/>
        </w:rPr>
      </w:pPr>
      <w:r w:rsidRPr="00DA4FA7">
        <w:rPr>
          <w:bCs/>
          <w:i/>
          <w:szCs w:val="24"/>
        </w:rPr>
        <w:t xml:space="preserve">Pārējie </w:t>
      </w:r>
      <w:proofErr w:type="spellStart"/>
      <w:r w:rsidRPr="00DA4FA7">
        <w:rPr>
          <w:bCs/>
          <w:i/>
          <w:szCs w:val="24"/>
        </w:rPr>
        <w:t>nenodokļu</w:t>
      </w:r>
      <w:proofErr w:type="spellEnd"/>
      <w:r w:rsidRPr="00DA4FA7">
        <w:rPr>
          <w:bCs/>
          <w:i/>
          <w:szCs w:val="24"/>
        </w:rPr>
        <w:t xml:space="preserve"> ieņēmumi</w:t>
      </w:r>
      <w:r w:rsidRPr="00F34E54">
        <w:rPr>
          <w:bCs/>
          <w:szCs w:val="24"/>
        </w:rPr>
        <w:t xml:space="preserve">. Sešos mēnešos plāna </w:t>
      </w:r>
      <w:proofErr w:type="spellStart"/>
      <w:r w:rsidRPr="00F34E54">
        <w:rPr>
          <w:bCs/>
          <w:szCs w:val="24"/>
        </w:rPr>
        <w:t>pārpilde</w:t>
      </w:r>
      <w:proofErr w:type="spellEnd"/>
      <w:r w:rsidRPr="00F34E54">
        <w:rPr>
          <w:bCs/>
          <w:szCs w:val="24"/>
        </w:rPr>
        <w:t xml:space="preserve"> ir 19,1 milj. </w:t>
      </w:r>
      <w:proofErr w:type="spellStart"/>
      <w:r w:rsidRPr="00F34E54">
        <w:rPr>
          <w:bCs/>
          <w:i/>
          <w:szCs w:val="24"/>
        </w:rPr>
        <w:t>euro</w:t>
      </w:r>
      <w:proofErr w:type="spellEnd"/>
      <w:r>
        <w:rPr>
          <w:bCs/>
          <w:szCs w:val="24"/>
        </w:rPr>
        <w:t xml:space="preserve"> jeb 52,2 procenti</w:t>
      </w:r>
      <w:r w:rsidRPr="00F34E54">
        <w:rPr>
          <w:bCs/>
          <w:szCs w:val="24"/>
        </w:rPr>
        <w:t>.</w:t>
      </w:r>
      <w:r>
        <w:rPr>
          <w:bCs/>
          <w:szCs w:val="24"/>
        </w:rPr>
        <w:t xml:space="preserve"> Šīs pozīcijas pārpildi nodrošināja ieņēmumi no konfiscēto noziedzīgi iegūto līdzekļu realizācijas, ko budžetā ieskaitā zvērināti tiesu izpildītāji;</w:t>
      </w:r>
    </w:p>
    <w:p w:rsidR="009A6568" w:rsidRDefault="009A6568" w:rsidP="009A6568">
      <w:pPr>
        <w:pStyle w:val="ListParagraph"/>
        <w:numPr>
          <w:ilvl w:val="0"/>
          <w:numId w:val="29"/>
        </w:numPr>
        <w:spacing w:after="0"/>
        <w:contextualSpacing w:val="0"/>
        <w:rPr>
          <w:bCs/>
          <w:szCs w:val="24"/>
        </w:rPr>
      </w:pPr>
      <w:r w:rsidRPr="00DA4FA7">
        <w:rPr>
          <w:bCs/>
          <w:i/>
          <w:szCs w:val="24"/>
        </w:rPr>
        <w:t>Naudas sodi un sankcijas</w:t>
      </w:r>
      <w:r w:rsidRPr="0066220D">
        <w:rPr>
          <w:bCs/>
          <w:szCs w:val="24"/>
        </w:rPr>
        <w:t xml:space="preserve">. Sešos mēnešos plāna </w:t>
      </w:r>
      <w:proofErr w:type="spellStart"/>
      <w:r w:rsidRPr="0066220D">
        <w:rPr>
          <w:bCs/>
          <w:szCs w:val="24"/>
        </w:rPr>
        <w:t>pārpilde</w:t>
      </w:r>
      <w:proofErr w:type="spellEnd"/>
      <w:r w:rsidRPr="0066220D">
        <w:rPr>
          <w:bCs/>
          <w:szCs w:val="24"/>
        </w:rPr>
        <w:t xml:space="preserve"> ir 4,9 milj. </w:t>
      </w:r>
      <w:proofErr w:type="spellStart"/>
      <w:r w:rsidRPr="0066220D">
        <w:rPr>
          <w:bCs/>
          <w:i/>
          <w:szCs w:val="24"/>
        </w:rPr>
        <w:t>euro</w:t>
      </w:r>
      <w:proofErr w:type="spellEnd"/>
      <w:r w:rsidRPr="0066220D">
        <w:rPr>
          <w:bCs/>
          <w:i/>
          <w:szCs w:val="24"/>
        </w:rPr>
        <w:t xml:space="preserve"> </w:t>
      </w:r>
      <w:r>
        <w:rPr>
          <w:bCs/>
          <w:szCs w:val="24"/>
        </w:rPr>
        <w:t>jeb 34,0 procenti;</w:t>
      </w:r>
    </w:p>
    <w:p w:rsidR="009A6568" w:rsidRPr="00B06DDE" w:rsidRDefault="009A6568" w:rsidP="009A6568">
      <w:pPr>
        <w:pStyle w:val="ListParagraph"/>
        <w:numPr>
          <w:ilvl w:val="0"/>
          <w:numId w:val="29"/>
        </w:numPr>
        <w:spacing w:after="0"/>
        <w:contextualSpacing w:val="0"/>
        <w:rPr>
          <w:bCs/>
          <w:szCs w:val="24"/>
        </w:rPr>
      </w:pPr>
      <w:r w:rsidRPr="00DA4FA7">
        <w:rPr>
          <w:bCs/>
          <w:i/>
          <w:szCs w:val="24"/>
        </w:rPr>
        <w:t>Procentu ieņēmumi</w:t>
      </w:r>
      <w:r w:rsidRPr="00B06DDE">
        <w:rPr>
          <w:bCs/>
          <w:szCs w:val="24"/>
        </w:rPr>
        <w:t xml:space="preserve">. Sešos mēnešos plāna </w:t>
      </w:r>
      <w:proofErr w:type="spellStart"/>
      <w:r w:rsidRPr="00B06DDE">
        <w:rPr>
          <w:bCs/>
          <w:szCs w:val="24"/>
        </w:rPr>
        <w:t>pārpilde</w:t>
      </w:r>
      <w:proofErr w:type="spellEnd"/>
      <w:r w:rsidRPr="00B06DDE">
        <w:rPr>
          <w:bCs/>
          <w:szCs w:val="24"/>
        </w:rPr>
        <w:t xml:space="preserve"> ir 2,5 milj. </w:t>
      </w:r>
      <w:proofErr w:type="spellStart"/>
      <w:r w:rsidRPr="00B06DDE">
        <w:rPr>
          <w:bCs/>
          <w:i/>
          <w:szCs w:val="24"/>
        </w:rPr>
        <w:t>euro</w:t>
      </w:r>
      <w:proofErr w:type="spellEnd"/>
      <w:r w:rsidRPr="00B06DDE">
        <w:rPr>
          <w:bCs/>
          <w:szCs w:val="24"/>
        </w:rPr>
        <w:t xml:space="preserve"> jeb 2,9 reizes vairāk kā plānots. Šīs pozīcijas pārpildi nodrošināja procentu ieņēmumi par aizdevumiem</w:t>
      </w:r>
      <w:r>
        <w:rPr>
          <w:bCs/>
          <w:szCs w:val="24"/>
        </w:rPr>
        <w:t>.</w:t>
      </w:r>
      <w:r w:rsidRPr="00B06DDE">
        <w:rPr>
          <w:bCs/>
          <w:szCs w:val="24"/>
        </w:rPr>
        <w:t xml:space="preserve"> </w:t>
      </w:r>
    </w:p>
    <w:p w:rsidR="009A6568" w:rsidRPr="002D63EB" w:rsidRDefault="009A6568" w:rsidP="009A6568">
      <w:pPr>
        <w:spacing w:after="0"/>
        <w:ind w:firstLine="0"/>
        <w:rPr>
          <w:bCs/>
          <w:szCs w:val="24"/>
          <w:highlight w:val="yellow"/>
        </w:rPr>
      </w:pPr>
    </w:p>
    <w:p w:rsidR="009A6568" w:rsidRPr="0090612E" w:rsidRDefault="009A6568" w:rsidP="009A6568">
      <w:pPr>
        <w:rPr>
          <w:bCs/>
          <w:szCs w:val="24"/>
        </w:rPr>
      </w:pPr>
      <w:r w:rsidRPr="0090612E">
        <w:rPr>
          <w:bCs/>
          <w:szCs w:val="24"/>
        </w:rPr>
        <w:t>Tāpat ir pozīcijas, kurās šī gada pirmajā pusgadā ir būtiska neizpilde:</w:t>
      </w:r>
    </w:p>
    <w:p w:rsidR="009A6568" w:rsidRPr="007B2BA4" w:rsidRDefault="009A6568" w:rsidP="009A6568">
      <w:pPr>
        <w:pStyle w:val="ListParagraph"/>
        <w:numPr>
          <w:ilvl w:val="0"/>
          <w:numId w:val="28"/>
        </w:numPr>
        <w:spacing w:after="0"/>
        <w:contextualSpacing w:val="0"/>
        <w:rPr>
          <w:rFonts w:eastAsia="Calibri"/>
          <w:szCs w:val="24"/>
        </w:rPr>
      </w:pPr>
      <w:r w:rsidRPr="00DA4FA7">
        <w:rPr>
          <w:rFonts w:eastAsia="Calibri"/>
          <w:i/>
          <w:szCs w:val="24"/>
        </w:rPr>
        <w:t>Ieņēmumi no valsts nodevas par valsts sniegto nodrošinājumu un juridiskajiem un citiem pakalpojumiem</w:t>
      </w:r>
      <w:r w:rsidRPr="007B2BA4">
        <w:rPr>
          <w:rFonts w:eastAsia="Calibri"/>
          <w:szCs w:val="24"/>
        </w:rPr>
        <w:t xml:space="preserve"> – sešu mēnešu neizpilde ir 8,3 milj. </w:t>
      </w:r>
      <w:proofErr w:type="spellStart"/>
      <w:r w:rsidRPr="007B2BA4">
        <w:rPr>
          <w:bCs/>
          <w:i/>
          <w:szCs w:val="24"/>
        </w:rPr>
        <w:t>euro</w:t>
      </w:r>
      <w:proofErr w:type="spellEnd"/>
      <w:r w:rsidRPr="007B2BA4">
        <w:rPr>
          <w:bCs/>
          <w:i/>
          <w:szCs w:val="24"/>
        </w:rPr>
        <w:t xml:space="preserve"> </w:t>
      </w:r>
      <w:r w:rsidR="002706C0">
        <w:rPr>
          <w:bCs/>
          <w:szCs w:val="24"/>
        </w:rPr>
        <w:t>jeb 20,7 procenti;</w:t>
      </w:r>
    </w:p>
    <w:p w:rsidR="009A6568" w:rsidRPr="00C12D05" w:rsidRDefault="009A6568" w:rsidP="009A6568">
      <w:pPr>
        <w:pStyle w:val="ListParagraph"/>
        <w:numPr>
          <w:ilvl w:val="0"/>
          <w:numId w:val="28"/>
        </w:numPr>
        <w:spacing w:after="0"/>
        <w:contextualSpacing w:val="0"/>
        <w:rPr>
          <w:rFonts w:eastAsia="Calibri"/>
          <w:szCs w:val="24"/>
        </w:rPr>
      </w:pPr>
      <w:r w:rsidRPr="00DA4FA7">
        <w:rPr>
          <w:i/>
          <w:szCs w:val="24"/>
        </w:rPr>
        <w:t>Ieņēmumi no valsts nodevas par speciālu atļauju (licenču) izsniegšanu un profesionālās kvalifikācijas atbilstības dokumentu reģistrāciju</w:t>
      </w:r>
      <w:r w:rsidRPr="00C12D05">
        <w:rPr>
          <w:szCs w:val="24"/>
        </w:rPr>
        <w:t xml:space="preserve"> – sešu mēnešu neizpilde ir 4,7</w:t>
      </w:r>
      <w:r>
        <w:rPr>
          <w:szCs w:val="24"/>
        </w:rPr>
        <w:t> </w:t>
      </w:r>
      <w:r w:rsidRPr="00C12D05">
        <w:rPr>
          <w:szCs w:val="24"/>
        </w:rPr>
        <w:t>milj.</w:t>
      </w:r>
      <w:r>
        <w:rPr>
          <w:szCs w:val="24"/>
        </w:rPr>
        <w:t> </w:t>
      </w:r>
      <w:proofErr w:type="spellStart"/>
      <w:r w:rsidRPr="00C12D05">
        <w:rPr>
          <w:i/>
          <w:szCs w:val="24"/>
        </w:rPr>
        <w:t>euro</w:t>
      </w:r>
      <w:proofErr w:type="spellEnd"/>
      <w:r>
        <w:rPr>
          <w:szCs w:val="24"/>
        </w:rPr>
        <w:t xml:space="preserve"> jeb 68,8 procenti. Šīs pozīcijas neizpildi galvenokārt veido ieņēmumi no valsts nodevas  </w:t>
      </w:r>
      <w:r w:rsidRPr="00C44659">
        <w:rPr>
          <w:szCs w:val="24"/>
        </w:rPr>
        <w:t>par kreditēšanas pakalpojumu sniedzēja darbības uzraudzību</w:t>
      </w:r>
      <w:r>
        <w:rPr>
          <w:szCs w:val="24"/>
        </w:rPr>
        <w:t xml:space="preserve">; </w:t>
      </w:r>
      <w:r w:rsidRPr="00C12D05">
        <w:rPr>
          <w:szCs w:val="24"/>
        </w:rPr>
        <w:t xml:space="preserve"> </w:t>
      </w:r>
    </w:p>
    <w:p w:rsidR="009A6568" w:rsidRDefault="009A6568" w:rsidP="009A6568">
      <w:pPr>
        <w:pStyle w:val="ListParagraph"/>
        <w:numPr>
          <w:ilvl w:val="0"/>
          <w:numId w:val="27"/>
        </w:numPr>
        <w:spacing w:after="0"/>
        <w:contextualSpacing w:val="0"/>
        <w:rPr>
          <w:rFonts w:eastAsia="Calibri"/>
          <w:szCs w:val="24"/>
        </w:rPr>
      </w:pPr>
      <w:r w:rsidRPr="00F61679">
        <w:rPr>
          <w:rFonts w:eastAsia="Calibri"/>
          <w:i/>
          <w:szCs w:val="24"/>
        </w:rPr>
        <w:t>Ieņēmumi no Latvijai piešķirto emisijas kvotu</w:t>
      </w:r>
      <w:r w:rsidRPr="004E2D1C">
        <w:rPr>
          <w:rFonts w:eastAsia="Calibri"/>
          <w:szCs w:val="24"/>
        </w:rPr>
        <w:t xml:space="preserve"> </w:t>
      </w:r>
      <w:r w:rsidRPr="00F61679">
        <w:rPr>
          <w:rFonts w:eastAsia="Calibri"/>
          <w:i/>
          <w:szCs w:val="24"/>
        </w:rPr>
        <w:t xml:space="preserve">izsolīšanas </w:t>
      </w:r>
      <w:r w:rsidRPr="004E2D1C">
        <w:rPr>
          <w:rFonts w:eastAsia="Calibri"/>
          <w:szCs w:val="24"/>
        </w:rPr>
        <w:t xml:space="preserve"> – -3,3 milj. </w:t>
      </w:r>
      <w:proofErr w:type="spellStart"/>
      <w:r w:rsidRPr="004E2D1C">
        <w:rPr>
          <w:rFonts w:eastAsia="Calibri"/>
          <w:i/>
          <w:szCs w:val="24"/>
        </w:rPr>
        <w:t>euro</w:t>
      </w:r>
      <w:proofErr w:type="spellEnd"/>
      <w:r w:rsidRPr="004E2D1C">
        <w:rPr>
          <w:rFonts w:eastAsia="Calibri"/>
          <w:szCs w:val="24"/>
        </w:rPr>
        <w:t xml:space="preserve"> jeb plāna </w:t>
      </w:r>
      <w:r>
        <w:rPr>
          <w:rFonts w:eastAsia="Calibri"/>
          <w:szCs w:val="24"/>
        </w:rPr>
        <w:t>neizpilde sešos mēnešos ir 15,1 procenti;</w:t>
      </w:r>
      <w:r w:rsidRPr="004E2D1C">
        <w:rPr>
          <w:rFonts w:eastAsia="Calibri"/>
          <w:szCs w:val="24"/>
        </w:rPr>
        <w:t xml:space="preserve"> </w:t>
      </w:r>
    </w:p>
    <w:p w:rsidR="009A6568" w:rsidRDefault="009A6568" w:rsidP="009A6568">
      <w:pPr>
        <w:pStyle w:val="ListParagraph"/>
        <w:numPr>
          <w:ilvl w:val="0"/>
          <w:numId w:val="27"/>
        </w:numPr>
        <w:spacing w:after="0"/>
        <w:contextualSpacing w:val="0"/>
        <w:rPr>
          <w:rFonts w:eastAsia="Calibri"/>
          <w:szCs w:val="24"/>
        </w:rPr>
      </w:pPr>
      <w:r w:rsidRPr="00F61679">
        <w:rPr>
          <w:rFonts w:eastAsia="Calibri"/>
          <w:i/>
          <w:szCs w:val="24"/>
        </w:rPr>
        <w:t>Autoceļu lietošanas nodeva</w:t>
      </w:r>
      <w:r>
        <w:rPr>
          <w:rFonts w:eastAsia="Calibri"/>
          <w:szCs w:val="24"/>
        </w:rPr>
        <w:t xml:space="preserve"> – sešu mēnešu neizpilde ir 2,1 milj. </w:t>
      </w:r>
      <w:proofErr w:type="spellStart"/>
      <w:r w:rsidRPr="004E2D1C">
        <w:rPr>
          <w:rFonts w:eastAsia="Calibri"/>
          <w:i/>
          <w:szCs w:val="24"/>
        </w:rPr>
        <w:t>euro</w:t>
      </w:r>
      <w:proofErr w:type="spellEnd"/>
      <w:r>
        <w:rPr>
          <w:rFonts w:eastAsia="Calibri"/>
          <w:szCs w:val="24"/>
        </w:rPr>
        <w:t xml:space="preserve"> jeb 13,5 procenti. </w:t>
      </w:r>
    </w:p>
    <w:p w:rsidR="002706C0" w:rsidRDefault="002706C0" w:rsidP="002706C0">
      <w:pPr>
        <w:pStyle w:val="ListParagraph"/>
        <w:spacing w:after="0"/>
        <w:ind w:firstLine="0"/>
        <w:contextualSpacing w:val="0"/>
        <w:rPr>
          <w:rFonts w:eastAsia="Calibri"/>
          <w:i/>
          <w:szCs w:val="24"/>
        </w:rPr>
      </w:pPr>
    </w:p>
    <w:p w:rsidR="002706C0" w:rsidRDefault="002706C0" w:rsidP="002706C0">
      <w:pPr>
        <w:pStyle w:val="ListParagraph"/>
        <w:spacing w:after="0"/>
        <w:ind w:firstLine="0"/>
        <w:contextualSpacing w:val="0"/>
        <w:rPr>
          <w:rFonts w:eastAsia="Calibri"/>
          <w:szCs w:val="24"/>
        </w:rPr>
      </w:pPr>
    </w:p>
    <w:p w:rsidR="009A6568" w:rsidRDefault="009A6568" w:rsidP="009A6568">
      <w:pPr>
        <w:spacing w:after="0"/>
        <w:ind w:firstLine="0"/>
        <w:rPr>
          <w:rFonts w:eastAsia="Calibri"/>
          <w:szCs w:val="24"/>
          <w:highlight w:val="yellow"/>
        </w:rPr>
      </w:pPr>
    </w:p>
    <w:p w:rsidR="002706C0" w:rsidRDefault="002706C0" w:rsidP="002706C0">
      <w:pPr>
        <w:ind w:firstLine="0"/>
        <w:jc w:val="center"/>
        <w:rPr>
          <w:b/>
          <w:i/>
        </w:rPr>
      </w:pPr>
      <w:r w:rsidRPr="002706C0">
        <w:rPr>
          <w:b/>
          <w:i/>
        </w:rPr>
        <w:lastRenderedPageBreak/>
        <w:t xml:space="preserve">3.4. attēls </w:t>
      </w:r>
      <w:r w:rsidRPr="002706C0">
        <w:rPr>
          <w:b/>
        </w:rPr>
        <w:t xml:space="preserve">Valsts pamatbudžeta </w:t>
      </w:r>
      <w:proofErr w:type="spellStart"/>
      <w:r w:rsidRPr="002706C0">
        <w:rPr>
          <w:b/>
        </w:rPr>
        <w:t>nenodokļu</w:t>
      </w:r>
      <w:proofErr w:type="spellEnd"/>
      <w:r w:rsidRPr="002706C0">
        <w:rPr>
          <w:b/>
        </w:rPr>
        <w:t xml:space="preserve"> ieņēmumu 2020.prognoze un 2021.gada plāns, milj.</w:t>
      </w:r>
      <w:r w:rsidRPr="002706C0">
        <w:rPr>
          <w:b/>
          <w:i/>
        </w:rPr>
        <w:t xml:space="preserve"> </w:t>
      </w:r>
      <w:proofErr w:type="spellStart"/>
      <w:r w:rsidRPr="002706C0">
        <w:rPr>
          <w:b/>
          <w:i/>
        </w:rPr>
        <w:t>euro</w:t>
      </w:r>
      <w:proofErr w:type="spellEnd"/>
    </w:p>
    <w:p w:rsidR="009A6568" w:rsidRPr="00324699" w:rsidRDefault="009A6568" w:rsidP="009A6568">
      <w:pPr>
        <w:spacing w:after="0"/>
        <w:ind w:firstLine="0"/>
        <w:rPr>
          <w:rFonts w:eastAsia="Calibri"/>
          <w:szCs w:val="24"/>
          <w:highlight w:val="yellow"/>
        </w:rPr>
      </w:pPr>
      <w:r>
        <w:rPr>
          <w:noProof/>
          <w:lang w:eastAsia="lv-LV"/>
        </w:rPr>
        <w:drawing>
          <wp:inline distT="0" distB="0" distL="0" distR="0" wp14:anchorId="091EFA90" wp14:editId="047F1B84">
            <wp:extent cx="5760085" cy="2487324"/>
            <wp:effectExtent l="0" t="0" r="12065"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6568" w:rsidRPr="000342ED" w:rsidRDefault="009A6568" w:rsidP="00D54F72">
      <w:pPr>
        <w:spacing w:before="120"/>
      </w:pPr>
      <w:r w:rsidRPr="000342ED">
        <w:rPr>
          <w:szCs w:val="24"/>
          <w:shd w:val="clear" w:color="auto" w:fill="FFFFFF"/>
        </w:rPr>
        <w:t>Valsts</w:t>
      </w:r>
      <w:r w:rsidRPr="000342ED">
        <w:t xml:space="preserve"> pamatbudžeta </w:t>
      </w:r>
      <w:proofErr w:type="spellStart"/>
      <w:r w:rsidRPr="000342ED">
        <w:t>nenodokļu</w:t>
      </w:r>
      <w:proofErr w:type="spellEnd"/>
      <w:r w:rsidRPr="000342ED">
        <w:t xml:space="preserve"> ieņ</w:t>
      </w:r>
      <w:r w:rsidR="00D54F72">
        <w:t>ēmumi saskaņā ar likumprojektu “</w:t>
      </w:r>
      <w:r w:rsidRPr="000342ED">
        <w:t>Par valsts budžetu 2021.</w:t>
      </w:r>
      <w:r w:rsidR="00D54F72">
        <w:t xml:space="preserve"> </w:t>
      </w:r>
      <w:r w:rsidRPr="000342ED">
        <w:t xml:space="preserve">gadam” tiek plānoti </w:t>
      </w:r>
      <w:r>
        <w:t>447,9</w:t>
      </w:r>
      <w:r w:rsidRPr="000342ED">
        <w:t> milj. </w:t>
      </w:r>
      <w:proofErr w:type="spellStart"/>
      <w:r w:rsidRPr="000342ED">
        <w:rPr>
          <w:i/>
        </w:rPr>
        <w:t>euro</w:t>
      </w:r>
      <w:proofErr w:type="spellEnd"/>
      <w:r w:rsidRPr="000342ED">
        <w:t>, kas salīdzinājumā ar 2020.</w:t>
      </w:r>
      <w:r w:rsidR="00D54F72">
        <w:t xml:space="preserve"> </w:t>
      </w:r>
      <w:r w:rsidRPr="000342ED">
        <w:t xml:space="preserve">gada prognozi ir par </w:t>
      </w:r>
      <w:r>
        <w:t>98,9</w:t>
      </w:r>
      <w:r w:rsidRPr="000342ED">
        <w:t> milj. </w:t>
      </w:r>
      <w:proofErr w:type="spellStart"/>
      <w:r w:rsidRPr="000342ED">
        <w:rPr>
          <w:i/>
        </w:rPr>
        <w:t>euro</w:t>
      </w:r>
      <w:proofErr w:type="spellEnd"/>
      <w:r w:rsidRPr="000342ED">
        <w:t xml:space="preserve"> jeb </w:t>
      </w:r>
      <w:r>
        <w:t>18,1</w:t>
      </w:r>
      <w:r w:rsidRPr="000342ED">
        <w:t>% mazāk.</w:t>
      </w:r>
    </w:p>
    <w:p w:rsidR="009A6568" w:rsidRDefault="009A6568" w:rsidP="009A6568">
      <w:pPr>
        <w:spacing w:beforeLines="60" w:before="144"/>
      </w:pPr>
      <w:r w:rsidRPr="00165BCE">
        <w:rPr>
          <w:i/>
        </w:rPr>
        <w:t>Ieņēmumi no dividendēm</w:t>
      </w:r>
      <w:r w:rsidRPr="00B163C3">
        <w:t xml:space="preserve"> 2021.</w:t>
      </w:r>
      <w:r w:rsidR="00D54F72">
        <w:t xml:space="preserve"> </w:t>
      </w:r>
      <w:r w:rsidRPr="00B163C3">
        <w:t xml:space="preserve">gadā tiek plānoti 186,0 milj. </w:t>
      </w:r>
      <w:proofErr w:type="spellStart"/>
      <w:r w:rsidRPr="00B163C3">
        <w:rPr>
          <w:i/>
        </w:rPr>
        <w:t>euro</w:t>
      </w:r>
      <w:proofErr w:type="spellEnd"/>
      <w:r w:rsidRPr="00B163C3">
        <w:t>, kas ir par 44,0 milj. </w:t>
      </w:r>
      <w:proofErr w:type="spellStart"/>
      <w:r w:rsidRPr="00B163C3">
        <w:rPr>
          <w:i/>
        </w:rPr>
        <w:t>euro</w:t>
      </w:r>
      <w:proofErr w:type="spellEnd"/>
      <w:r w:rsidRPr="00B163C3">
        <w:t xml:space="preserve"> mazāk nekā prognozēts 2020.</w:t>
      </w:r>
      <w:r w:rsidR="00D54F72">
        <w:t xml:space="preserve"> </w:t>
      </w:r>
      <w:r w:rsidRPr="00B163C3">
        <w:t>gadā.</w:t>
      </w:r>
      <w:r w:rsidRPr="000342ED">
        <w:t xml:space="preserve"> Plāns veidots, </w:t>
      </w:r>
      <w:r w:rsidRPr="000342ED">
        <w:rPr>
          <w:szCs w:val="24"/>
        </w:rPr>
        <w:t xml:space="preserve">pamatojoties uz lielāko valsts </w:t>
      </w:r>
      <w:r>
        <w:rPr>
          <w:szCs w:val="24"/>
        </w:rPr>
        <w:t>kapitālsabiedrību sniegtajām 2020</w:t>
      </w:r>
      <w:r w:rsidRPr="000342ED">
        <w:rPr>
          <w:szCs w:val="24"/>
        </w:rPr>
        <w:t>.</w:t>
      </w:r>
      <w:r w:rsidR="00D54F72">
        <w:rPr>
          <w:szCs w:val="24"/>
        </w:rPr>
        <w:t xml:space="preserve"> </w:t>
      </w:r>
      <w:r w:rsidRPr="000342ED">
        <w:rPr>
          <w:szCs w:val="24"/>
        </w:rPr>
        <w:t xml:space="preserve">gada peļņas prognozēm, kā arī saskaņā ar </w:t>
      </w:r>
      <w:r w:rsidR="00D54F72">
        <w:rPr>
          <w:szCs w:val="24"/>
        </w:rPr>
        <w:t>MK</w:t>
      </w:r>
      <w:r w:rsidRPr="000342ED">
        <w:rPr>
          <w:szCs w:val="24"/>
        </w:rPr>
        <w:t xml:space="preserve"> noteikumiem Nr.806 “</w:t>
      </w:r>
      <w:r w:rsidRPr="000342ED">
        <w:rPr>
          <w:bCs/>
          <w:szCs w:val="24"/>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0342ED">
        <w:rPr>
          <w:szCs w:val="24"/>
        </w:rPr>
        <w:t xml:space="preserve">”, kurā noteikts, ka minimālo dividendēs izmaksājamo peļņas daļu nosaka </w:t>
      </w:r>
      <w:r>
        <w:rPr>
          <w:szCs w:val="24"/>
        </w:rPr>
        <w:t>80%</w:t>
      </w:r>
      <w:r w:rsidRPr="000342ED">
        <w:rPr>
          <w:szCs w:val="24"/>
        </w:rPr>
        <w:t xml:space="preserve"> apmērā no </w:t>
      </w:r>
      <w:r>
        <w:rPr>
          <w:szCs w:val="24"/>
        </w:rPr>
        <w:t>attiecīgās kapitālsabiedrības</w:t>
      </w:r>
      <w:r w:rsidRPr="00222416">
        <w:rPr>
          <w:szCs w:val="24"/>
        </w:rPr>
        <w:t xml:space="preserve"> peļņas. </w:t>
      </w:r>
      <w:r w:rsidRPr="000D1101">
        <w:rPr>
          <w:szCs w:val="24"/>
        </w:rPr>
        <w:t xml:space="preserve">Papildus tam dividenžu ieņēmumus ietekmē arī </w:t>
      </w:r>
      <w:r w:rsidR="00D54F72">
        <w:rPr>
          <w:szCs w:val="24"/>
        </w:rPr>
        <w:t>MK</w:t>
      </w:r>
      <w:r w:rsidRPr="000D1101">
        <w:rPr>
          <w:szCs w:val="24"/>
        </w:rPr>
        <w:t xml:space="preserve"> </w:t>
      </w:r>
      <w:r>
        <w:t>atbalstīti pasākumi:</w:t>
      </w:r>
    </w:p>
    <w:p w:rsidR="009A6568" w:rsidRPr="0086494C" w:rsidRDefault="009A6568" w:rsidP="009A6568">
      <w:pPr>
        <w:pStyle w:val="ListParagraph"/>
        <w:numPr>
          <w:ilvl w:val="0"/>
          <w:numId w:val="30"/>
        </w:numPr>
        <w:spacing w:beforeLines="60" w:before="144"/>
      </w:pPr>
      <w:r>
        <w:t>P</w:t>
      </w:r>
      <w:r w:rsidRPr="0086494C">
        <w:t>alielināt valsts akciju sabiedrības “Latvijas valsts meži” dividendēs izmaksājamo peļņas daļu par 2020.</w:t>
      </w:r>
      <w:r w:rsidR="00D54F72">
        <w:t xml:space="preserve"> </w:t>
      </w:r>
      <w:r w:rsidRPr="0086494C">
        <w:t>gadu par</w:t>
      </w:r>
      <w:r>
        <w:rPr>
          <w:szCs w:val="24"/>
        </w:rPr>
        <w:t xml:space="preserve"> 14,4 milj. </w:t>
      </w:r>
      <w:proofErr w:type="spellStart"/>
      <w:r w:rsidRPr="0086494C">
        <w:rPr>
          <w:i/>
          <w:spacing w:val="-6"/>
          <w:szCs w:val="24"/>
        </w:rPr>
        <w:t>euro</w:t>
      </w:r>
      <w:proofErr w:type="spellEnd"/>
      <w:r w:rsidRPr="0086494C">
        <w:t xml:space="preserve"> </w:t>
      </w:r>
      <w:r w:rsidRPr="0086494C">
        <w:rPr>
          <w:szCs w:val="24"/>
        </w:rPr>
        <w:t>(fiskālā ietekme 2021.</w:t>
      </w:r>
      <w:r w:rsidR="00D54F72">
        <w:rPr>
          <w:szCs w:val="24"/>
        </w:rPr>
        <w:t xml:space="preserve"> </w:t>
      </w:r>
      <w:r w:rsidRPr="0086494C">
        <w:rPr>
          <w:szCs w:val="24"/>
        </w:rPr>
        <w:t>gadā +</w:t>
      </w:r>
      <w:r>
        <w:rPr>
          <w:szCs w:val="24"/>
        </w:rPr>
        <w:t>14</w:t>
      </w:r>
      <w:r w:rsidRPr="0086494C">
        <w:rPr>
          <w:szCs w:val="24"/>
        </w:rPr>
        <w:t>,4 milj. </w:t>
      </w:r>
      <w:proofErr w:type="spellStart"/>
      <w:r w:rsidRPr="0086494C">
        <w:rPr>
          <w:i/>
          <w:spacing w:val="-6"/>
          <w:szCs w:val="24"/>
        </w:rPr>
        <w:t>euro</w:t>
      </w:r>
      <w:proofErr w:type="spellEnd"/>
      <w:r w:rsidRPr="0086494C">
        <w:rPr>
          <w:szCs w:val="24"/>
        </w:rPr>
        <w:t>);</w:t>
      </w:r>
    </w:p>
    <w:p w:rsidR="009A6568" w:rsidRDefault="009A6568" w:rsidP="009A6568">
      <w:pPr>
        <w:pStyle w:val="ListParagraph"/>
        <w:numPr>
          <w:ilvl w:val="0"/>
          <w:numId w:val="30"/>
        </w:numPr>
        <w:spacing w:beforeLines="60" w:before="144"/>
      </w:pPr>
      <w:r>
        <w:t>Saskaņā ar konceptuālo ziņojumu “Kompleksi pasākumi obligātā iepirkuma komponentes problemātikas risināšanai un elektroenerģijas tirgus attīstībai” paredzēt akciju sabiedrības “Latvenergo” dividenžu maksājumus (fiskālā ietekme 2021.</w:t>
      </w:r>
      <w:r w:rsidR="00D54F72">
        <w:t xml:space="preserve"> </w:t>
      </w:r>
      <w:r>
        <w:t>gadā +71,7 milj.</w:t>
      </w:r>
      <w:r w:rsidRPr="000C4CD4">
        <w:rPr>
          <w:i/>
        </w:rPr>
        <w:t xml:space="preserve"> </w:t>
      </w:r>
      <w:proofErr w:type="spellStart"/>
      <w:r w:rsidRPr="000C4CD4">
        <w:rPr>
          <w:i/>
        </w:rPr>
        <w:t>euro</w:t>
      </w:r>
      <w:proofErr w:type="spellEnd"/>
      <w:r>
        <w:t>).;</w:t>
      </w:r>
    </w:p>
    <w:p w:rsidR="009A6568" w:rsidRPr="004B3DFF" w:rsidRDefault="009A6568" w:rsidP="009A6568">
      <w:pPr>
        <w:pStyle w:val="ListParagraph"/>
        <w:numPr>
          <w:ilvl w:val="0"/>
          <w:numId w:val="30"/>
        </w:numPr>
        <w:spacing w:beforeLines="60" w:before="144"/>
      </w:pPr>
      <w:r>
        <w:rPr>
          <w:szCs w:val="24"/>
        </w:rPr>
        <w:t>Papildu</w:t>
      </w:r>
      <w:r w:rsidRPr="00165BCE">
        <w:t xml:space="preserve"> </w:t>
      </w:r>
      <w:r>
        <w:rPr>
          <w:szCs w:val="24"/>
        </w:rPr>
        <w:t>konceptuālajā ziņojumā</w:t>
      </w:r>
      <w:r w:rsidRPr="00165BCE">
        <w:rPr>
          <w:szCs w:val="24"/>
        </w:rPr>
        <w:t xml:space="preserve"> “Kompleksi pasākumi obligātā iepirkuma komponentes problemātikas risināšanai un elektroenerģijas tirgus attīstībai” </w:t>
      </w:r>
      <w:r>
        <w:rPr>
          <w:szCs w:val="24"/>
        </w:rPr>
        <w:t>noteiktajam, p</w:t>
      </w:r>
      <w:r w:rsidRPr="003F2818">
        <w:rPr>
          <w:szCs w:val="24"/>
        </w:rPr>
        <w:t>alielināt pamatbudžeta prognozējamos ieņēmumus valsts budžetā no akciju sabiedrības “Latvenergo” dividendēm (fiskālā ietekme 2021.</w:t>
      </w:r>
      <w:r w:rsidR="00D54F72">
        <w:rPr>
          <w:szCs w:val="24"/>
        </w:rPr>
        <w:t xml:space="preserve"> </w:t>
      </w:r>
      <w:r w:rsidRPr="003F2818">
        <w:rPr>
          <w:szCs w:val="24"/>
        </w:rPr>
        <w:t xml:space="preserve">gadā +6,9 milj. </w:t>
      </w:r>
      <w:proofErr w:type="spellStart"/>
      <w:r w:rsidRPr="003F2818">
        <w:rPr>
          <w:i/>
          <w:szCs w:val="24"/>
        </w:rPr>
        <w:t>euro</w:t>
      </w:r>
      <w:proofErr w:type="spellEnd"/>
      <w:r w:rsidRPr="003F2818">
        <w:rPr>
          <w:szCs w:val="24"/>
        </w:rPr>
        <w:t>)</w:t>
      </w:r>
      <w:r>
        <w:rPr>
          <w:color w:val="000000"/>
          <w:szCs w:val="24"/>
          <w:lang w:eastAsia="lv-LV"/>
        </w:rPr>
        <w:t>.</w:t>
      </w:r>
    </w:p>
    <w:p w:rsidR="009A6568" w:rsidRPr="002F5DCA" w:rsidRDefault="009A6568" w:rsidP="009A6568">
      <w:pPr>
        <w:spacing w:beforeLines="60" w:before="144"/>
        <w:rPr>
          <w:highlight w:val="yellow"/>
        </w:rPr>
      </w:pPr>
      <w:r w:rsidRPr="00165BCE">
        <w:rPr>
          <w:i/>
        </w:rPr>
        <w:t>Ieņēmumi no valsts nodevām par speciālu atļauju (licenču) izsniegšanu un profesionālās kvalifikācijas atbilstības dokumentu reģistrāciju</w:t>
      </w:r>
      <w:r w:rsidRPr="006D5643">
        <w:t xml:space="preserve"> 2021.</w:t>
      </w:r>
      <w:r w:rsidR="00D54F72">
        <w:t xml:space="preserve"> </w:t>
      </w:r>
      <w:r w:rsidRPr="006D5643">
        <w:t>gadā tiek plānoti 7,5 milj. </w:t>
      </w:r>
      <w:proofErr w:type="spellStart"/>
      <w:r w:rsidRPr="006D5643">
        <w:rPr>
          <w:i/>
        </w:rPr>
        <w:t>euro</w:t>
      </w:r>
      <w:proofErr w:type="spellEnd"/>
      <w:r w:rsidRPr="006D5643">
        <w:rPr>
          <w:i/>
        </w:rPr>
        <w:t xml:space="preserve">, </w:t>
      </w:r>
      <w:r w:rsidRPr="006D5643">
        <w:t>kas ir par 0,6 milj. </w:t>
      </w:r>
      <w:proofErr w:type="spellStart"/>
      <w:r w:rsidRPr="006D5643">
        <w:rPr>
          <w:i/>
        </w:rPr>
        <w:t>euro</w:t>
      </w:r>
      <w:proofErr w:type="spellEnd"/>
      <w:r w:rsidRPr="006D5643">
        <w:t xml:space="preserve"> vairāk nekā 2020.</w:t>
      </w:r>
      <w:r w:rsidR="00D54F72">
        <w:t xml:space="preserve"> </w:t>
      </w:r>
      <w:r w:rsidRPr="006D5643">
        <w:t>gadā prognozētie ieņēmumi</w:t>
      </w:r>
      <w:r w:rsidRPr="006D5643">
        <w:rPr>
          <w:i/>
        </w:rPr>
        <w:t>.</w:t>
      </w:r>
      <w:r w:rsidRPr="006D5643">
        <w:t xml:space="preserve"> 2021.</w:t>
      </w:r>
      <w:r w:rsidR="00D54F72">
        <w:t> </w:t>
      </w:r>
      <w:r w:rsidRPr="006D5643">
        <w:t>gada plāns ir sagatavots, ņemot vērā iepriekšējo gadu ieņēmumu izpildes tendences un ņemot vērā ministriju sniegtās progn</w:t>
      </w:r>
      <w:r>
        <w:t>ozes. Papildus saskaņā ar 2020.</w:t>
      </w:r>
      <w:r w:rsidR="00D54F72">
        <w:t xml:space="preserve"> </w:t>
      </w:r>
      <w:r>
        <w:t>gada 22.</w:t>
      </w:r>
      <w:r w:rsidR="00D54F72">
        <w:t xml:space="preserve"> </w:t>
      </w:r>
      <w:r w:rsidRPr="006D5643">
        <w:t xml:space="preserve">septembra </w:t>
      </w:r>
      <w:r w:rsidR="00D54F72">
        <w:t>MK</w:t>
      </w:r>
      <w:r w:rsidRPr="006D5643">
        <w:t xml:space="preserve"> lēmumu precizēti ieņēmumi </w:t>
      </w:r>
      <w:r>
        <w:t>pārējām nodevām</w:t>
      </w:r>
      <w:r w:rsidRPr="006D5643">
        <w:t xml:space="preserve"> par speciālu atļauju (licenču) izsniegšanu atsevišķiem komercdarbības veidiem (fiskālā ietekme +0,005 milj. </w:t>
      </w:r>
      <w:proofErr w:type="spellStart"/>
      <w:r w:rsidRPr="006D5643">
        <w:rPr>
          <w:i/>
        </w:rPr>
        <w:t>euro</w:t>
      </w:r>
      <w:proofErr w:type="spellEnd"/>
      <w:r>
        <w:t>).</w:t>
      </w:r>
    </w:p>
    <w:p w:rsidR="009A6568" w:rsidRPr="00944A12" w:rsidRDefault="009A6568" w:rsidP="009A6568">
      <w:pPr>
        <w:spacing w:before="120"/>
      </w:pPr>
      <w:r w:rsidRPr="00165BCE">
        <w:rPr>
          <w:i/>
        </w:rPr>
        <w:t>Naudas sodi un sankcijas</w:t>
      </w:r>
      <w:r w:rsidRPr="000342ED">
        <w:t xml:space="preserve"> 20</w:t>
      </w:r>
      <w:r>
        <w:t>21</w:t>
      </w:r>
      <w:r w:rsidRPr="000342ED">
        <w:t>.</w:t>
      </w:r>
      <w:r w:rsidR="00D54F72">
        <w:t xml:space="preserve"> </w:t>
      </w:r>
      <w:r w:rsidRPr="000342ED">
        <w:t xml:space="preserve">gadā tiek plānoti </w:t>
      </w:r>
      <w:r>
        <w:t>32,3</w:t>
      </w:r>
      <w:r w:rsidRPr="000342ED">
        <w:t> milj. </w:t>
      </w:r>
      <w:proofErr w:type="spellStart"/>
      <w:r w:rsidRPr="000342ED">
        <w:rPr>
          <w:i/>
        </w:rPr>
        <w:t>euro</w:t>
      </w:r>
      <w:proofErr w:type="spellEnd"/>
      <w:r w:rsidRPr="000342ED">
        <w:rPr>
          <w:i/>
        </w:rPr>
        <w:t xml:space="preserve"> </w:t>
      </w:r>
      <w:r w:rsidRPr="000342ED">
        <w:t xml:space="preserve">apmērā, kas ir par </w:t>
      </w:r>
      <w:r>
        <w:t>1,8 </w:t>
      </w:r>
      <w:r w:rsidRPr="000342ED">
        <w:t>milj. </w:t>
      </w:r>
      <w:proofErr w:type="spellStart"/>
      <w:r w:rsidRPr="000342ED">
        <w:rPr>
          <w:i/>
        </w:rPr>
        <w:t>euro</w:t>
      </w:r>
      <w:proofErr w:type="spellEnd"/>
      <w:r w:rsidRPr="000342ED">
        <w:t xml:space="preserve"> mazāk nekā </w:t>
      </w:r>
      <w:r>
        <w:t>prognozēts 2020</w:t>
      </w:r>
      <w:r w:rsidRPr="000342ED">
        <w:t>.</w:t>
      </w:r>
      <w:r w:rsidR="00D54F72">
        <w:t xml:space="preserve"> </w:t>
      </w:r>
      <w:r w:rsidRPr="000342ED">
        <w:t xml:space="preserve">gadā. Ieņēmumu prognoze veidota, balstoties uz </w:t>
      </w:r>
      <w:r w:rsidRPr="000342ED">
        <w:lastRenderedPageBreak/>
        <w:t>iepriekšējo gadu tendencēm un atbildīgo valsts institūciju un ministriju sniegtajām prognozēm</w:t>
      </w:r>
      <w:r>
        <w:t>. Papildus saskaņā ar 2020.</w:t>
      </w:r>
      <w:r w:rsidR="00D54F72">
        <w:t xml:space="preserve"> </w:t>
      </w:r>
      <w:r>
        <w:t>gada 22.</w:t>
      </w:r>
      <w:r w:rsidR="00D54F72">
        <w:t xml:space="preserve"> </w:t>
      </w:r>
      <w:r>
        <w:t xml:space="preserve">septembra </w:t>
      </w:r>
      <w:r w:rsidR="00D54F72">
        <w:t>MK</w:t>
      </w:r>
      <w:r>
        <w:t xml:space="preserve"> lēmumu precizēti ieņēmumi no naudas sodiem, ko uzliek Valsts policija (izņemot ceļu policija) (fiskālā ietekme +0,4 milj. </w:t>
      </w:r>
      <w:proofErr w:type="spellStart"/>
      <w:r w:rsidRPr="00944A12">
        <w:rPr>
          <w:i/>
        </w:rPr>
        <w:t>euro</w:t>
      </w:r>
      <w:proofErr w:type="spellEnd"/>
      <w:r>
        <w:t xml:space="preserve">), </w:t>
      </w:r>
      <w:r>
        <w:rPr>
          <w:szCs w:val="24"/>
        </w:rPr>
        <w:t>n</w:t>
      </w:r>
      <w:r w:rsidRPr="00C37B6F">
        <w:rPr>
          <w:szCs w:val="24"/>
        </w:rPr>
        <w:t>audas sodi</w:t>
      </w:r>
      <w:r>
        <w:rPr>
          <w:szCs w:val="24"/>
        </w:rPr>
        <w:t>em</w:t>
      </w:r>
      <w:r w:rsidRPr="00C37B6F">
        <w:rPr>
          <w:szCs w:val="24"/>
        </w:rPr>
        <w:t>, ko uzliek Valsts ieņēmumu dienests, izņemot naudas sodus, ko uzliek Valsts ieņēmumu dienesta Muitas pārvalde</w:t>
      </w:r>
      <w:r>
        <w:rPr>
          <w:szCs w:val="24"/>
        </w:rPr>
        <w:t xml:space="preserve"> (fiskālā ietekme +0,07 milj. </w:t>
      </w:r>
      <w:proofErr w:type="spellStart"/>
      <w:r w:rsidRPr="00944A12">
        <w:rPr>
          <w:i/>
          <w:szCs w:val="24"/>
        </w:rPr>
        <w:t>euro</w:t>
      </w:r>
      <w:proofErr w:type="spellEnd"/>
      <w:r>
        <w:rPr>
          <w:szCs w:val="24"/>
        </w:rPr>
        <w:t>) un na</w:t>
      </w:r>
      <w:r w:rsidRPr="00C37B6F">
        <w:rPr>
          <w:szCs w:val="24"/>
        </w:rPr>
        <w:t>udas sodi</w:t>
      </w:r>
      <w:r>
        <w:rPr>
          <w:szCs w:val="24"/>
        </w:rPr>
        <w:t>em</w:t>
      </w:r>
      <w:r w:rsidRPr="00C37B6F">
        <w:rPr>
          <w:szCs w:val="24"/>
        </w:rPr>
        <w:t>, ko uzliek Pārtikas un veterinārais dienests</w:t>
      </w:r>
      <w:r>
        <w:rPr>
          <w:szCs w:val="24"/>
        </w:rPr>
        <w:t xml:space="preserve"> (fiskālā ietekme+ 0,03 milj. </w:t>
      </w:r>
      <w:proofErr w:type="spellStart"/>
      <w:r w:rsidRPr="00944A12">
        <w:rPr>
          <w:i/>
          <w:szCs w:val="24"/>
        </w:rPr>
        <w:t>euro</w:t>
      </w:r>
      <w:proofErr w:type="spellEnd"/>
      <w:r>
        <w:rPr>
          <w:szCs w:val="24"/>
        </w:rPr>
        <w:t>).</w:t>
      </w:r>
    </w:p>
    <w:p w:rsidR="009A6568" w:rsidRPr="00324699" w:rsidRDefault="009A6568" w:rsidP="009A6568">
      <w:pPr>
        <w:spacing w:before="240"/>
        <w:rPr>
          <w:highlight w:val="yellow"/>
        </w:rPr>
      </w:pPr>
      <w:r w:rsidRPr="00165BCE">
        <w:rPr>
          <w:i/>
        </w:rPr>
        <w:t xml:space="preserve">Pārējie </w:t>
      </w:r>
      <w:proofErr w:type="spellStart"/>
      <w:r w:rsidRPr="00165BCE">
        <w:rPr>
          <w:i/>
        </w:rPr>
        <w:t>nenodokļi</w:t>
      </w:r>
      <w:proofErr w:type="spellEnd"/>
      <w:r w:rsidRPr="000342ED">
        <w:t xml:space="preserve"> 2021.</w:t>
      </w:r>
      <w:r w:rsidR="00D54F72">
        <w:t xml:space="preserve"> </w:t>
      </w:r>
      <w:r w:rsidRPr="000342ED">
        <w:t xml:space="preserve">gadā tiek plānoti </w:t>
      </w:r>
      <w:r>
        <w:t>30,0</w:t>
      </w:r>
      <w:r w:rsidRPr="000342ED">
        <w:t> milj. </w:t>
      </w:r>
      <w:proofErr w:type="spellStart"/>
      <w:r w:rsidRPr="000342ED">
        <w:rPr>
          <w:i/>
        </w:rPr>
        <w:t>euro</w:t>
      </w:r>
      <w:proofErr w:type="spellEnd"/>
      <w:r w:rsidRPr="000342ED">
        <w:rPr>
          <w:i/>
        </w:rPr>
        <w:t xml:space="preserve"> </w:t>
      </w:r>
      <w:r w:rsidRPr="000342ED">
        <w:t xml:space="preserve">apmērā, kas ir par </w:t>
      </w:r>
      <w:r>
        <w:t>44,3</w:t>
      </w:r>
      <w:r w:rsidRPr="000342ED">
        <w:t> milj. </w:t>
      </w:r>
      <w:proofErr w:type="spellStart"/>
      <w:r w:rsidRPr="000342ED">
        <w:rPr>
          <w:i/>
        </w:rPr>
        <w:t>euro</w:t>
      </w:r>
      <w:proofErr w:type="spellEnd"/>
      <w:r w:rsidRPr="000342ED">
        <w:t xml:space="preserve"> </w:t>
      </w:r>
      <w:r>
        <w:t>mazāk</w:t>
      </w:r>
      <w:r w:rsidRPr="000342ED">
        <w:t xml:space="preserve"> nekā prognozēts 2020.</w:t>
      </w:r>
      <w:r w:rsidR="00D54F72">
        <w:t xml:space="preserve"> </w:t>
      </w:r>
      <w:r w:rsidRPr="000342ED">
        <w:t>gadā</w:t>
      </w:r>
      <w:r w:rsidRPr="006C5840">
        <w:t xml:space="preserve">. Ieņēmumu prognozi ietekmēja ieņēmumu izpildes tendences iepriekšējos gados, kā arī </w:t>
      </w:r>
      <w:r w:rsidR="00D54F72">
        <w:t>MK</w:t>
      </w:r>
      <w:r w:rsidRPr="006C5840">
        <w:t xml:space="preserve"> lēmumi:</w:t>
      </w:r>
    </w:p>
    <w:p w:rsidR="009A6568" w:rsidRPr="00B154DA" w:rsidRDefault="009A6568" w:rsidP="00D54F72">
      <w:pPr>
        <w:pStyle w:val="ListParagraph"/>
        <w:numPr>
          <w:ilvl w:val="0"/>
          <w:numId w:val="27"/>
        </w:numPr>
        <w:spacing w:after="0"/>
        <w:ind w:left="714" w:hanging="357"/>
        <w:contextualSpacing w:val="0"/>
      </w:pPr>
      <w:r>
        <w:t>2020.</w:t>
      </w:r>
      <w:r w:rsidR="00D54F72">
        <w:t xml:space="preserve"> </w:t>
      </w:r>
      <w:r>
        <w:t>gada 22.</w:t>
      </w:r>
      <w:r w:rsidR="00D54F72">
        <w:t xml:space="preserve"> </w:t>
      </w:r>
      <w:r w:rsidRPr="00B154DA">
        <w:t xml:space="preserve">septembra </w:t>
      </w:r>
      <w:r w:rsidR="00D54F72">
        <w:t>MK</w:t>
      </w:r>
      <w:r w:rsidRPr="00B154DA">
        <w:t xml:space="preserve"> lēmums palielināt ieņēmumus no valstij piekritīgās mantas realizācijas pēc citu valsts institūciju pieņemtā lēmuma (fiskālā ietekme +0,3 milj. </w:t>
      </w:r>
      <w:proofErr w:type="spellStart"/>
      <w:r w:rsidRPr="00B154DA">
        <w:rPr>
          <w:i/>
        </w:rPr>
        <w:t>euro</w:t>
      </w:r>
      <w:proofErr w:type="spellEnd"/>
      <w:r w:rsidRPr="00B154DA">
        <w:t>);</w:t>
      </w:r>
    </w:p>
    <w:p w:rsidR="009A6568" w:rsidRPr="0060111E" w:rsidRDefault="009A6568" w:rsidP="00D54F72">
      <w:pPr>
        <w:pStyle w:val="ListParagraph"/>
        <w:numPr>
          <w:ilvl w:val="0"/>
          <w:numId w:val="27"/>
        </w:numPr>
        <w:spacing w:after="0"/>
        <w:contextualSpacing w:val="0"/>
      </w:pPr>
      <w:r>
        <w:t>2020.</w:t>
      </w:r>
      <w:r w:rsidR="00D54F72">
        <w:t xml:space="preserve"> </w:t>
      </w:r>
      <w:r>
        <w:t>gada 22.</w:t>
      </w:r>
      <w:r w:rsidR="00D54F72">
        <w:t xml:space="preserve"> </w:t>
      </w:r>
      <w:r w:rsidRPr="0060111E">
        <w:t xml:space="preserve">septembra </w:t>
      </w:r>
      <w:r w:rsidR="00D54F72">
        <w:t>MK</w:t>
      </w:r>
      <w:r w:rsidRPr="0060111E">
        <w:t xml:space="preserve"> lēmums palielināt ieņēmumu prognozes no nekustamā īpašuma darījumu starpnieka reģistrācijas maksas un ikgadējās nekustamā īpašuma darījumu starpnieka uzraudzības maksas (fiskālā ietekme +0,06 milj. </w:t>
      </w:r>
      <w:proofErr w:type="spellStart"/>
      <w:r w:rsidRPr="0060111E">
        <w:rPr>
          <w:i/>
        </w:rPr>
        <w:t>euro</w:t>
      </w:r>
      <w:proofErr w:type="spellEnd"/>
      <w:r w:rsidRPr="0060111E">
        <w:t>);</w:t>
      </w:r>
    </w:p>
    <w:p w:rsidR="009A6568" w:rsidRPr="00D54F72" w:rsidRDefault="009A6568" w:rsidP="00D54F72">
      <w:pPr>
        <w:spacing w:before="240"/>
        <w:ind w:firstLine="0"/>
        <w:jc w:val="center"/>
        <w:rPr>
          <w:b/>
          <w:szCs w:val="24"/>
        </w:rPr>
      </w:pPr>
      <w:r w:rsidRPr="00D54F72">
        <w:rPr>
          <w:b/>
          <w:i/>
          <w:szCs w:val="24"/>
        </w:rPr>
        <w:t>3.23.</w:t>
      </w:r>
      <w:r w:rsidRPr="00D54F72">
        <w:rPr>
          <w:b/>
          <w:szCs w:val="24"/>
        </w:rPr>
        <w:t xml:space="preserve"> </w:t>
      </w:r>
      <w:r w:rsidRPr="00D54F72">
        <w:rPr>
          <w:b/>
          <w:i/>
          <w:szCs w:val="24"/>
        </w:rPr>
        <w:t>tabula</w:t>
      </w:r>
      <w:r w:rsidRPr="00D54F72">
        <w:rPr>
          <w:b/>
          <w:szCs w:val="24"/>
        </w:rPr>
        <w:t xml:space="preserve"> Valsts pamatbudžeta </w:t>
      </w:r>
      <w:proofErr w:type="spellStart"/>
      <w:r w:rsidRPr="00D54F72">
        <w:rPr>
          <w:b/>
          <w:szCs w:val="24"/>
        </w:rPr>
        <w:t>nenodokļu</w:t>
      </w:r>
      <w:proofErr w:type="spellEnd"/>
      <w:r w:rsidRPr="00D54F72">
        <w:rPr>
          <w:b/>
          <w:szCs w:val="24"/>
        </w:rPr>
        <w:t xml:space="preserve"> ieņēmumi</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827"/>
        <w:gridCol w:w="1133"/>
        <w:gridCol w:w="1275"/>
        <w:gridCol w:w="1275"/>
        <w:gridCol w:w="1274"/>
      </w:tblGrid>
      <w:tr w:rsidR="009A6568" w:rsidRPr="00D54F72" w:rsidTr="009A6568">
        <w:trPr>
          <w:trHeight w:val="215"/>
          <w:tblHeader/>
          <w:jc w:val="center"/>
        </w:trPr>
        <w:tc>
          <w:tcPr>
            <w:tcW w:w="2178" w:type="pct"/>
            <w:vMerge w:val="restart"/>
            <w:shd w:val="clear" w:color="auto" w:fill="D9D9D9" w:themeFill="background1" w:themeFillShade="D9"/>
          </w:tcPr>
          <w:p w:rsidR="009A6568" w:rsidRPr="00D54F72" w:rsidRDefault="009A6568" w:rsidP="009A6568">
            <w:pPr>
              <w:pStyle w:val="tabtekst"/>
              <w:rPr>
                <w:b/>
                <w:color w:val="000000" w:themeColor="text1"/>
                <w:sz w:val="18"/>
                <w:szCs w:val="18"/>
                <w:highlight w:val="yellow"/>
              </w:rPr>
            </w:pPr>
          </w:p>
        </w:tc>
        <w:tc>
          <w:tcPr>
            <w:tcW w:w="645" w:type="pct"/>
            <w:tcBorders>
              <w:bottom w:val="single" w:sz="4" w:space="0" w:color="auto"/>
            </w:tcBorders>
            <w:shd w:val="clear" w:color="auto" w:fill="D9D9D9" w:themeFill="background1" w:themeFillShade="D9"/>
          </w:tcPr>
          <w:p w:rsidR="009A6568" w:rsidRPr="00D54F72" w:rsidRDefault="009A6568" w:rsidP="009A6568">
            <w:pPr>
              <w:pStyle w:val="tabtekst"/>
              <w:jc w:val="center"/>
              <w:rPr>
                <w:b/>
                <w:color w:val="000000" w:themeColor="text1"/>
                <w:sz w:val="18"/>
                <w:szCs w:val="18"/>
              </w:rPr>
            </w:pPr>
            <w:r w:rsidRPr="00D54F72">
              <w:rPr>
                <w:b/>
                <w:color w:val="000000" w:themeColor="text1"/>
                <w:sz w:val="18"/>
                <w:szCs w:val="18"/>
              </w:rPr>
              <w:t>2018</w:t>
            </w:r>
          </w:p>
        </w:tc>
        <w:tc>
          <w:tcPr>
            <w:tcW w:w="726" w:type="pct"/>
            <w:tcBorders>
              <w:bottom w:val="single" w:sz="4" w:space="0" w:color="auto"/>
            </w:tcBorders>
            <w:shd w:val="clear" w:color="auto" w:fill="D9D9D9" w:themeFill="background1" w:themeFillShade="D9"/>
          </w:tcPr>
          <w:p w:rsidR="009A6568" w:rsidRPr="00D54F72" w:rsidRDefault="009A6568" w:rsidP="009A6568">
            <w:pPr>
              <w:pStyle w:val="tabtekst"/>
              <w:jc w:val="center"/>
              <w:rPr>
                <w:b/>
                <w:color w:val="000000" w:themeColor="text1"/>
                <w:sz w:val="18"/>
                <w:szCs w:val="18"/>
              </w:rPr>
            </w:pPr>
            <w:r w:rsidRPr="00D54F72">
              <w:rPr>
                <w:b/>
                <w:color w:val="000000" w:themeColor="text1"/>
                <w:sz w:val="18"/>
                <w:szCs w:val="18"/>
              </w:rPr>
              <w:t>2019</w:t>
            </w:r>
          </w:p>
        </w:tc>
        <w:tc>
          <w:tcPr>
            <w:tcW w:w="726" w:type="pct"/>
            <w:shd w:val="clear" w:color="auto" w:fill="D9D9D9" w:themeFill="background1" w:themeFillShade="D9"/>
          </w:tcPr>
          <w:p w:rsidR="009A6568" w:rsidRPr="00D54F72" w:rsidRDefault="009A6568" w:rsidP="009A6568">
            <w:pPr>
              <w:pStyle w:val="tabtekst"/>
              <w:jc w:val="center"/>
              <w:rPr>
                <w:b/>
                <w:color w:val="000000" w:themeColor="text1"/>
                <w:sz w:val="18"/>
                <w:szCs w:val="18"/>
              </w:rPr>
            </w:pPr>
            <w:r w:rsidRPr="00D54F72">
              <w:rPr>
                <w:b/>
                <w:color w:val="000000" w:themeColor="text1"/>
                <w:sz w:val="18"/>
                <w:szCs w:val="18"/>
              </w:rPr>
              <w:t>2020</w:t>
            </w:r>
          </w:p>
        </w:tc>
        <w:tc>
          <w:tcPr>
            <w:tcW w:w="726" w:type="pct"/>
            <w:shd w:val="clear" w:color="auto" w:fill="D9D9D9" w:themeFill="background1" w:themeFillShade="D9"/>
          </w:tcPr>
          <w:p w:rsidR="009A6568" w:rsidRPr="00D54F72" w:rsidRDefault="009A6568" w:rsidP="009A6568">
            <w:pPr>
              <w:pStyle w:val="tabtekst"/>
              <w:jc w:val="center"/>
              <w:rPr>
                <w:b/>
                <w:color w:val="000000" w:themeColor="text1"/>
                <w:sz w:val="18"/>
                <w:szCs w:val="18"/>
              </w:rPr>
            </w:pPr>
            <w:r w:rsidRPr="00D54F72">
              <w:rPr>
                <w:b/>
                <w:color w:val="000000" w:themeColor="text1"/>
                <w:sz w:val="18"/>
                <w:szCs w:val="18"/>
              </w:rPr>
              <w:t>2021</w:t>
            </w:r>
          </w:p>
        </w:tc>
      </w:tr>
      <w:tr w:rsidR="009A6568" w:rsidRPr="00D54F72" w:rsidTr="009A6568">
        <w:trPr>
          <w:trHeight w:val="215"/>
          <w:tblHeader/>
          <w:jc w:val="center"/>
        </w:trPr>
        <w:tc>
          <w:tcPr>
            <w:tcW w:w="2178" w:type="pct"/>
            <w:vMerge/>
            <w:shd w:val="clear" w:color="auto" w:fill="D9D9D9" w:themeFill="background1" w:themeFillShade="D9"/>
          </w:tcPr>
          <w:p w:rsidR="009A6568" w:rsidRPr="00D54F72" w:rsidRDefault="009A6568" w:rsidP="009A6568">
            <w:pPr>
              <w:pStyle w:val="tabtekst"/>
              <w:rPr>
                <w:b/>
                <w:color w:val="000000" w:themeColor="text1"/>
                <w:sz w:val="18"/>
                <w:szCs w:val="18"/>
                <w:highlight w:val="yellow"/>
              </w:rPr>
            </w:pPr>
          </w:p>
        </w:tc>
        <w:tc>
          <w:tcPr>
            <w:tcW w:w="1371" w:type="pct"/>
            <w:gridSpan w:val="2"/>
            <w:shd w:val="clear" w:color="auto" w:fill="D9D9D9" w:themeFill="background1" w:themeFillShade="D9"/>
          </w:tcPr>
          <w:p w:rsidR="009A6568" w:rsidRPr="00D54F72" w:rsidRDefault="009A6568" w:rsidP="009A6568">
            <w:pPr>
              <w:pStyle w:val="tabtekst"/>
              <w:jc w:val="center"/>
              <w:rPr>
                <w:color w:val="000000" w:themeColor="text1"/>
                <w:sz w:val="18"/>
                <w:szCs w:val="18"/>
              </w:rPr>
            </w:pPr>
            <w:r w:rsidRPr="00D54F72">
              <w:rPr>
                <w:color w:val="000000" w:themeColor="text1"/>
                <w:sz w:val="18"/>
                <w:szCs w:val="18"/>
              </w:rPr>
              <w:t>fakts</w:t>
            </w:r>
          </w:p>
        </w:tc>
        <w:tc>
          <w:tcPr>
            <w:tcW w:w="726" w:type="pct"/>
            <w:shd w:val="clear" w:color="auto" w:fill="D9D9D9" w:themeFill="background1" w:themeFillShade="D9"/>
          </w:tcPr>
          <w:p w:rsidR="009A6568" w:rsidRPr="00D54F72" w:rsidRDefault="009A6568" w:rsidP="009A6568">
            <w:pPr>
              <w:pStyle w:val="tabtekst"/>
              <w:jc w:val="center"/>
              <w:rPr>
                <w:color w:val="000000" w:themeColor="text1"/>
                <w:sz w:val="18"/>
                <w:szCs w:val="18"/>
              </w:rPr>
            </w:pPr>
            <w:r w:rsidRPr="00D54F72">
              <w:rPr>
                <w:color w:val="000000" w:themeColor="text1"/>
                <w:sz w:val="18"/>
                <w:szCs w:val="18"/>
              </w:rPr>
              <w:t>prognoze</w:t>
            </w:r>
          </w:p>
        </w:tc>
        <w:tc>
          <w:tcPr>
            <w:tcW w:w="726" w:type="pct"/>
            <w:shd w:val="clear" w:color="auto" w:fill="D9D9D9" w:themeFill="background1" w:themeFillShade="D9"/>
          </w:tcPr>
          <w:p w:rsidR="009A6568" w:rsidRPr="00D54F72" w:rsidRDefault="009A6568" w:rsidP="009A6568">
            <w:pPr>
              <w:pStyle w:val="tabtekst"/>
              <w:jc w:val="center"/>
              <w:rPr>
                <w:color w:val="000000" w:themeColor="text1"/>
                <w:sz w:val="18"/>
                <w:szCs w:val="18"/>
              </w:rPr>
            </w:pPr>
            <w:r w:rsidRPr="00D54F72">
              <w:rPr>
                <w:color w:val="000000" w:themeColor="text1"/>
                <w:sz w:val="18"/>
                <w:szCs w:val="18"/>
              </w:rPr>
              <w:t>plāns*</w:t>
            </w:r>
          </w:p>
        </w:tc>
      </w:tr>
      <w:tr w:rsidR="009A6568" w:rsidRPr="00D54F72" w:rsidTr="009A6568">
        <w:trPr>
          <w:trHeight w:val="201"/>
          <w:jc w:val="center"/>
        </w:trPr>
        <w:tc>
          <w:tcPr>
            <w:tcW w:w="2178" w:type="pct"/>
            <w:shd w:val="clear" w:color="auto" w:fill="auto"/>
          </w:tcPr>
          <w:p w:rsidR="009A6568" w:rsidRPr="00D54F72" w:rsidRDefault="009A6568" w:rsidP="009A6568">
            <w:pPr>
              <w:pStyle w:val="tabtekst"/>
              <w:rPr>
                <w:color w:val="000000" w:themeColor="text1"/>
                <w:sz w:val="18"/>
                <w:szCs w:val="18"/>
              </w:rPr>
            </w:pPr>
            <w:proofErr w:type="spellStart"/>
            <w:r w:rsidRPr="00D54F72">
              <w:rPr>
                <w:b/>
                <w:color w:val="auto"/>
                <w:sz w:val="18"/>
                <w:szCs w:val="18"/>
                <w:lang w:eastAsia="lv-LV"/>
              </w:rPr>
              <w:t>Nenodokļu</w:t>
            </w:r>
            <w:proofErr w:type="spellEnd"/>
            <w:r w:rsidRPr="00D54F72">
              <w:rPr>
                <w:b/>
                <w:color w:val="auto"/>
                <w:sz w:val="18"/>
                <w:szCs w:val="18"/>
                <w:lang w:eastAsia="lv-LV"/>
              </w:rPr>
              <w:t xml:space="preserve"> ieņēmumi,</w:t>
            </w:r>
            <w:r w:rsidRPr="00D54F72">
              <w:rPr>
                <w:color w:val="auto"/>
                <w:sz w:val="18"/>
                <w:szCs w:val="18"/>
                <w:lang w:eastAsia="lv-LV"/>
              </w:rPr>
              <w:t xml:space="preserve"> milj. </w:t>
            </w:r>
            <w:proofErr w:type="spellStart"/>
            <w:r w:rsidRPr="00D54F72">
              <w:rPr>
                <w:i/>
                <w:color w:val="auto"/>
                <w:sz w:val="18"/>
                <w:szCs w:val="18"/>
                <w:lang w:eastAsia="lv-LV"/>
              </w:rPr>
              <w:t>euro</w:t>
            </w:r>
            <w:proofErr w:type="spellEnd"/>
          </w:p>
        </w:tc>
        <w:tc>
          <w:tcPr>
            <w:tcW w:w="645" w:type="pct"/>
            <w:tcBorders>
              <w:bottom w:val="single" w:sz="4" w:space="0" w:color="auto"/>
            </w:tcBorders>
            <w:shd w:val="clear" w:color="auto" w:fill="auto"/>
            <w:vAlign w:val="center"/>
          </w:tcPr>
          <w:p w:rsidR="009A6568" w:rsidRPr="00D54F72" w:rsidRDefault="009A6568" w:rsidP="009A6568">
            <w:pPr>
              <w:spacing w:after="0"/>
              <w:ind w:firstLine="0"/>
              <w:jc w:val="center"/>
              <w:rPr>
                <w:b/>
                <w:snapToGrid w:val="0"/>
                <w:color w:val="000000" w:themeColor="text1"/>
                <w:sz w:val="18"/>
                <w:szCs w:val="18"/>
              </w:rPr>
            </w:pPr>
            <w:r w:rsidRPr="00D54F72">
              <w:rPr>
                <w:b/>
                <w:snapToGrid w:val="0"/>
                <w:color w:val="000000" w:themeColor="text1"/>
                <w:sz w:val="18"/>
                <w:szCs w:val="18"/>
              </w:rPr>
              <w:t>611,2</w:t>
            </w:r>
          </w:p>
        </w:tc>
        <w:tc>
          <w:tcPr>
            <w:tcW w:w="726" w:type="pct"/>
            <w:tcBorders>
              <w:bottom w:val="single" w:sz="4" w:space="0" w:color="auto"/>
            </w:tcBorders>
            <w:shd w:val="clear" w:color="auto" w:fill="auto"/>
            <w:vAlign w:val="center"/>
          </w:tcPr>
          <w:p w:rsidR="009A6568" w:rsidRPr="00D54F72" w:rsidRDefault="009A6568" w:rsidP="009A6568">
            <w:pPr>
              <w:spacing w:after="0"/>
              <w:ind w:firstLine="0"/>
              <w:jc w:val="center"/>
              <w:rPr>
                <w:b/>
                <w:snapToGrid w:val="0"/>
                <w:color w:val="000000" w:themeColor="text1"/>
                <w:sz w:val="18"/>
                <w:szCs w:val="18"/>
              </w:rPr>
            </w:pPr>
            <w:r w:rsidRPr="00D54F72">
              <w:rPr>
                <w:b/>
                <w:snapToGrid w:val="0"/>
                <w:color w:val="000000" w:themeColor="text1"/>
                <w:sz w:val="18"/>
                <w:szCs w:val="18"/>
              </w:rPr>
              <w:t>529,0</w:t>
            </w:r>
          </w:p>
        </w:tc>
        <w:tc>
          <w:tcPr>
            <w:tcW w:w="726" w:type="pct"/>
            <w:tcBorders>
              <w:bottom w:val="single" w:sz="4" w:space="0" w:color="auto"/>
            </w:tcBorders>
            <w:vAlign w:val="center"/>
          </w:tcPr>
          <w:p w:rsidR="009A6568" w:rsidRPr="00D54F72" w:rsidRDefault="009A6568" w:rsidP="009A6568">
            <w:pPr>
              <w:spacing w:after="0"/>
              <w:ind w:firstLine="0"/>
              <w:jc w:val="center"/>
              <w:rPr>
                <w:b/>
                <w:snapToGrid w:val="0"/>
                <w:color w:val="000000" w:themeColor="text1"/>
                <w:sz w:val="18"/>
                <w:szCs w:val="18"/>
              </w:rPr>
            </w:pPr>
            <w:r w:rsidRPr="00D54F72">
              <w:rPr>
                <w:b/>
                <w:snapToGrid w:val="0"/>
                <w:color w:val="000000" w:themeColor="text1"/>
                <w:sz w:val="18"/>
                <w:szCs w:val="18"/>
              </w:rPr>
              <w:t>546,7</w:t>
            </w:r>
          </w:p>
        </w:tc>
        <w:tc>
          <w:tcPr>
            <w:tcW w:w="726" w:type="pct"/>
            <w:tcBorders>
              <w:bottom w:val="single" w:sz="4" w:space="0" w:color="auto"/>
            </w:tcBorders>
            <w:shd w:val="clear" w:color="auto" w:fill="auto"/>
            <w:vAlign w:val="center"/>
          </w:tcPr>
          <w:p w:rsidR="009A6568" w:rsidRPr="00D54F72" w:rsidRDefault="009A6568" w:rsidP="009A6568">
            <w:pPr>
              <w:spacing w:after="0"/>
              <w:ind w:firstLine="0"/>
              <w:jc w:val="center"/>
              <w:rPr>
                <w:b/>
                <w:snapToGrid w:val="0"/>
                <w:color w:val="000000" w:themeColor="text1"/>
                <w:sz w:val="18"/>
                <w:szCs w:val="18"/>
              </w:rPr>
            </w:pPr>
            <w:r w:rsidRPr="00D54F72">
              <w:rPr>
                <w:b/>
                <w:snapToGrid w:val="0"/>
                <w:color w:val="000000" w:themeColor="text1"/>
                <w:sz w:val="18"/>
                <w:szCs w:val="18"/>
              </w:rPr>
              <w:t>447,9</w:t>
            </w:r>
          </w:p>
        </w:tc>
      </w:tr>
      <w:tr w:rsidR="009A6568" w:rsidRPr="00D54F72" w:rsidTr="009A6568">
        <w:trPr>
          <w:trHeight w:val="215"/>
          <w:jc w:val="center"/>
        </w:trPr>
        <w:tc>
          <w:tcPr>
            <w:tcW w:w="2178" w:type="pct"/>
            <w:shd w:val="clear" w:color="auto" w:fill="auto"/>
          </w:tcPr>
          <w:p w:rsidR="009A6568" w:rsidRPr="00D54F72" w:rsidRDefault="009A6568" w:rsidP="009A6568">
            <w:pPr>
              <w:pStyle w:val="tabtekst"/>
              <w:rPr>
                <w:i/>
                <w:color w:val="000000" w:themeColor="text1"/>
                <w:sz w:val="18"/>
                <w:szCs w:val="18"/>
              </w:rPr>
            </w:pPr>
            <w:r w:rsidRPr="00D54F72">
              <w:rPr>
                <w:i/>
                <w:color w:val="000000" w:themeColor="text1"/>
                <w:sz w:val="18"/>
                <w:szCs w:val="18"/>
              </w:rPr>
              <w:t xml:space="preserve">   pieauguma tempi faktiskās cenās, %</w:t>
            </w:r>
          </w:p>
        </w:tc>
        <w:tc>
          <w:tcPr>
            <w:tcW w:w="645" w:type="pct"/>
            <w:tcBorders>
              <w:top w:val="single" w:sz="4" w:space="0" w:color="auto"/>
              <w:left w:val="nil"/>
              <w:bottom w:val="single" w:sz="4" w:space="0" w:color="auto"/>
              <w:right w:val="single" w:sz="4" w:space="0" w:color="auto"/>
            </w:tcBorders>
            <w:shd w:val="clear" w:color="auto" w:fill="auto"/>
            <w:vAlign w:val="bottom"/>
          </w:tcPr>
          <w:p w:rsidR="009A6568" w:rsidRPr="00D54F72" w:rsidRDefault="009A6568" w:rsidP="009A6568">
            <w:pPr>
              <w:pStyle w:val="tabtekst"/>
              <w:jc w:val="center"/>
              <w:rPr>
                <w:i/>
                <w:color w:val="000000" w:themeColor="text1"/>
                <w:sz w:val="18"/>
                <w:szCs w:val="18"/>
              </w:rPr>
            </w:pPr>
            <w:r w:rsidRPr="00D54F72">
              <w:rPr>
                <w:i/>
                <w:color w:val="000000" w:themeColor="text1"/>
                <w:sz w:val="18"/>
                <w:szCs w:val="18"/>
              </w:rPr>
              <w:t>+45,9</w:t>
            </w:r>
          </w:p>
        </w:tc>
        <w:tc>
          <w:tcPr>
            <w:tcW w:w="726" w:type="pct"/>
            <w:tcBorders>
              <w:top w:val="single" w:sz="4" w:space="0" w:color="auto"/>
              <w:left w:val="single" w:sz="4" w:space="0" w:color="auto"/>
              <w:bottom w:val="single" w:sz="4" w:space="0" w:color="auto"/>
              <w:right w:val="single" w:sz="4" w:space="0" w:color="auto"/>
            </w:tcBorders>
            <w:shd w:val="clear" w:color="auto" w:fill="auto"/>
            <w:vAlign w:val="bottom"/>
          </w:tcPr>
          <w:p w:rsidR="009A6568" w:rsidRPr="00D54F72" w:rsidRDefault="009A6568" w:rsidP="009A6568">
            <w:pPr>
              <w:pStyle w:val="tabtekst"/>
              <w:jc w:val="center"/>
              <w:rPr>
                <w:i/>
                <w:color w:val="000000" w:themeColor="text1"/>
                <w:sz w:val="18"/>
                <w:szCs w:val="18"/>
              </w:rPr>
            </w:pPr>
            <w:r w:rsidRPr="00D54F72">
              <w:rPr>
                <w:i/>
                <w:color w:val="000000" w:themeColor="text1"/>
                <w:sz w:val="18"/>
                <w:szCs w:val="18"/>
              </w:rPr>
              <w:t>-13,4</w:t>
            </w:r>
          </w:p>
        </w:tc>
        <w:tc>
          <w:tcPr>
            <w:tcW w:w="726" w:type="pct"/>
            <w:tcBorders>
              <w:top w:val="single" w:sz="4" w:space="0" w:color="auto"/>
              <w:left w:val="single" w:sz="4" w:space="0" w:color="auto"/>
              <w:bottom w:val="single" w:sz="4" w:space="0" w:color="auto"/>
              <w:right w:val="single" w:sz="4" w:space="0" w:color="auto"/>
            </w:tcBorders>
          </w:tcPr>
          <w:p w:rsidR="009A6568" w:rsidRPr="00D54F72" w:rsidRDefault="009A6568" w:rsidP="009A6568">
            <w:pPr>
              <w:pStyle w:val="tabtekst"/>
              <w:jc w:val="center"/>
              <w:rPr>
                <w:i/>
                <w:color w:val="000000" w:themeColor="text1"/>
                <w:sz w:val="18"/>
                <w:szCs w:val="18"/>
              </w:rPr>
            </w:pPr>
            <w:r w:rsidRPr="00D54F72">
              <w:rPr>
                <w:i/>
                <w:color w:val="000000" w:themeColor="text1"/>
                <w:sz w:val="18"/>
                <w:szCs w:val="18"/>
              </w:rPr>
              <w:t>+3,4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bottom"/>
          </w:tcPr>
          <w:p w:rsidR="009A6568" w:rsidRPr="00D54F72" w:rsidRDefault="009A6568" w:rsidP="009A6568">
            <w:pPr>
              <w:pStyle w:val="tabtekst"/>
              <w:jc w:val="center"/>
              <w:rPr>
                <w:i/>
                <w:color w:val="000000" w:themeColor="text1"/>
                <w:sz w:val="18"/>
                <w:szCs w:val="18"/>
              </w:rPr>
            </w:pPr>
            <w:r w:rsidRPr="00D54F72">
              <w:rPr>
                <w:i/>
                <w:color w:val="000000" w:themeColor="text1"/>
                <w:sz w:val="18"/>
                <w:szCs w:val="18"/>
              </w:rPr>
              <w:t>-18,1</w:t>
            </w:r>
          </w:p>
        </w:tc>
      </w:tr>
      <w:tr w:rsidR="009A6568" w:rsidRPr="00D54F72" w:rsidTr="009A6568">
        <w:trPr>
          <w:trHeight w:val="202"/>
          <w:jc w:val="center"/>
        </w:trPr>
        <w:tc>
          <w:tcPr>
            <w:tcW w:w="2178" w:type="pct"/>
          </w:tcPr>
          <w:p w:rsidR="009A6568" w:rsidRPr="00D54F72" w:rsidRDefault="009A6568" w:rsidP="009A6568">
            <w:pPr>
              <w:pStyle w:val="tabtekst"/>
              <w:rPr>
                <w:i/>
                <w:color w:val="000000" w:themeColor="text1"/>
                <w:sz w:val="18"/>
                <w:szCs w:val="18"/>
              </w:rPr>
            </w:pPr>
            <w:r w:rsidRPr="00D54F72">
              <w:rPr>
                <w:i/>
                <w:color w:val="000000" w:themeColor="text1"/>
                <w:sz w:val="18"/>
                <w:szCs w:val="18"/>
              </w:rPr>
              <w:t xml:space="preserve">   % no IKP</w:t>
            </w:r>
          </w:p>
        </w:tc>
        <w:tc>
          <w:tcPr>
            <w:tcW w:w="645" w:type="pct"/>
            <w:tcBorders>
              <w:top w:val="single" w:sz="4" w:space="0" w:color="auto"/>
              <w:left w:val="nil"/>
              <w:bottom w:val="single" w:sz="4" w:space="0" w:color="auto"/>
              <w:right w:val="single" w:sz="4" w:space="0" w:color="auto"/>
            </w:tcBorders>
            <w:shd w:val="clear" w:color="auto" w:fill="auto"/>
            <w:vAlign w:val="bottom"/>
          </w:tcPr>
          <w:p w:rsidR="009A6568" w:rsidRPr="00D54F72" w:rsidRDefault="009A6568" w:rsidP="009A6568">
            <w:pPr>
              <w:pStyle w:val="tabtekst"/>
              <w:jc w:val="center"/>
              <w:rPr>
                <w:i/>
                <w:color w:val="000000" w:themeColor="text1"/>
                <w:sz w:val="18"/>
                <w:szCs w:val="18"/>
              </w:rPr>
            </w:pPr>
            <w:r w:rsidRPr="00D54F72">
              <w:rPr>
                <w:i/>
                <w:color w:val="000000" w:themeColor="text1"/>
                <w:sz w:val="18"/>
                <w:szCs w:val="18"/>
              </w:rPr>
              <w:t>2,1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bottom"/>
          </w:tcPr>
          <w:p w:rsidR="009A6568" w:rsidRPr="00D54F72" w:rsidRDefault="009A6568" w:rsidP="009A6568">
            <w:pPr>
              <w:pStyle w:val="tabtekst"/>
              <w:jc w:val="center"/>
              <w:rPr>
                <w:i/>
                <w:color w:val="000000" w:themeColor="text1"/>
                <w:sz w:val="18"/>
                <w:szCs w:val="18"/>
              </w:rPr>
            </w:pPr>
            <w:r w:rsidRPr="00D54F72">
              <w:rPr>
                <w:i/>
                <w:color w:val="000000" w:themeColor="text1"/>
                <w:sz w:val="18"/>
                <w:szCs w:val="18"/>
              </w:rPr>
              <w:t>1,7</w:t>
            </w:r>
          </w:p>
        </w:tc>
        <w:tc>
          <w:tcPr>
            <w:tcW w:w="726" w:type="pct"/>
            <w:tcBorders>
              <w:top w:val="single" w:sz="4" w:space="0" w:color="auto"/>
              <w:left w:val="single" w:sz="4" w:space="0" w:color="auto"/>
              <w:bottom w:val="single" w:sz="4" w:space="0" w:color="auto"/>
              <w:right w:val="single" w:sz="4" w:space="0" w:color="auto"/>
            </w:tcBorders>
          </w:tcPr>
          <w:p w:rsidR="009A6568" w:rsidRPr="00D54F72" w:rsidRDefault="009A6568" w:rsidP="009A6568">
            <w:pPr>
              <w:pStyle w:val="tabtekst"/>
              <w:jc w:val="center"/>
              <w:rPr>
                <w:i/>
                <w:color w:val="000000" w:themeColor="text1"/>
                <w:sz w:val="18"/>
                <w:szCs w:val="18"/>
              </w:rPr>
            </w:pPr>
            <w:r w:rsidRPr="00D54F72">
              <w:rPr>
                <w:i/>
                <w:color w:val="000000" w:themeColor="text1"/>
                <w:sz w:val="18"/>
                <w:szCs w:val="18"/>
              </w:rPr>
              <w:t>1,9</w:t>
            </w:r>
          </w:p>
        </w:tc>
        <w:tc>
          <w:tcPr>
            <w:tcW w:w="726" w:type="pct"/>
            <w:tcBorders>
              <w:top w:val="single" w:sz="4" w:space="0" w:color="auto"/>
              <w:left w:val="single" w:sz="4" w:space="0" w:color="auto"/>
              <w:bottom w:val="single" w:sz="4" w:space="0" w:color="auto"/>
              <w:right w:val="single" w:sz="4" w:space="0" w:color="auto"/>
            </w:tcBorders>
            <w:shd w:val="clear" w:color="auto" w:fill="auto"/>
            <w:vAlign w:val="bottom"/>
          </w:tcPr>
          <w:p w:rsidR="009A6568" w:rsidRPr="00D54F72" w:rsidRDefault="009A6568" w:rsidP="009A6568">
            <w:pPr>
              <w:pStyle w:val="tabtekst"/>
              <w:jc w:val="center"/>
              <w:rPr>
                <w:i/>
                <w:color w:val="000000" w:themeColor="text1"/>
                <w:sz w:val="18"/>
                <w:szCs w:val="18"/>
              </w:rPr>
            </w:pPr>
            <w:r w:rsidRPr="00D54F72">
              <w:rPr>
                <w:i/>
                <w:color w:val="000000" w:themeColor="text1"/>
                <w:sz w:val="18"/>
                <w:szCs w:val="18"/>
              </w:rPr>
              <w:t>1,5</w:t>
            </w:r>
          </w:p>
        </w:tc>
      </w:tr>
    </w:tbl>
    <w:p w:rsidR="009A6568" w:rsidRPr="004F6CE6" w:rsidRDefault="00D54F72" w:rsidP="009A6568">
      <w:pPr>
        <w:pStyle w:val="cipari"/>
        <w:rPr>
          <w:i/>
          <w:sz w:val="20"/>
        </w:rPr>
      </w:pPr>
      <w:r>
        <w:rPr>
          <w:i/>
          <w:sz w:val="20"/>
        </w:rPr>
        <w:t xml:space="preserve">  * saskaņā ar likumprojektu “</w:t>
      </w:r>
      <w:r w:rsidR="009A6568" w:rsidRPr="004F6CE6">
        <w:rPr>
          <w:i/>
          <w:sz w:val="20"/>
        </w:rPr>
        <w:t>Par valsts budžetu 2021.</w:t>
      </w:r>
      <w:r>
        <w:rPr>
          <w:i/>
          <w:sz w:val="20"/>
        </w:rPr>
        <w:t xml:space="preserve"> </w:t>
      </w:r>
      <w:r w:rsidR="009A6568" w:rsidRPr="004F6CE6">
        <w:rPr>
          <w:i/>
          <w:sz w:val="20"/>
        </w:rPr>
        <w:t>gadam”</w:t>
      </w:r>
    </w:p>
    <w:p w:rsidR="00CB1E59" w:rsidRDefault="00CB1E59" w:rsidP="00CB1E59">
      <w:pPr>
        <w:pStyle w:val="H2"/>
        <w:spacing w:before="480" w:after="240"/>
      </w:pPr>
      <w:r w:rsidRPr="00221972">
        <w:t>3.</w:t>
      </w:r>
      <w:r>
        <w:t>4</w:t>
      </w:r>
      <w:r w:rsidRPr="00221972">
        <w:t>. </w:t>
      </w:r>
      <w:r>
        <w:t>Pašu ieņēmumi un ārvalstu finanšu palīdzība</w:t>
      </w:r>
    </w:p>
    <w:p w:rsidR="004D343C" w:rsidRPr="004D343C" w:rsidRDefault="004D343C" w:rsidP="004D343C">
      <w:pPr>
        <w:rPr>
          <w:sz w:val="22"/>
        </w:rPr>
      </w:pPr>
      <w:r w:rsidRPr="004D343C">
        <w:t>Ieņēmumi no maksas pakalpojumiem un citiem pašu ieņēmumiem valsts pamat</w:t>
      </w:r>
      <w:r w:rsidRPr="004D343C">
        <w:softHyphen/>
        <w:t>budžetā 2021.</w:t>
      </w:r>
      <w:r>
        <w:t xml:space="preserve"> </w:t>
      </w:r>
      <w:r w:rsidRPr="004D343C">
        <w:t xml:space="preserve">gadā tiek plānoti 104,2 milj. </w:t>
      </w:r>
      <w:proofErr w:type="spellStart"/>
      <w:r w:rsidRPr="004D343C">
        <w:rPr>
          <w:i/>
          <w:iCs/>
        </w:rPr>
        <w:t>euro</w:t>
      </w:r>
      <w:proofErr w:type="spellEnd"/>
      <w:r w:rsidRPr="004D343C">
        <w:t xml:space="preserve"> apmērā, kas ir par 8,1 milj. </w:t>
      </w:r>
      <w:proofErr w:type="spellStart"/>
      <w:r w:rsidRPr="004D343C">
        <w:rPr>
          <w:i/>
          <w:iCs/>
        </w:rPr>
        <w:t>euro</w:t>
      </w:r>
      <w:proofErr w:type="spellEnd"/>
      <w:r w:rsidRPr="004D343C">
        <w:t xml:space="preserve"> jeb 8,5% vairāk nekā plānots 2020. gadā. 2019. gadā valsts pamatbudžetā ieņēmumi no maksas pakal</w:t>
      </w:r>
      <w:r w:rsidRPr="004D343C">
        <w:softHyphen/>
        <w:t xml:space="preserve">pojumiem un citiem pašu ieņēmumiem bija plānoti 107,3 milj. </w:t>
      </w:r>
      <w:proofErr w:type="spellStart"/>
      <w:r w:rsidRPr="004D343C">
        <w:rPr>
          <w:i/>
          <w:iCs/>
        </w:rPr>
        <w:t>euro</w:t>
      </w:r>
      <w:proofErr w:type="spellEnd"/>
      <w:r w:rsidRPr="004D343C">
        <w:t xml:space="preserve"> apmērā. Valsts speciālajā budžetā ieņēmumi no maksas pakalpojumiem un citiem pašu ieņēmumiem 2021. gadā plānoti 0,02 milj. </w:t>
      </w:r>
      <w:proofErr w:type="spellStart"/>
      <w:r w:rsidRPr="004D343C">
        <w:rPr>
          <w:i/>
          <w:iCs/>
        </w:rPr>
        <w:t>euro</w:t>
      </w:r>
      <w:proofErr w:type="spellEnd"/>
      <w:r w:rsidRPr="004D343C">
        <w:t xml:space="preserve"> apmērā, kas ir tādā pašā apmērā kā plānots 2020. gadā.</w:t>
      </w:r>
    </w:p>
    <w:p w:rsidR="004D343C" w:rsidRDefault="004D343C" w:rsidP="004D343C">
      <w:r w:rsidRPr="004D343C">
        <w:t xml:space="preserve">Valsts pamatbudžetā ieņēmumi no ārvalstu finanšu palīdzības saskaņā ar likumprojektu “Par valsts budžetu 2021. gadam” tiek plānoti 1 200,3 milj. </w:t>
      </w:r>
      <w:proofErr w:type="spellStart"/>
      <w:r w:rsidRPr="004D343C">
        <w:rPr>
          <w:i/>
          <w:iCs/>
        </w:rPr>
        <w:t>euro</w:t>
      </w:r>
      <w:proofErr w:type="spellEnd"/>
      <w:r w:rsidRPr="004D343C">
        <w:t xml:space="preserve"> apmērā, kas ir par 0,3 milj. </w:t>
      </w:r>
      <w:proofErr w:type="spellStart"/>
      <w:r w:rsidRPr="004D343C">
        <w:rPr>
          <w:i/>
          <w:iCs/>
        </w:rPr>
        <w:t>euro</w:t>
      </w:r>
      <w:proofErr w:type="spellEnd"/>
      <w:r w:rsidR="008117C3">
        <w:rPr>
          <w:i/>
          <w:iCs/>
        </w:rPr>
        <w:t xml:space="preserve"> </w:t>
      </w:r>
      <w:r w:rsidRPr="004D343C">
        <w:t xml:space="preserve">vairāk nekā plānots 2020. gadā. 2019. gadā valsts pamatbudžetā ieņēmumi no ārvalstu finanšu palīdzības bija plānoti 1125,2 milj. </w:t>
      </w:r>
      <w:proofErr w:type="spellStart"/>
      <w:r w:rsidRPr="004D343C">
        <w:rPr>
          <w:i/>
          <w:iCs/>
        </w:rPr>
        <w:t>euro</w:t>
      </w:r>
      <w:proofErr w:type="spellEnd"/>
      <w:r w:rsidRPr="004D343C">
        <w:t xml:space="preserve"> apmērā.</w:t>
      </w:r>
    </w:p>
    <w:p w:rsidR="009050B8" w:rsidRPr="00B22DC7" w:rsidRDefault="009050B8" w:rsidP="009A6568">
      <w:pPr>
        <w:spacing w:after="0"/>
        <w:ind w:firstLine="0"/>
        <w:rPr>
          <w:szCs w:val="24"/>
          <w:lang w:eastAsia="lv-LV"/>
        </w:rPr>
      </w:pPr>
    </w:p>
    <w:sectPr w:rsidR="009050B8" w:rsidRPr="00B22DC7" w:rsidSect="0051474A">
      <w:headerReference w:type="even" r:id="rId12"/>
      <w:headerReference w:type="default" r:id="rId13"/>
      <w:footerReference w:type="default" r:id="rId14"/>
      <w:pgSz w:w="11906" w:h="16838" w:code="9"/>
      <w:pgMar w:top="1418" w:right="1134" w:bottom="1134" w:left="1701" w:header="720" w:footer="720" w:gutter="0"/>
      <w:pgNumType w:start="8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5F" w:rsidRDefault="00FD425F">
      <w:r>
        <w:separator/>
      </w:r>
    </w:p>
  </w:endnote>
  <w:endnote w:type="continuationSeparator" w:id="0">
    <w:p w:rsidR="00FD425F" w:rsidRDefault="00FD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5F" w:rsidRDefault="00FD425F">
    <w:pPr>
      <w:pStyle w:val="Footer"/>
    </w:pPr>
    <w:r>
      <w:rPr>
        <w:noProof/>
      </w:rPr>
      <w:fldChar w:fldCharType="begin"/>
    </w:r>
    <w:r>
      <w:rPr>
        <w:noProof/>
      </w:rPr>
      <w:instrText xml:space="preserve"> FILENAME   \* MERGEFORMAT </w:instrText>
    </w:r>
    <w:r>
      <w:rPr>
        <w:noProof/>
      </w:rPr>
      <w:fldChar w:fldCharType="separate"/>
    </w:r>
    <w:r>
      <w:rPr>
        <w:noProof/>
      </w:rPr>
      <w:t>FMPask_3_121020_proj2021.docx</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5F" w:rsidRDefault="00FD425F">
      <w:pPr>
        <w:spacing w:after="0"/>
        <w:ind w:firstLine="0"/>
      </w:pPr>
      <w:r>
        <w:separator/>
      </w:r>
    </w:p>
  </w:footnote>
  <w:footnote w:type="continuationSeparator" w:id="0">
    <w:p w:rsidR="00FD425F" w:rsidRDefault="00FD425F">
      <w:r>
        <w:continuationSeparator/>
      </w:r>
    </w:p>
  </w:footnote>
  <w:footnote w:id="1">
    <w:p w:rsidR="00FD425F" w:rsidRDefault="00FD425F" w:rsidP="00D942CF">
      <w:pPr>
        <w:pStyle w:val="FootnoteText"/>
        <w:ind w:firstLine="0"/>
      </w:pPr>
      <w:r>
        <w:rPr>
          <w:rStyle w:val="FootnoteReference"/>
        </w:rPr>
        <w:footnoteRef/>
      </w:r>
      <w:r w:rsidRPr="003646E8">
        <w:t xml:space="preserve">Neieskaitot valsts sociālās apdrošināšanas iemaksas </w:t>
      </w:r>
      <w:proofErr w:type="spellStart"/>
      <w:r w:rsidRPr="003646E8">
        <w:t>fondēto</w:t>
      </w:r>
      <w:proofErr w:type="spellEnd"/>
      <w:r w:rsidRPr="003646E8">
        <w:t xml:space="preserve"> pensiju shēmā</w:t>
      </w:r>
      <w:r>
        <w:t xml:space="preserve"> un 3.pensiju līmenī</w:t>
      </w:r>
    </w:p>
  </w:footnote>
  <w:footnote w:id="2">
    <w:p w:rsidR="00FD425F" w:rsidRDefault="00FD425F" w:rsidP="00D4366D">
      <w:pPr>
        <w:pStyle w:val="FootnoteText"/>
        <w:ind w:firstLine="0"/>
      </w:pPr>
      <w:r>
        <w:rPr>
          <w:rStyle w:val="FootnoteReference"/>
        </w:rPr>
        <w:footnoteRef/>
      </w:r>
      <w:r>
        <w:t xml:space="preserve"> </w:t>
      </w:r>
      <w:r w:rsidRPr="00971BF3">
        <w:t xml:space="preserve">Neieskaitot valsts sociālās apdrošināšanas iemaksas </w:t>
      </w:r>
      <w:proofErr w:type="spellStart"/>
      <w:r w:rsidRPr="00971BF3">
        <w:t>fondēto</w:t>
      </w:r>
      <w:proofErr w:type="spellEnd"/>
      <w:r w:rsidRPr="00971BF3">
        <w:t xml:space="preserve"> pensiju shēmā</w:t>
      </w:r>
      <w:r>
        <w:t xml:space="preserve"> un solidaritātes nodokli pamatbudžetā</w:t>
      </w:r>
    </w:p>
  </w:footnote>
  <w:footnote w:id="3">
    <w:p w:rsidR="00FD425F" w:rsidRDefault="00FD425F" w:rsidP="009A3A0D">
      <w:pPr>
        <w:pStyle w:val="FootnoteText"/>
        <w:ind w:firstLine="0"/>
      </w:pPr>
      <w:r>
        <w:rPr>
          <w:rStyle w:val="FootnoteReference"/>
        </w:rPr>
        <w:footnoteRef/>
      </w:r>
      <w:r>
        <w:t xml:space="preserve"> </w:t>
      </w:r>
      <w:r w:rsidRPr="009A3A0D">
        <w:t xml:space="preserve">Datu avots: </w:t>
      </w:r>
      <w:r>
        <w:t>VID</w:t>
      </w:r>
    </w:p>
  </w:footnote>
  <w:footnote w:id="4">
    <w:p w:rsidR="00FD425F" w:rsidRDefault="00FD425F" w:rsidP="00B45267">
      <w:pPr>
        <w:pStyle w:val="FootnoteText"/>
        <w:ind w:firstLine="0"/>
      </w:pPr>
      <w:r>
        <w:rPr>
          <w:rStyle w:val="FootnoteReference"/>
        </w:rPr>
        <w:footnoteRef/>
      </w:r>
      <w:r>
        <w:t xml:space="preserve"> </w:t>
      </w:r>
      <w:r w:rsidRPr="00B45267">
        <w:t xml:space="preserve">Datu avots: </w:t>
      </w:r>
      <w:r>
        <w:t>VID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5F" w:rsidRDefault="00FD42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25F" w:rsidRDefault="00FD4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5F" w:rsidRDefault="00FD42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C1A">
      <w:rPr>
        <w:rStyle w:val="PageNumber"/>
        <w:noProof/>
      </w:rPr>
      <w:t>111</w:t>
    </w:r>
    <w:r>
      <w:rPr>
        <w:rStyle w:val="PageNumber"/>
      </w:rPr>
      <w:fldChar w:fldCharType="end"/>
    </w:r>
  </w:p>
  <w:p w:rsidR="00FD425F" w:rsidRDefault="00FD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B0E8C5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92136C"/>
    <w:multiLevelType w:val="hybridMultilevel"/>
    <w:tmpl w:val="786EA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E061A8"/>
    <w:multiLevelType w:val="hybridMultilevel"/>
    <w:tmpl w:val="65363EE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07B022D3"/>
    <w:multiLevelType w:val="hybridMultilevel"/>
    <w:tmpl w:val="676636F0"/>
    <w:lvl w:ilvl="0" w:tplc="E4B4502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AC9621D"/>
    <w:multiLevelType w:val="hybridMultilevel"/>
    <w:tmpl w:val="5D807A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901705"/>
    <w:multiLevelType w:val="hybridMultilevel"/>
    <w:tmpl w:val="A5C60694"/>
    <w:lvl w:ilvl="0" w:tplc="04260001">
      <w:start w:val="1"/>
      <w:numFmt w:val="bullet"/>
      <w:lvlText w:val=""/>
      <w:lvlJc w:val="left"/>
      <w:pPr>
        <w:ind w:left="1492" w:hanging="360"/>
      </w:pPr>
      <w:rPr>
        <w:rFonts w:ascii="Symbol" w:hAnsi="Symbol" w:hint="default"/>
      </w:rPr>
    </w:lvl>
    <w:lvl w:ilvl="1" w:tplc="04260003">
      <w:start w:val="1"/>
      <w:numFmt w:val="bullet"/>
      <w:lvlText w:val="o"/>
      <w:lvlJc w:val="left"/>
      <w:pPr>
        <w:ind w:left="2212" w:hanging="360"/>
      </w:pPr>
      <w:rPr>
        <w:rFonts w:ascii="Courier New" w:hAnsi="Courier New" w:cs="Courier New" w:hint="default"/>
      </w:rPr>
    </w:lvl>
    <w:lvl w:ilvl="2" w:tplc="04260005" w:tentative="1">
      <w:start w:val="1"/>
      <w:numFmt w:val="bullet"/>
      <w:lvlText w:val=""/>
      <w:lvlJc w:val="left"/>
      <w:pPr>
        <w:ind w:left="2932" w:hanging="360"/>
      </w:pPr>
      <w:rPr>
        <w:rFonts w:ascii="Wingdings" w:hAnsi="Wingdings" w:hint="default"/>
      </w:rPr>
    </w:lvl>
    <w:lvl w:ilvl="3" w:tplc="04260001" w:tentative="1">
      <w:start w:val="1"/>
      <w:numFmt w:val="bullet"/>
      <w:lvlText w:val=""/>
      <w:lvlJc w:val="left"/>
      <w:pPr>
        <w:ind w:left="3652" w:hanging="360"/>
      </w:pPr>
      <w:rPr>
        <w:rFonts w:ascii="Symbol" w:hAnsi="Symbol" w:hint="default"/>
      </w:rPr>
    </w:lvl>
    <w:lvl w:ilvl="4" w:tplc="04260003" w:tentative="1">
      <w:start w:val="1"/>
      <w:numFmt w:val="bullet"/>
      <w:lvlText w:val="o"/>
      <w:lvlJc w:val="left"/>
      <w:pPr>
        <w:ind w:left="4372" w:hanging="360"/>
      </w:pPr>
      <w:rPr>
        <w:rFonts w:ascii="Courier New" w:hAnsi="Courier New" w:cs="Courier New" w:hint="default"/>
      </w:rPr>
    </w:lvl>
    <w:lvl w:ilvl="5" w:tplc="04260005" w:tentative="1">
      <w:start w:val="1"/>
      <w:numFmt w:val="bullet"/>
      <w:lvlText w:val=""/>
      <w:lvlJc w:val="left"/>
      <w:pPr>
        <w:ind w:left="5092" w:hanging="360"/>
      </w:pPr>
      <w:rPr>
        <w:rFonts w:ascii="Wingdings" w:hAnsi="Wingdings" w:hint="default"/>
      </w:rPr>
    </w:lvl>
    <w:lvl w:ilvl="6" w:tplc="04260001" w:tentative="1">
      <w:start w:val="1"/>
      <w:numFmt w:val="bullet"/>
      <w:lvlText w:val=""/>
      <w:lvlJc w:val="left"/>
      <w:pPr>
        <w:ind w:left="5812" w:hanging="360"/>
      </w:pPr>
      <w:rPr>
        <w:rFonts w:ascii="Symbol" w:hAnsi="Symbol" w:hint="default"/>
      </w:rPr>
    </w:lvl>
    <w:lvl w:ilvl="7" w:tplc="04260003" w:tentative="1">
      <w:start w:val="1"/>
      <w:numFmt w:val="bullet"/>
      <w:lvlText w:val="o"/>
      <w:lvlJc w:val="left"/>
      <w:pPr>
        <w:ind w:left="6532" w:hanging="360"/>
      </w:pPr>
      <w:rPr>
        <w:rFonts w:ascii="Courier New" w:hAnsi="Courier New" w:cs="Courier New" w:hint="default"/>
      </w:rPr>
    </w:lvl>
    <w:lvl w:ilvl="8" w:tplc="04260005" w:tentative="1">
      <w:start w:val="1"/>
      <w:numFmt w:val="bullet"/>
      <w:lvlText w:val=""/>
      <w:lvlJc w:val="left"/>
      <w:pPr>
        <w:ind w:left="7252" w:hanging="360"/>
      </w:pPr>
      <w:rPr>
        <w:rFonts w:ascii="Wingdings" w:hAnsi="Wingdings" w:hint="default"/>
      </w:rPr>
    </w:lvl>
  </w:abstractNum>
  <w:abstractNum w:abstractNumId="6" w15:restartNumberingAfterBreak="0">
    <w:nsid w:val="19367155"/>
    <w:multiLevelType w:val="hybridMultilevel"/>
    <w:tmpl w:val="4D4824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B76165"/>
    <w:multiLevelType w:val="hybridMultilevel"/>
    <w:tmpl w:val="6ED6753A"/>
    <w:lvl w:ilvl="0" w:tplc="0426000F">
      <w:start w:val="1"/>
      <w:numFmt w:val="decimal"/>
      <w:lvlText w:val="%1."/>
      <w:lvlJc w:val="left"/>
      <w:pPr>
        <w:ind w:left="720" w:hanging="360"/>
      </w:pPr>
    </w:lvl>
    <w:lvl w:ilvl="1" w:tplc="E4B4502C">
      <w:start w:val="1"/>
      <w:numFmt w:val="bullet"/>
      <w:lvlText w:val=""/>
      <w:lvlJc w:val="left"/>
      <w:pPr>
        <w:ind w:left="1440" w:hanging="360"/>
      </w:pPr>
      <w:rPr>
        <w:rFonts w:ascii="Symbol" w:hAnsi="Symbol" w:hint="default"/>
      </w:r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724823"/>
    <w:multiLevelType w:val="hybridMultilevel"/>
    <w:tmpl w:val="62889258"/>
    <w:lvl w:ilvl="0" w:tplc="E4B4502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9" w15:restartNumberingAfterBreak="0">
    <w:nsid w:val="2BF47BF2"/>
    <w:multiLevelType w:val="hybridMultilevel"/>
    <w:tmpl w:val="9A0AE7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B10138"/>
    <w:multiLevelType w:val="hybridMultilevel"/>
    <w:tmpl w:val="FEAA81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3550CB8"/>
    <w:multiLevelType w:val="hybridMultilevel"/>
    <w:tmpl w:val="2F8C97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8F424D0"/>
    <w:multiLevelType w:val="multilevel"/>
    <w:tmpl w:val="F9AA900C"/>
    <w:lvl w:ilvl="0">
      <w:start w:val="1"/>
      <w:numFmt w:val="decimal"/>
      <w:lvlRestart w:val="0"/>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993"/>
        </w:tabs>
        <w:ind w:left="993"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3" w15:restartNumberingAfterBreak="0">
    <w:nsid w:val="3DB163C5"/>
    <w:multiLevelType w:val="hybridMultilevel"/>
    <w:tmpl w:val="7DACBF7A"/>
    <w:lvl w:ilvl="0" w:tplc="E4B4502C">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14" w15:restartNumberingAfterBreak="0">
    <w:nsid w:val="441E02BE"/>
    <w:multiLevelType w:val="hybridMultilevel"/>
    <w:tmpl w:val="FAEA7030"/>
    <w:lvl w:ilvl="0" w:tplc="0426000F">
      <w:start w:val="1"/>
      <w:numFmt w:val="decimal"/>
      <w:lvlText w:val="%1."/>
      <w:lvlJc w:val="left"/>
      <w:pPr>
        <w:ind w:left="502" w:hanging="360"/>
      </w:pPr>
    </w:lvl>
    <w:lvl w:ilvl="1" w:tplc="04090001">
      <w:start w:val="1"/>
      <w:numFmt w:val="bullet"/>
      <w:lvlText w:val=""/>
      <w:lvlJc w:val="left"/>
      <w:pPr>
        <w:ind w:left="1222" w:hanging="360"/>
      </w:pPr>
      <w:rPr>
        <w:rFonts w:ascii="Symbol" w:hAnsi="Symbol" w:hint="default"/>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4C785AAD"/>
    <w:multiLevelType w:val="hybridMultilevel"/>
    <w:tmpl w:val="C5FCFEC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4E4F043A"/>
    <w:multiLevelType w:val="hybridMultilevel"/>
    <w:tmpl w:val="967ED9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5D525A2"/>
    <w:multiLevelType w:val="hybridMultilevel"/>
    <w:tmpl w:val="D21894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77A1AD3"/>
    <w:multiLevelType w:val="hybridMultilevel"/>
    <w:tmpl w:val="73609FF0"/>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5BA33C92"/>
    <w:multiLevelType w:val="hybridMultilevel"/>
    <w:tmpl w:val="D36440A8"/>
    <w:lvl w:ilvl="0" w:tplc="0426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58509D"/>
    <w:multiLevelType w:val="hybridMultilevel"/>
    <w:tmpl w:val="BDB41882"/>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1" w15:restartNumberingAfterBreak="0">
    <w:nsid w:val="5DC517B8"/>
    <w:multiLevelType w:val="hybridMultilevel"/>
    <w:tmpl w:val="5712C56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6133233B"/>
    <w:multiLevelType w:val="hybridMultilevel"/>
    <w:tmpl w:val="C97ACD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2AB0F79"/>
    <w:multiLevelType w:val="hybridMultilevel"/>
    <w:tmpl w:val="981E48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501CD5"/>
    <w:multiLevelType w:val="hybridMultilevel"/>
    <w:tmpl w:val="8D465C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4804FF6"/>
    <w:multiLevelType w:val="hybridMultilevel"/>
    <w:tmpl w:val="B01E1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4851F8B"/>
    <w:multiLevelType w:val="hybridMultilevel"/>
    <w:tmpl w:val="7BAE599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66F20C52"/>
    <w:multiLevelType w:val="hybridMultilevel"/>
    <w:tmpl w:val="BE24F9A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B461BC5"/>
    <w:multiLevelType w:val="hybridMultilevel"/>
    <w:tmpl w:val="F4586B44"/>
    <w:lvl w:ilvl="0" w:tplc="04260001">
      <w:start w:val="1"/>
      <w:numFmt w:val="bullet"/>
      <w:lvlText w:val=""/>
      <w:lvlJc w:val="left"/>
      <w:pPr>
        <w:ind w:left="2149" w:hanging="360"/>
      </w:pPr>
      <w:rPr>
        <w:rFonts w:ascii="Symbol" w:hAnsi="Symbol"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29" w15:restartNumberingAfterBreak="0">
    <w:nsid w:val="6DB045E8"/>
    <w:multiLevelType w:val="hybridMultilevel"/>
    <w:tmpl w:val="36B885BE"/>
    <w:lvl w:ilvl="0" w:tplc="04260005">
      <w:start w:val="1"/>
      <w:numFmt w:val="bullet"/>
      <w:lvlText w:val=""/>
      <w:lvlJc w:val="left"/>
      <w:pPr>
        <w:ind w:left="3240" w:hanging="360"/>
      </w:pPr>
      <w:rPr>
        <w:rFonts w:ascii="Wingdings" w:hAnsi="Wingdings"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30" w15:restartNumberingAfterBreak="0">
    <w:nsid w:val="6E5802BF"/>
    <w:multiLevelType w:val="hybridMultilevel"/>
    <w:tmpl w:val="157A3D22"/>
    <w:lvl w:ilvl="0" w:tplc="04260001">
      <w:start w:val="1"/>
      <w:numFmt w:val="bullet"/>
      <w:lvlText w:val=""/>
      <w:lvlJc w:val="left"/>
      <w:pPr>
        <w:ind w:left="1353" w:hanging="360"/>
      </w:pPr>
      <w:rPr>
        <w:rFonts w:ascii="Symbol" w:hAnsi="Symbol" w:hint="default"/>
      </w:rPr>
    </w:lvl>
    <w:lvl w:ilvl="1" w:tplc="04090001">
      <w:start w:val="1"/>
      <w:numFmt w:val="bullet"/>
      <w:lvlText w:val=""/>
      <w:lvlJc w:val="left"/>
      <w:pPr>
        <w:ind w:left="2073" w:hanging="360"/>
      </w:pPr>
      <w:rPr>
        <w:rFonts w:ascii="Symbol" w:hAnsi="Symbol" w:hint="default"/>
      </w:rPr>
    </w:lvl>
    <w:lvl w:ilvl="2" w:tplc="0426001B">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1" w15:restartNumberingAfterBreak="0">
    <w:nsid w:val="76434936"/>
    <w:multiLevelType w:val="hybridMultilevel"/>
    <w:tmpl w:val="E770645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E4B4502C">
      <w:start w:val="1"/>
      <w:numFmt w:val="bullet"/>
      <w:lvlText w:val=""/>
      <w:lvlJc w:val="left"/>
      <w:pPr>
        <w:ind w:left="2869" w:hanging="360"/>
      </w:pPr>
      <w:rPr>
        <w:rFonts w:ascii="Symbol" w:hAnsi="Symbol"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0"/>
  </w:num>
  <w:num w:numId="2">
    <w:abstractNumId w:val="12"/>
  </w:num>
  <w:num w:numId="3">
    <w:abstractNumId w:val="11"/>
  </w:num>
  <w:num w:numId="4">
    <w:abstractNumId w:val="7"/>
  </w:num>
  <w:num w:numId="5">
    <w:abstractNumId w:val="14"/>
  </w:num>
  <w:num w:numId="6">
    <w:abstractNumId w:val="19"/>
  </w:num>
  <w:num w:numId="7">
    <w:abstractNumId w:val="28"/>
  </w:num>
  <w:num w:numId="8">
    <w:abstractNumId w:val="23"/>
  </w:num>
  <w:num w:numId="9">
    <w:abstractNumId w:val="30"/>
  </w:num>
  <w:num w:numId="10">
    <w:abstractNumId w:val="17"/>
  </w:num>
  <w:num w:numId="11">
    <w:abstractNumId w:val="27"/>
  </w:num>
  <w:num w:numId="12">
    <w:abstractNumId w:val="15"/>
  </w:num>
  <w:num w:numId="13">
    <w:abstractNumId w:val="21"/>
  </w:num>
  <w:num w:numId="14">
    <w:abstractNumId w:val="6"/>
  </w:num>
  <w:num w:numId="15">
    <w:abstractNumId w:val="25"/>
  </w:num>
  <w:num w:numId="16">
    <w:abstractNumId w:val="5"/>
  </w:num>
  <w:num w:numId="17">
    <w:abstractNumId w:val="20"/>
  </w:num>
  <w:num w:numId="18">
    <w:abstractNumId w:val="2"/>
  </w:num>
  <w:num w:numId="19">
    <w:abstractNumId w:val="13"/>
  </w:num>
  <w:num w:numId="20">
    <w:abstractNumId w:val="26"/>
  </w:num>
  <w:num w:numId="21">
    <w:abstractNumId w:val="3"/>
  </w:num>
  <w:num w:numId="22">
    <w:abstractNumId w:val="31"/>
  </w:num>
  <w:num w:numId="23">
    <w:abstractNumId w:val="10"/>
  </w:num>
  <w:num w:numId="24">
    <w:abstractNumId w:val="29"/>
  </w:num>
  <w:num w:numId="25">
    <w:abstractNumId w:val="18"/>
  </w:num>
  <w:num w:numId="26">
    <w:abstractNumId w:val="8"/>
  </w:num>
  <w:num w:numId="27">
    <w:abstractNumId w:val="22"/>
  </w:num>
  <w:num w:numId="28">
    <w:abstractNumId w:val="4"/>
  </w:num>
  <w:num w:numId="29">
    <w:abstractNumId w:val="24"/>
  </w:num>
  <w:num w:numId="30">
    <w:abstractNumId w:val="9"/>
  </w:num>
  <w:num w:numId="31">
    <w:abstractNumId w:val="1"/>
  </w:num>
  <w:num w:numId="3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30"/>
    <w:rsid w:val="000032F9"/>
    <w:rsid w:val="0000456B"/>
    <w:rsid w:val="000054CA"/>
    <w:rsid w:val="00007E7C"/>
    <w:rsid w:val="0001023C"/>
    <w:rsid w:val="00010A2D"/>
    <w:rsid w:val="000111DB"/>
    <w:rsid w:val="00012F4C"/>
    <w:rsid w:val="000131E6"/>
    <w:rsid w:val="0001566D"/>
    <w:rsid w:val="00015EC4"/>
    <w:rsid w:val="00016387"/>
    <w:rsid w:val="0001758A"/>
    <w:rsid w:val="00020AF9"/>
    <w:rsid w:val="000211A7"/>
    <w:rsid w:val="00023AA5"/>
    <w:rsid w:val="00023E67"/>
    <w:rsid w:val="00024DB2"/>
    <w:rsid w:val="0002517C"/>
    <w:rsid w:val="000257CF"/>
    <w:rsid w:val="00025D96"/>
    <w:rsid w:val="0002736D"/>
    <w:rsid w:val="00027B32"/>
    <w:rsid w:val="0003387D"/>
    <w:rsid w:val="0003393A"/>
    <w:rsid w:val="0003416A"/>
    <w:rsid w:val="000344B6"/>
    <w:rsid w:val="00034E58"/>
    <w:rsid w:val="0003659B"/>
    <w:rsid w:val="00037310"/>
    <w:rsid w:val="0003754A"/>
    <w:rsid w:val="00037934"/>
    <w:rsid w:val="00037B5B"/>
    <w:rsid w:val="00037DE3"/>
    <w:rsid w:val="0004396C"/>
    <w:rsid w:val="00045B8E"/>
    <w:rsid w:val="00045BC3"/>
    <w:rsid w:val="000465A8"/>
    <w:rsid w:val="00046B09"/>
    <w:rsid w:val="0005035D"/>
    <w:rsid w:val="00051347"/>
    <w:rsid w:val="0005140A"/>
    <w:rsid w:val="0005799F"/>
    <w:rsid w:val="00057BBE"/>
    <w:rsid w:val="0006275A"/>
    <w:rsid w:val="00063D03"/>
    <w:rsid w:val="00064CA5"/>
    <w:rsid w:val="0006575C"/>
    <w:rsid w:val="00067C37"/>
    <w:rsid w:val="00067E82"/>
    <w:rsid w:val="00071FEE"/>
    <w:rsid w:val="000727DF"/>
    <w:rsid w:val="00072E67"/>
    <w:rsid w:val="00073C0D"/>
    <w:rsid w:val="0007513B"/>
    <w:rsid w:val="0007634C"/>
    <w:rsid w:val="00076E2F"/>
    <w:rsid w:val="00076FCD"/>
    <w:rsid w:val="00077B61"/>
    <w:rsid w:val="00077C11"/>
    <w:rsid w:val="00080810"/>
    <w:rsid w:val="00080CA8"/>
    <w:rsid w:val="00081CDD"/>
    <w:rsid w:val="00082445"/>
    <w:rsid w:val="000827B0"/>
    <w:rsid w:val="00082B05"/>
    <w:rsid w:val="00082C89"/>
    <w:rsid w:val="00083BB1"/>
    <w:rsid w:val="000844D4"/>
    <w:rsid w:val="00084502"/>
    <w:rsid w:val="00084769"/>
    <w:rsid w:val="000850B6"/>
    <w:rsid w:val="0008563B"/>
    <w:rsid w:val="00085E91"/>
    <w:rsid w:val="00087E9C"/>
    <w:rsid w:val="00091A13"/>
    <w:rsid w:val="00092847"/>
    <w:rsid w:val="00092E9B"/>
    <w:rsid w:val="00093083"/>
    <w:rsid w:val="0009321A"/>
    <w:rsid w:val="00093EA1"/>
    <w:rsid w:val="00094244"/>
    <w:rsid w:val="00094F7F"/>
    <w:rsid w:val="00096476"/>
    <w:rsid w:val="00097608"/>
    <w:rsid w:val="00097FD5"/>
    <w:rsid w:val="00097FD6"/>
    <w:rsid w:val="000A0219"/>
    <w:rsid w:val="000A0354"/>
    <w:rsid w:val="000A0CDF"/>
    <w:rsid w:val="000A1AF5"/>
    <w:rsid w:val="000A3149"/>
    <w:rsid w:val="000A4FCA"/>
    <w:rsid w:val="000A6071"/>
    <w:rsid w:val="000B1569"/>
    <w:rsid w:val="000B1889"/>
    <w:rsid w:val="000B2691"/>
    <w:rsid w:val="000B3114"/>
    <w:rsid w:val="000B38B4"/>
    <w:rsid w:val="000B4789"/>
    <w:rsid w:val="000B48C8"/>
    <w:rsid w:val="000B4FAC"/>
    <w:rsid w:val="000C138B"/>
    <w:rsid w:val="000C22AC"/>
    <w:rsid w:val="000C4AFC"/>
    <w:rsid w:val="000C5E95"/>
    <w:rsid w:val="000D15C1"/>
    <w:rsid w:val="000D4264"/>
    <w:rsid w:val="000D4F16"/>
    <w:rsid w:val="000D53BB"/>
    <w:rsid w:val="000D5E82"/>
    <w:rsid w:val="000D6D46"/>
    <w:rsid w:val="000D7E4A"/>
    <w:rsid w:val="000D7FAD"/>
    <w:rsid w:val="000E0219"/>
    <w:rsid w:val="000E0923"/>
    <w:rsid w:val="000E0F12"/>
    <w:rsid w:val="000E22A3"/>
    <w:rsid w:val="000E2B04"/>
    <w:rsid w:val="000E3659"/>
    <w:rsid w:val="000E36BE"/>
    <w:rsid w:val="000E57FF"/>
    <w:rsid w:val="000E644C"/>
    <w:rsid w:val="000E645D"/>
    <w:rsid w:val="000E754B"/>
    <w:rsid w:val="000F0B33"/>
    <w:rsid w:val="000F2B21"/>
    <w:rsid w:val="000F36B2"/>
    <w:rsid w:val="000F4C77"/>
    <w:rsid w:val="000F5C9D"/>
    <w:rsid w:val="000F6EF7"/>
    <w:rsid w:val="000F786C"/>
    <w:rsid w:val="00100942"/>
    <w:rsid w:val="001067C7"/>
    <w:rsid w:val="00107AD5"/>
    <w:rsid w:val="00110B6F"/>
    <w:rsid w:val="00112A62"/>
    <w:rsid w:val="00113DDF"/>
    <w:rsid w:val="0011490E"/>
    <w:rsid w:val="001150D3"/>
    <w:rsid w:val="001151BB"/>
    <w:rsid w:val="00115C65"/>
    <w:rsid w:val="00115D4C"/>
    <w:rsid w:val="00117A2D"/>
    <w:rsid w:val="0012038D"/>
    <w:rsid w:val="001206FC"/>
    <w:rsid w:val="00121617"/>
    <w:rsid w:val="00121FDE"/>
    <w:rsid w:val="00123530"/>
    <w:rsid w:val="00124CB1"/>
    <w:rsid w:val="00124D4D"/>
    <w:rsid w:val="00126204"/>
    <w:rsid w:val="00126AB3"/>
    <w:rsid w:val="00131B9B"/>
    <w:rsid w:val="00132204"/>
    <w:rsid w:val="00133081"/>
    <w:rsid w:val="001330BD"/>
    <w:rsid w:val="001332D4"/>
    <w:rsid w:val="00136631"/>
    <w:rsid w:val="001379CC"/>
    <w:rsid w:val="00140146"/>
    <w:rsid w:val="00141B52"/>
    <w:rsid w:val="00142404"/>
    <w:rsid w:val="00145604"/>
    <w:rsid w:val="00145FF2"/>
    <w:rsid w:val="00146437"/>
    <w:rsid w:val="00146442"/>
    <w:rsid w:val="00151AD6"/>
    <w:rsid w:val="001523DB"/>
    <w:rsid w:val="00156711"/>
    <w:rsid w:val="00156872"/>
    <w:rsid w:val="00157BA8"/>
    <w:rsid w:val="00160AD6"/>
    <w:rsid w:val="00160C89"/>
    <w:rsid w:val="00160CDB"/>
    <w:rsid w:val="00160E65"/>
    <w:rsid w:val="00161011"/>
    <w:rsid w:val="0016356C"/>
    <w:rsid w:val="00163B9B"/>
    <w:rsid w:val="001644C2"/>
    <w:rsid w:val="001649A6"/>
    <w:rsid w:val="00164ACF"/>
    <w:rsid w:val="00164DAD"/>
    <w:rsid w:val="001650A5"/>
    <w:rsid w:val="001650C7"/>
    <w:rsid w:val="00165337"/>
    <w:rsid w:val="001654F8"/>
    <w:rsid w:val="00166DB5"/>
    <w:rsid w:val="001768BF"/>
    <w:rsid w:val="00177066"/>
    <w:rsid w:val="001778AE"/>
    <w:rsid w:val="00177E63"/>
    <w:rsid w:val="00180844"/>
    <w:rsid w:val="001822C9"/>
    <w:rsid w:val="0018264B"/>
    <w:rsid w:val="00185947"/>
    <w:rsid w:val="00185F50"/>
    <w:rsid w:val="00190B7A"/>
    <w:rsid w:val="00191056"/>
    <w:rsid w:val="001919FE"/>
    <w:rsid w:val="00191BF5"/>
    <w:rsid w:val="00191F84"/>
    <w:rsid w:val="0019542B"/>
    <w:rsid w:val="0019558D"/>
    <w:rsid w:val="0019781A"/>
    <w:rsid w:val="00197BCB"/>
    <w:rsid w:val="00197C99"/>
    <w:rsid w:val="001A136A"/>
    <w:rsid w:val="001A1BD6"/>
    <w:rsid w:val="001A2620"/>
    <w:rsid w:val="001A2B2A"/>
    <w:rsid w:val="001A3045"/>
    <w:rsid w:val="001A3BC3"/>
    <w:rsid w:val="001A6FF1"/>
    <w:rsid w:val="001B052B"/>
    <w:rsid w:val="001B220C"/>
    <w:rsid w:val="001B2621"/>
    <w:rsid w:val="001B3691"/>
    <w:rsid w:val="001B5437"/>
    <w:rsid w:val="001B6103"/>
    <w:rsid w:val="001B690C"/>
    <w:rsid w:val="001B73B0"/>
    <w:rsid w:val="001C010D"/>
    <w:rsid w:val="001C0406"/>
    <w:rsid w:val="001C125C"/>
    <w:rsid w:val="001C1AB2"/>
    <w:rsid w:val="001C76FF"/>
    <w:rsid w:val="001D0218"/>
    <w:rsid w:val="001D0489"/>
    <w:rsid w:val="001D2F9E"/>
    <w:rsid w:val="001D36DC"/>
    <w:rsid w:val="001D3AD6"/>
    <w:rsid w:val="001D5ED2"/>
    <w:rsid w:val="001D64C1"/>
    <w:rsid w:val="001D6E9C"/>
    <w:rsid w:val="001E0980"/>
    <w:rsid w:val="001E2774"/>
    <w:rsid w:val="001E28E7"/>
    <w:rsid w:val="001E4E40"/>
    <w:rsid w:val="001E6587"/>
    <w:rsid w:val="001E6B39"/>
    <w:rsid w:val="001E6E3A"/>
    <w:rsid w:val="001F044B"/>
    <w:rsid w:val="001F1606"/>
    <w:rsid w:val="001F184B"/>
    <w:rsid w:val="001F288F"/>
    <w:rsid w:val="001F490E"/>
    <w:rsid w:val="001F61E9"/>
    <w:rsid w:val="001F695F"/>
    <w:rsid w:val="00201EA2"/>
    <w:rsid w:val="00202456"/>
    <w:rsid w:val="0020355A"/>
    <w:rsid w:val="00203E87"/>
    <w:rsid w:val="0020443A"/>
    <w:rsid w:val="002051B0"/>
    <w:rsid w:val="00205271"/>
    <w:rsid w:val="0020597E"/>
    <w:rsid w:val="0020736B"/>
    <w:rsid w:val="00207C67"/>
    <w:rsid w:val="00207E07"/>
    <w:rsid w:val="00210C40"/>
    <w:rsid w:val="0021144B"/>
    <w:rsid w:val="00211BD0"/>
    <w:rsid w:val="0021226E"/>
    <w:rsid w:val="0021395A"/>
    <w:rsid w:val="002139E1"/>
    <w:rsid w:val="0021422C"/>
    <w:rsid w:val="00214C4A"/>
    <w:rsid w:val="00216D0E"/>
    <w:rsid w:val="00217C06"/>
    <w:rsid w:val="00220118"/>
    <w:rsid w:val="002203E8"/>
    <w:rsid w:val="00221972"/>
    <w:rsid w:val="0022229F"/>
    <w:rsid w:val="002230AF"/>
    <w:rsid w:val="002235E8"/>
    <w:rsid w:val="00223890"/>
    <w:rsid w:val="002243A4"/>
    <w:rsid w:val="00224CE0"/>
    <w:rsid w:val="00225E79"/>
    <w:rsid w:val="002272BC"/>
    <w:rsid w:val="00227F4A"/>
    <w:rsid w:val="0023223E"/>
    <w:rsid w:val="00232B8D"/>
    <w:rsid w:val="002332D2"/>
    <w:rsid w:val="0023363A"/>
    <w:rsid w:val="00234179"/>
    <w:rsid w:val="00235E7E"/>
    <w:rsid w:val="00237CCD"/>
    <w:rsid w:val="002403D9"/>
    <w:rsid w:val="00240754"/>
    <w:rsid w:val="00240F9D"/>
    <w:rsid w:val="002410D4"/>
    <w:rsid w:val="00241293"/>
    <w:rsid w:val="00241517"/>
    <w:rsid w:val="002419DF"/>
    <w:rsid w:val="002423DE"/>
    <w:rsid w:val="00242A74"/>
    <w:rsid w:val="00243758"/>
    <w:rsid w:val="00243C25"/>
    <w:rsid w:val="00243DE6"/>
    <w:rsid w:val="00244B52"/>
    <w:rsid w:val="00245058"/>
    <w:rsid w:val="00245142"/>
    <w:rsid w:val="002453F9"/>
    <w:rsid w:val="00245B80"/>
    <w:rsid w:val="0024608F"/>
    <w:rsid w:val="00246FB5"/>
    <w:rsid w:val="002472F5"/>
    <w:rsid w:val="002507A7"/>
    <w:rsid w:val="00254992"/>
    <w:rsid w:val="0025503C"/>
    <w:rsid w:val="002551EB"/>
    <w:rsid w:val="0025582D"/>
    <w:rsid w:val="00255990"/>
    <w:rsid w:val="00255DF2"/>
    <w:rsid w:val="00260BEF"/>
    <w:rsid w:val="002628FA"/>
    <w:rsid w:val="00262FD4"/>
    <w:rsid w:val="002644A3"/>
    <w:rsid w:val="002663E5"/>
    <w:rsid w:val="00267A6A"/>
    <w:rsid w:val="002701BD"/>
    <w:rsid w:val="002705B1"/>
    <w:rsid w:val="002706C0"/>
    <w:rsid w:val="00270732"/>
    <w:rsid w:val="00270A30"/>
    <w:rsid w:val="00271743"/>
    <w:rsid w:val="00271D7A"/>
    <w:rsid w:val="00272178"/>
    <w:rsid w:val="00272A11"/>
    <w:rsid w:val="002736D4"/>
    <w:rsid w:val="0027426F"/>
    <w:rsid w:val="0027465E"/>
    <w:rsid w:val="00275C1A"/>
    <w:rsid w:val="00275D92"/>
    <w:rsid w:val="002772E6"/>
    <w:rsid w:val="00277D1C"/>
    <w:rsid w:val="002806FA"/>
    <w:rsid w:val="00280782"/>
    <w:rsid w:val="00280E62"/>
    <w:rsid w:val="0028126F"/>
    <w:rsid w:val="00283237"/>
    <w:rsid w:val="00283ADE"/>
    <w:rsid w:val="00286AAD"/>
    <w:rsid w:val="00287761"/>
    <w:rsid w:val="002904FB"/>
    <w:rsid w:val="0029219E"/>
    <w:rsid w:val="00292D10"/>
    <w:rsid w:val="0029740C"/>
    <w:rsid w:val="002975B2"/>
    <w:rsid w:val="002A0739"/>
    <w:rsid w:val="002A0C2C"/>
    <w:rsid w:val="002A1321"/>
    <w:rsid w:val="002A26FE"/>
    <w:rsid w:val="002A3801"/>
    <w:rsid w:val="002A3A6D"/>
    <w:rsid w:val="002A48B2"/>
    <w:rsid w:val="002A60D8"/>
    <w:rsid w:val="002A6A1B"/>
    <w:rsid w:val="002A723E"/>
    <w:rsid w:val="002B0C90"/>
    <w:rsid w:val="002B1239"/>
    <w:rsid w:val="002B19CE"/>
    <w:rsid w:val="002B3A88"/>
    <w:rsid w:val="002B3AA8"/>
    <w:rsid w:val="002B3B28"/>
    <w:rsid w:val="002B3CD5"/>
    <w:rsid w:val="002B4721"/>
    <w:rsid w:val="002B5338"/>
    <w:rsid w:val="002B6DB7"/>
    <w:rsid w:val="002B70DD"/>
    <w:rsid w:val="002B7837"/>
    <w:rsid w:val="002B7AB1"/>
    <w:rsid w:val="002B7BA8"/>
    <w:rsid w:val="002C0719"/>
    <w:rsid w:val="002C1B2D"/>
    <w:rsid w:val="002C3958"/>
    <w:rsid w:val="002C42FC"/>
    <w:rsid w:val="002C4E73"/>
    <w:rsid w:val="002C566B"/>
    <w:rsid w:val="002C7BB6"/>
    <w:rsid w:val="002C7F61"/>
    <w:rsid w:val="002D05CF"/>
    <w:rsid w:val="002D0BB4"/>
    <w:rsid w:val="002D0DB4"/>
    <w:rsid w:val="002D110C"/>
    <w:rsid w:val="002D2295"/>
    <w:rsid w:val="002D2BA8"/>
    <w:rsid w:val="002D44BC"/>
    <w:rsid w:val="002D477D"/>
    <w:rsid w:val="002D49E1"/>
    <w:rsid w:val="002D5497"/>
    <w:rsid w:val="002D6623"/>
    <w:rsid w:val="002E0855"/>
    <w:rsid w:val="002E3685"/>
    <w:rsid w:val="002E5422"/>
    <w:rsid w:val="002E56F7"/>
    <w:rsid w:val="002E61B4"/>
    <w:rsid w:val="002E640C"/>
    <w:rsid w:val="002E6A97"/>
    <w:rsid w:val="002E7B7D"/>
    <w:rsid w:val="002F0117"/>
    <w:rsid w:val="002F16B2"/>
    <w:rsid w:val="002F28C5"/>
    <w:rsid w:val="002F2CB5"/>
    <w:rsid w:val="002F3E25"/>
    <w:rsid w:val="002F60A5"/>
    <w:rsid w:val="002F6AE1"/>
    <w:rsid w:val="00300A70"/>
    <w:rsid w:val="003019FF"/>
    <w:rsid w:val="00304776"/>
    <w:rsid w:val="00304E0E"/>
    <w:rsid w:val="00304E94"/>
    <w:rsid w:val="00307828"/>
    <w:rsid w:val="00310160"/>
    <w:rsid w:val="00312A64"/>
    <w:rsid w:val="00313181"/>
    <w:rsid w:val="00313DD9"/>
    <w:rsid w:val="003149ED"/>
    <w:rsid w:val="00314E40"/>
    <w:rsid w:val="0031552D"/>
    <w:rsid w:val="003157DC"/>
    <w:rsid w:val="003216C5"/>
    <w:rsid w:val="00322541"/>
    <w:rsid w:val="00323C4F"/>
    <w:rsid w:val="0032441E"/>
    <w:rsid w:val="00324617"/>
    <w:rsid w:val="003249E3"/>
    <w:rsid w:val="00324D50"/>
    <w:rsid w:val="00326BFF"/>
    <w:rsid w:val="00327C0A"/>
    <w:rsid w:val="00330134"/>
    <w:rsid w:val="0033016A"/>
    <w:rsid w:val="00332C37"/>
    <w:rsid w:val="0033303D"/>
    <w:rsid w:val="00333912"/>
    <w:rsid w:val="0033466A"/>
    <w:rsid w:val="00334E86"/>
    <w:rsid w:val="003356F2"/>
    <w:rsid w:val="00336515"/>
    <w:rsid w:val="0033700F"/>
    <w:rsid w:val="003378C4"/>
    <w:rsid w:val="0034012E"/>
    <w:rsid w:val="00340D71"/>
    <w:rsid w:val="00342166"/>
    <w:rsid w:val="00342770"/>
    <w:rsid w:val="00342D72"/>
    <w:rsid w:val="00343AE0"/>
    <w:rsid w:val="0034515E"/>
    <w:rsid w:val="00346146"/>
    <w:rsid w:val="0034625C"/>
    <w:rsid w:val="00347216"/>
    <w:rsid w:val="003478F8"/>
    <w:rsid w:val="00347A9F"/>
    <w:rsid w:val="003522AC"/>
    <w:rsid w:val="00352BC3"/>
    <w:rsid w:val="003537A6"/>
    <w:rsid w:val="00354835"/>
    <w:rsid w:val="00357D51"/>
    <w:rsid w:val="00360AC9"/>
    <w:rsid w:val="0036106C"/>
    <w:rsid w:val="003613E3"/>
    <w:rsid w:val="003616FD"/>
    <w:rsid w:val="003630DB"/>
    <w:rsid w:val="003646E8"/>
    <w:rsid w:val="0036575A"/>
    <w:rsid w:val="00366161"/>
    <w:rsid w:val="00366DD4"/>
    <w:rsid w:val="003705A8"/>
    <w:rsid w:val="00371BD7"/>
    <w:rsid w:val="0037215D"/>
    <w:rsid w:val="00373FD4"/>
    <w:rsid w:val="003758BC"/>
    <w:rsid w:val="003777C2"/>
    <w:rsid w:val="00377EC1"/>
    <w:rsid w:val="003812F9"/>
    <w:rsid w:val="00383A47"/>
    <w:rsid w:val="00383ADD"/>
    <w:rsid w:val="00385DE8"/>
    <w:rsid w:val="00390736"/>
    <w:rsid w:val="00390F7D"/>
    <w:rsid w:val="00391AD1"/>
    <w:rsid w:val="00391C79"/>
    <w:rsid w:val="0039287B"/>
    <w:rsid w:val="00393757"/>
    <w:rsid w:val="00395B25"/>
    <w:rsid w:val="0039691A"/>
    <w:rsid w:val="0039799E"/>
    <w:rsid w:val="003A0238"/>
    <w:rsid w:val="003A178B"/>
    <w:rsid w:val="003A2385"/>
    <w:rsid w:val="003A29A1"/>
    <w:rsid w:val="003A2D6C"/>
    <w:rsid w:val="003A3700"/>
    <w:rsid w:val="003A3B85"/>
    <w:rsid w:val="003A40FF"/>
    <w:rsid w:val="003A44E3"/>
    <w:rsid w:val="003A6565"/>
    <w:rsid w:val="003A66E8"/>
    <w:rsid w:val="003A71F5"/>
    <w:rsid w:val="003A7534"/>
    <w:rsid w:val="003A78CA"/>
    <w:rsid w:val="003B1EB3"/>
    <w:rsid w:val="003B2B59"/>
    <w:rsid w:val="003B3529"/>
    <w:rsid w:val="003B463A"/>
    <w:rsid w:val="003B4E1C"/>
    <w:rsid w:val="003B57C4"/>
    <w:rsid w:val="003B6A51"/>
    <w:rsid w:val="003C1652"/>
    <w:rsid w:val="003C2F79"/>
    <w:rsid w:val="003C3991"/>
    <w:rsid w:val="003C53FF"/>
    <w:rsid w:val="003C543F"/>
    <w:rsid w:val="003C5A8E"/>
    <w:rsid w:val="003C5B68"/>
    <w:rsid w:val="003C61E4"/>
    <w:rsid w:val="003C7E4D"/>
    <w:rsid w:val="003D0A79"/>
    <w:rsid w:val="003D10CF"/>
    <w:rsid w:val="003D1C3C"/>
    <w:rsid w:val="003D29A3"/>
    <w:rsid w:val="003D2C8B"/>
    <w:rsid w:val="003D3226"/>
    <w:rsid w:val="003D38D9"/>
    <w:rsid w:val="003D4F88"/>
    <w:rsid w:val="003D548A"/>
    <w:rsid w:val="003D6D37"/>
    <w:rsid w:val="003E08E5"/>
    <w:rsid w:val="003E09B3"/>
    <w:rsid w:val="003E240D"/>
    <w:rsid w:val="003E3A93"/>
    <w:rsid w:val="003E4486"/>
    <w:rsid w:val="003E5783"/>
    <w:rsid w:val="003E59C0"/>
    <w:rsid w:val="003E6137"/>
    <w:rsid w:val="003E627F"/>
    <w:rsid w:val="003F17E3"/>
    <w:rsid w:val="003F19AA"/>
    <w:rsid w:val="003F1DC9"/>
    <w:rsid w:val="003F21B7"/>
    <w:rsid w:val="003F22A8"/>
    <w:rsid w:val="003F23EB"/>
    <w:rsid w:val="003F2A09"/>
    <w:rsid w:val="003F3040"/>
    <w:rsid w:val="003F348B"/>
    <w:rsid w:val="003F3A34"/>
    <w:rsid w:val="003F496D"/>
    <w:rsid w:val="003F4F71"/>
    <w:rsid w:val="003F598C"/>
    <w:rsid w:val="003F5C05"/>
    <w:rsid w:val="003F6711"/>
    <w:rsid w:val="003F68C6"/>
    <w:rsid w:val="003F69F0"/>
    <w:rsid w:val="003F76EF"/>
    <w:rsid w:val="003F772B"/>
    <w:rsid w:val="00402094"/>
    <w:rsid w:val="004028D3"/>
    <w:rsid w:val="004031B1"/>
    <w:rsid w:val="00403360"/>
    <w:rsid w:val="00403B6D"/>
    <w:rsid w:val="00403F4F"/>
    <w:rsid w:val="00404BE5"/>
    <w:rsid w:val="00404FBC"/>
    <w:rsid w:val="00405B13"/>
    <w:rsid w:val="00406105"/>
    <w:rsid w:val="00406A14"/>
    <w:rsid w:val="00406A80"/>
    <w:rsid w:val="0040765C"/>
    <w:rsid w:val="004076F9"/>
    <w:rsid w:val="0041020C"/>
    <w:rsid w:val="00410CE6"/>
    <w:rsid w:val="00410FF6"/>
    <w:rsid w:val="004117F1"/>
    <w:rsid w:val="00412F14"/>
    <w:rsid w:val="004136EC"/>
    <w:rsid w:val="00414491"/>
    <w:rsid w:val="004149F4"/>
    <w:rsid w:val="00414CE3"/>
    <w:rsid w:val="00414D8F"/>
    <w:rsid w:val="00414E00"/>
    <w:rsid w:val="00414EC0"/>
    <w:rsid w:val="004159E6"/>
    <w:rsid w:val="00416339"/>
    <w:rsid w:val="004170CA"/>
    <w:rsid w:val="00421DF3"/>
    <w:rsid w:val="0042205B"/>
    <w:rsid w:val="004222D4"/>
    <w:rsid w:val="00424B5A"/>
    <w:rsid w:val="004261A9"/>
    <w:rsid w:val="004262CA"/>
    <w:rsid w:val="00426AE6"/>
    <w:rsid w:val="00430C0B"/>
    <w:rsid w:val="00431AA8"/>
    <w:rsid w:val="0043279A"/>
    <w:rsid w:val="004331F7"/>
    <w:rsid w:val="00433F6C"/>
    <w:rsid w:val="0043537C"/>
    <w:rsid w:val="004375F8"/>
    <w:rsid w:val="00437B33"/>
    <w:rsid w:val="00437C3A"/>
    <w:rsid w:val="00437E81"/>
    <w:rsid w:val="00440141"/>
    <w:rsid w:val="004409CD"/>
    <w:rsid w:val="00442F9A"/>
    <w:rsid w:val="00443CA3"/>
    <w:rsid w:val="0044535F"/>
    <w:rsid w:val="00447AE9"/>
    <w:rsid w:val="00447D3B"/>
    <w:rsid w:val="004518C8"/>
    <w:rsid w:val="004538F4"/>
    <w:rsid w:val="004542F1"/>
    <w:rsid w:val="0045448C"/>
    <w:rsid w:val="00454AEA"/>
    <w:rsid w:val="00454F55"/>
    <w:rsid w:val="004553C4"/>
    <w:rsid w:val="00455721"/>
    <w:rsid w:val="00461632"/>
    <w:rsid w:val="00461E6C"/>
    <w:rsid w:val="00462130"/>
    <w:rsid w:val="0046229E"/>
    <w:rsid w:val="00462629"/>
    <w:rsid w:val="00462C92"/>
    <w:rsid w:val="00462F26"/>
    <w:rsid w:val="00463805"/>
    <w:rsid w:val="0046388F"/>
    <w:rsid w:val="00463BC3"/>
    <w:rsid w:val="00463FBB"/>
    <w:rsid w:val="00464434"/>
    <w:rsid w:val="004661C3"/>
    <w:rsid w:val="00466791"/>
    <w:rsid w:val="004677E8"/>
    <w:rsid w:val="00467FE8"/>
    <w:rsid w:val="00471623"/>
    <w:rsid w:val="00472071"/>
    <w:rsid w:val="00472112"/>
    <w:rsid w:val="00473F43"/>
    <w:rsid w:val="0047407F"/>
    <w:rsid w:val="00474268"/>
    <w:rsid w:val="004743A2"/>
    <w:rsid w:val="00475351"/>
    <w:rsid w:val="00476F1D"/>
    <w:rsid w:val="00480429"/>
    <w:rsid w:val="004813C2"/>
    <w:rsid w:val="00481896"/>
    <w:rsid w:val="004823C7"/>
    <w:rsid w:val="0048269B"/>
    <w:rsid w:val="00482F1C"/>
    <w:rsid w:val="00484190"/>
    <w:rsid w:val="00484420"/>
    <w:rsid w:val="00485168"/>
    <w:rsid w:val="00486118"/>
    <w:rsid w:val="0048687E"/>
    <w:rsid w:val="004907D5"/>
    <w:rsid w:val="0049138F"/>
    <w:rsid w:val="004932BC"/>
    <w:rsid w:val="004946C4"/>
    <w:rsid w:val="004947C0"/>
    <w:rsid w:val="00495DD7"/>
    <w:rsid w:val="004962A3"/>
    <w:rsid w:val="00496959"/>
    <w:rsid w:val="00497A53"/>
    <w:rsid w:val="004A0CAA"/>
    <w:rsid w:val="004A10B6"/>
    <w:rsid w:val="004A14D1"/>
    <w:rsid w:val="004A3547"/>
    <w:rsid w:val="004A3C15"/>
    <w:rsid w:val="004A43E2"/>
    <w:rsid w:val="004A4D41"/>
    <w:rsid w:val="004A4E02"/>
    <w:rsid w:val="004A51A0"/>
    <w:rsid w:val="004A5D7D"/>
    <w:rsid w:val="004A6485"/>
    <w:rsid w:val="004A7868"/>
    <w:rsid w:val="004A7C43"/>
    <w:rsid w:val="004B0B22"/>
    <w:rsid w:val="004B11FA"/>
    <w:rsid w:val="004B141F"/>
    <w:rsid w:val="004B2D8E"/>
    <w:rsid w:val="004B300E"/>
    <w:rsid w:val="004B5A84"/>
    <w:rsid w:val="004B73D5"/>
    <w:rsid w:val="004B7D5E"/>
    <w:rsid w:val="004C0146"/>
    <w:rsid w:val="004C2DD7"/>
    <w:rsid w:val="004C37ED"/>
    <w:rsid w:val="004C526A"/>
    <w:rsid w:val="004C6D7A"/>
    <w:rsid w:val="004C7496"/>
    <w:rsid w:val="004C7DEB"/>
    <w:rsid w:val="004D03F6"/>
    <w:rsid w:val="004D343C"/>
    <w:rsid w:val="004D3B19"/>
    <w:rsid w:val="004D3CF6"/>
    <w:rsid w:val="004D55F4"/>
    <w:rsid w:val="004D58A8"/>
    <w:rsid w:val="004D58BD"/>
    <w:rsid w:val="004D5D26"/>
    <w:rsid w:val="004D5D44"/>
    <w:rsid w:val="004D6471"/>
    <w:rsid w:val="004D65F6"/>
    <w:rsid w:val="004D7282"/>
    <w:rsid w:val="004E0284"/>
    <w:rsid w:val="004E0427"/>
    <w:rsid w:val="004E1EF0"/>
    <w:rsid w:val="004E4086"/>
    <w:rsid w:val="004E47D5"/>
    <w:rsid w:val="004E52FF"/>
    <w:rsid w:val="004E54A3"/>
    <w:rsid w:val="004F4C22"/>
    <w:rsid w:val="004F5714"/>
    <w:rsid w:val="004F665F"/>
    <w:rsid w:val="004F6A74"/>
    <w:rsid w:val="00500132"/>
    <w:rsid w:val="00500769"/>
    <w:rsid w:val="00500EF9"/>
    <w:rsid w:val="0050116D"/>
    <w:rsid w:val="005011D5"/>
    <w:rsid w:val="005013C3"/>
    <w:rsid w:val="005013C8"/>
    <w:rsid w:val="00501FC6"/>
    <w:rsid w:val="00502228"/>
    <w:rsid w:val="0050272E"/>
    <w:rsid w:val="00503213"/>
    <w:rsid w:val="0050337B"/>
    <w:rsid w:val="0050493D"/>
    <w:rsid w:val="005070AB"/>
    <w:rsid w:val="00510461"/>
    <w:rsid w:val="00512958"/>
    <w:rsid w:val="0051474A"/>
    <w:rsid w:val="00515200"/>
    <w:rsid w:val="00515584"/>
    <w:rsid w:val="00515894"/>
    <w:rsid w:val="0051599E"/>
    <w:rsid w:val="00515CC8"/>
    <w:rsid w:val="00515F1A"/>
    <w:rsid w:val="00516DE2"/>
    <w:rsid w:val="005203A9"/>
    <w:rsid w:val="005206F4"/>
    <w:rsid w:val="00520E8B"/>
    <w:rsid w:val="00521084"/>
    <w:rsid w:val="0052446F"/>
    <w:rsid w:val="00526592"/>
    <w:rsid w:val="00526868"/>
    <w:rsid w:val="005279F2"/>
    <w:rsid w:val="00527BA6"/>
    <w:rsid w:val="00527C76"/>
    <w:rsid w:val="00530F25"/>
    <w:rsid w:val="005312E8"/>
    <w:rsid w:val="00531BF7"/>
    <w:rsid w:val="00532556"/>
    <w:rsid w:val="00532D40"/>
    <w:rsid w:val="00534611"/>
    <w:rsid w:val="0053461B"/>
    <w:rsid w:val="005357A8"/>
    <w:rsid w:val="00535CAD"/>
    <w:rsid w:val="00535E35"/>
    <w:rsid w:val="005365AD"/>
    <w:rsid w:val="00537B9F"/>
    <w:rsid w:val="00542480"/>
    <w:rsid w:val="0054283F"/>
    <w:rsid w:val="00542841"/>
    <w:rsid w:val="00543750"/>
    <w:rsid w:val="005437D2"/>
    <w:rsid w:val="005448D5"/>
    <w:rsid w:val="00545E34"/>
    <w:rsid w:val="00546B65"/>
    <w:rsid w:val="005505DC"/>
    <w:rsid w:val="0055308B"/>
    <w:rsid w:val="00556742"/>
    <w:rsid w:val="005567D2"/>
    <w:rsid w:val="00556811"/>
    <w:rsid w:val="0055685D"/>
    <w:rsid w:val="00557F03"/>
    <w:rsid w:val="00560528"/>
    <w:rsid w:val="00560BAA"/>
    <w:rsid w:val="00561683"/>
    <w:rsid w:val="0056181A"/>
    <w:rsid w:val="0056231E"/>
    <w:rsid w:val="005623C1"/>
    <w:rsid w:val="00563421"/>
    <w:rsid w:val="0056460F"/>
    <w:rsid w:val="005646C0"/>
    <w:rsid w:val="00565598"/>
    <w:rsid w:val="0056751D"/>
    <w:rsid w:val="00567596"/>
    <w:rsid w:val="005679C9"/>
    <w:rsid w:val="00571388"/>
    <w:rsid w:val="00571620"/>
    <w:rsid w:val="00571C0E"/>
    <w:rsid w:val="005728E6"/>
    <w:rsid w:val="00577079"/>
    <w:rsid w:val="00577109"/>
    <w:rsid w:val="005817B9"/>
    <w:rsid w:val="0058500A"/>
    <w:rsid w:val="005856A8"/>
    <w:rsid w:val="0058645C"/>
    <w:rsid w:val="00586ADF"/>
    <w:rsid w:val="00590097"/>
    <w:rsid w:val="00590743"/>
    <w:rsid w:val="005907FA"/>
    <w:rsid w:val="005908C8"/>
    <w:rsid w:val="005911FC"/>
    <w:rsid w:val="00592578"/>
    <w:rsid w:val="005934FA"/>
    <w:rsid w:val="005A0338"/>
    <w:rsid w:val="005A0A06"/>
    <w:rsid w:val="005A110F"/>
    <w:rsid w:val="005A3AA2"/>
    <w:rsid w:val="005A3EAA"/>
    <w:rsid w:val="005A3F19"/>
    <w:rsid w:val="005A4586"/>
    <w:rsid w:val="005B0C75"/>
    <w:rsid w:val="005B3EA6"/>
    <w:rsid w:val="005B3FE8"/>
    <w:rsid w:val="005B5515"/>
    <w:rsid w:val="005B71DF"/>
    <w:rsid w:val="005B7C8C"/>
    <w:rsid w:val="005C18F7"/>
    <w:rsid w:val="005C1C29"/>
    <w:rsid w:val="005C22CA"/>
    <w:rsid w:val="005C2C67"/>
    <w:rsid w:val="005C2E43"/>
    <w:rsid w:val="005C31BD"/>
    <w:rsid w:val="005C4057"/>
    <w:rsid w:val="005C42FA"/>
    <w:rsid w:val="005C47E9"/>
    <w:rsid w:val="005C5467"/>
    <w:rsid w:val="005C7724"/>
    <w:rsid w:val="005D0656"/>
    <w:rsid w:val="005D0DCC"/>
    <w:rsid w:val="005D239E"/>
    <w:rsid w:val="005D7121"/>
    <w:rsid w:val="005E0381"/>
    <w:rsid w:val="005E09E9"/>
    <w:rsid w:val="005E2507"/>
    <w:rsid w:val="005E25FE"/>
    <w:rsid w:val="005E3DFA"/>
    <w:rsid w:val="005E4E28"/>
    <w:rsid w:val="005E5F0A"/>
    <w:rsid w:val="005E64A4"/>
    <w:rsid w:val="005F0FBD"/>
    <w:rsid w:val="005F3F0C"/>
    <w:rsid w:val="005F4E1D"/>
    <w:rsid w:val="005F68DF"/>
    <w:rsid w:val="005F763A"/>
    <w:rsid w:val="005F7C16"/>
    <w:rsid w:val="005F7D44"/>
    <w:rsid w:val="006010B7"/>
    <w:rsid w:val="00604B95"/>
    <w:rsid w:val="00604BCE"/>
    <w:rsid w:val="00605968"/>
    <w:rsid w:val="00606B3F"/>
    <w:rsid w:val="00607302"/>
    <w:rsid w:val="00610D0D"/>
    <w:rsid w:val="00612D99"/>
    <w:rsid w:val="006132C9"/>
    <w:rsid w:val="00615531"/>
    <w:rsid w:val="00617ED4"/>
    <w:rsid w:val="00620127"/>
    <w:rsid w:val="00620870"/>
    <w:rsid w:val="00621701"/>
    <w:rsid w:val="00621F2F"/>
    <w:rsid w:val="00622426"/>
    <w:rsid w:val="00630257"/>
    <w:rsid w:val="006309F0"/>
    <w:rsid w:val="00631829"/>
    <w:rsid w:val="00631FC9"/>
    <w:rsid w:val="0063279E"/>
    <w:rsid w:val="00632C8A"/>
    <w:rsid w:val="00634BDA"/>
    <w:rsid w:val="006369D9"/>
    <w:rsid w:val="00636D62"/>
    <w:rsid w:val="0063717B"/>
    <w:rsid w:val="0063768C"/>
    <w:rsid w:val="00637AA4"/>
    <w:rsid w:val="0064043C"/>
    <w:rsid w:val="006407BD"/>
    <w:rsid w:val="00641628"/>
    <w:rsid w:val="00642663"/>
    <w:rsid w:val="0064424B"/>
    <w:rsid w:val="00644EE8"/>
    <w:rsid w:val="006462C9"/>
    <w:rsid w:val="00647857"/>
    <w:rsid w:val="00651DA4"/>
    <w:rsid w:val="00652E9D"/>
    <w:rsid w:val="006534C0"/>
    <w:rsid w:val="00654E6C"/>
    <w:rsid w:val="00657996"/>
    <w:rsid w:val="006626E6"/>
    <w:rsid w:val="00662F20"/>
    <w:rsid w:val="00662FAB"/>
    <w:rsid w:val="006637F2"/>
    <w:rsid w:val="006647DC"/>
    <w:rsid w:val="00665679"/>
    <w:rsid w:val="00665E2A"/>
    <w:rsid w:val="00667CF6"/>
    <w:rsid w:val="006703B1"/>
    <w:rsid w:val="00670FC1"/>
    <w:rsid w:val="006734E5"/>
    <w:rsid w:val="006775EF"/>
    <w:rsid w:val="0068138E"/>
    <w:rsid w:val="006826C2"/>
    <w:rsid w:val="0068321A"/>
    <w:rsid w:val="00683979"/>
    <w:rsid w:val="0068575B"/>
    <w:rsid w:val="00685FB8"/>
    <w:rsid w:val="006861E3"/>
    <w:rsid w:val="0068632C"/>
    <w:rsid w:val="00687A52"/>
    <w:rsid w:val="0069083A"/>
    <w:rsid w:val="00690AB6"/>
    <w:rsid w:val="00691208"/>
    <w:rsid w:val="00696FC8"/>
    <w:rsid w:val="00697043"/>
    <w:rsid w:val="0069786B"/>
    <w:rsid w:val="006978E3"/>
    <w:rsid w:val="006A04B2"/>
    <w:rsid w:val="006A13ED"/>
    <w:rsid w:val="006A1F30"/>
    <w:rsid w:val="006A2958"/>
    <w:rsid w:val="006A37BF"/>
    <w:rsid w:val="006A4E0C"/>
    <w:rsid w:val="006A4EE6"/>
    <w:rsid w:val="006A5EBF"/>
    <w:rsid w:val="006B0B3F"/>
    <w:rsid w:val="006B2792"/>
    <w:rsid w:val="006B3257"/>
    <w:rsid w:val="006B3FE4"/>
    <w:rsid w:val="006B43BE"/>
    <w:rsid w:val="006B6A06"/>
    <w:rsid w:val="006B75A8"/>
    <w:rsid w:val="006C05DE"/>
    <w:rsid w:val="006C093B"/>
    <w:rsid w:val="006C0CFE"/>
    <w:rsid w:val="006C0F2D"/>
    <w:rsid w:val="006C2AB4"/>
    <w:rsid w:val="006C432B"/>
    <w:rsid w:val="006C503A"/>
    <w:rsid w:val="006C5DF4"/>
    <w:rsid w:val="006C5EAC"/>
    <w:rsid w:val="006C62FC"/>
    <w:rsid w:val="006C6970"/>
    <w:rsid w:val="006D13CE"/>
    <w:rsid w:val="006D38D4"/>
    <w:rsid w:val="006D6AE9"/>
    <w:rsid w:val="006E0288"/>
    <w:rsid w:val="006E2432"/>
    <w:rsid w:val="006E2491"/>
    <w:rsid w:val="006E4903"/>
    <w:rsid w:val="006E5091"/>
    <w:rsid w:val="006E588C"/>
    <w:rsid w:val="006E78BB"/>
    <w:rsid w:val="006F04EB"/>
    <w:rsid w:val="006F0FE9"/>
    <w:rsid w:val="006F1B30"/>
    <w:rsid w:val="006F1B57"/>
    <w:rsid w:val="006F30D2"/>
    <w:rsid w:val="006F4F38"/>
    <w:rsid w:val="006F517F"/>
    <w:rsid w:val="006F5CB9"/>
    <w:rsid w:val="006F618B"/>
    <w:rsid w:val="006F622C"/>
    <w:rsid w:val="006F62DF"/>
    <w:rsid w:val="006F6E75"/>
    <w:rsid w:val="006F72A1"/>
    <w:rsid w:val="00700739"/>
    <w:rsid w:val="0070134A"/>
    <w:rsid w:val="00701D48"/>
    <w:rsid w:val="00702896"/>
    <w:rsid w:val="00702B65"/>
    <w:rsid w:val="00702DD5"/>
    <w:rsid w:val="007035E3"/>
    <w:rsid w:val="007049C2"/>
    <w:rsid w:val="0070526B"/>
    <w:rsid w:val="00705910"/>
    <w:rsid w:val="00705B31"/>
    <w:rsid w:val="007061CC"/>
    <w:rsid w:val="007069E6"/>
    <w:rsid w:val="00707329"/>
    <w:rsid w:val="00710366"/>
    <w:rsid w:val="007114FE"/>
    <w:rsid w:val="00711AB6"/>
    <w:rsid w:val="00711C0A"/>
    <w:rsid w:val="007138D6"/>
    <w:rsid w:val="00713D8C"/>
    <w:rsid w:val="00714E92"/>
    <w:rsid w:val="00715D14"/>
    <w:rsid w:val="00716D8F"/>
    <w:rsid w:val="0072176B"/>
    <w:rsid w:val="00721882"/>
    <w:rsid w:val="00722175"/>
    <w:rsid w:val="00722C87"/>
    <w:rsid w:val="00722DF7"/>
    <w:rsid w:val="00724667"/>
    <w:rsid w:val="0072498D"/>
    <w:rsid w:val="00725B5A"/>
    <w:rsid w:val="00726ABD"/>
    <w:rsid w:val="00726CE8"/>
    <w:rsid w:val="00727886"/>
    <w:rsid w:val="007302CB"/>
    <w:rsid w:val="007304A3"/>
    <w:rsid w:val="00730A75"/>
    <w:rsid w:val="00732DA6"/>
    <w:rsid w:val="00736DB2"/>
    <w:rsid w:val="00741341"/>
    <w:rsid w:val="00742164"/>
    <w:rsid w:val="00742552"/>
    <w:rsid w:val="00742B8D"/>
    <w:rsid w:val="0074317E"/>
    <w:rsid w:val="00743286"/>
    <w:rsid w:val="00744E5F"/>
    <w:rsid w:val="00746167"/>
    <w:rsid w:val="00746476"/>
    <w:rsid w:val="007466CC"/>
    <w:rsid w:val="0074710D"/>
    <w:rsid w:val="007500D6"/>
    <w:rsid w:val="00750EA3"/>
    <w:rsid w:val="0075103E"/>
    <w:rsid w:val="00751C49"/>
    <w:rsid w:val="0075200B"/>
    <w:rsid w:val="00752CB7"/>
    <w:rsid w:val="0075313A"/>
    <w:rsid w:val="00754CAA"/>
    <w:rsid w:val="0075515C"/>
    <w:rsid w:val="007558D4"/>
    <w:rsid w:val="00755986"/>
    <w:rsid w:val="00756BEB"/>
    <w:rsid w:val="0076060E"/>
    <w:rsid w:val="007608E1"/>
    <w:rsid w:val="007612EC"/>
    <w:rsid w:val="00761A24"/>
    <w:rsid w:val="00761C9E"/>
    <w:rsid w:val="007626E4"/>
    <w:rsid w:val="00763915"/>
    <w:rsid w:val="0076493E"/>
    <w:rsid w:val="007657A0"/>
    <w:rsid w:val="0076615A"/>
    <w:rsid w:val="007671AE"/>
    <w:rsid w:val="00767249"/>
    <w:rsid w:val="00770C59"/>
    <w:rsid w:val="00771531"/>
    <w:rsid w:val="0077154E"/>
    <w:rsid w:val="00772254"/>
    <w:rsid w:val="007737B3"/>
    <w:rsid w:val="007767FD"/>
    <w:rsid w:val="00777475"/>
    <w:rsid w:val="00777FBF"/>
    <w:rsid w:val="007802CC"/>
    <w:rsid w:val="00780BCD"/>
    <w:rsid w:val="00782758"/>
    <w:rsid w:val="00782912"/>
    <w:rsid w:val="00782DEA"/>
    <w:rsid w:val="00785A89"/>
    <w:rsid w:val="00785AF4"/>
    <w:rsid w:val="007870D7"/>
    <w:rsid w:val="007932F1"/>
    <w:rsid w:val="0079389E"/>
    <w:rsid w:val="00793D2E"/>
    <w:rsid w:val="0079448B"/>
    <w:rsid w:val="00794AF2"/>
    <w:rsid w:val="0079543D"/>
    <w:rsid w:val="00795CC3"/>
    <w:rsid w:val="007972AD"/>
    <w:rsid w:val="00797A94"/>
    <w:rsid w:val="007A2075"/>
    <w:rsid w:val="007A259C"/>
    <w:rsid w:val="007A2D17"/>
    <w:rsid w:val="007A459A"/>
    <w:rsid w:val="007A6E5E"/>
    <w:rsid w:val="007B16FE"/>
    <w:rsid w:val="007B1D1C"/>
    <w:rsid w:val="007B2105"/>
    <w:rsid w:val="007B37FE"/>
    <w:rsid w:val="007B4628"/>
    <w:rsid w:val="007B4D85"/>
    <w:rsid w:val="007B5D37"/>
    <w:rsid w:val="007B5E02"/>
    <w:rsid w:val="007B67B0"/>
    <w:rsid w:val="007B6D1C"/>
    <w:rsid w:val="007B78D7"/>
    <w:rsid w:val="007C1C8F"/>
    <w:rsid w:val="007C27A3"/>
    <w:rsid w:val="007C2C2E"/>
    <w:rsid w:val="007C424F"/>
    <w:rsid w:val="007C4D2C"/>
    <w:rsid w:val="007C7D47"/>
    <w:rsid w:val="007C7E7B"/>
    <w:rsid w:val="007C7F35"/>
    <w:rsid w:val="007D1937"/>
    <w:rsid w:val="007D327E"/>
    <w:rsid w:val="007D3CD4"/>
    <w:rsid w:val="007D48BB"/>
    <w:rsid w:val="007D4CE4"/>
    <w:rsid w:val="007D64AA"/>
    <w:rsid w:val="007E1519"/>
    <w:rsid w:val="007E228E"/>
    <w:rsid w:val="007E36CC"/>
    <w:rsid w:val="007E3DAA"/>
    <w:rsid w:val="007E4109"/>
    <w:rsid w:val="007E4D86"/>
    <w:rsid w:val="007E4FCD"/>
    <w:rsid w:val="007E51D7"/>
    <w:rsid w:val="007E6ED3"/>
    <w:rsid w:val="007E6FF7"/>
    <w:rsid w:val="007E776F"/>
    <w:rsid w:val="007F10A9"/>
    <w:rsid w:val="007F12DA"/>
    <w:rsid w:val="007F1CA7"/>
    <w:rsid w:val="007F254D"/>
    <w:rsid w:val="007F2E1B"/>
    <w:rsid w:val="007F330E"/>
    <w:rsid w:val="007F459B"/>
    <w:rsid w:val="007F4775"/>
    <w:rsid w:val="007F481A"/>
    <w:rsid w:val="007F6C5B"/>
    <w:rsid w:val="00801333"/>
    <w:rsid w:val="008013E4"/>
    <w:rsid w:val="00801AAE"/>
    <w:rsid w:val="00801ACC"/>
    <w:rsid w:val="00801D1A"/>
    <w:rsid w:val="0080365B"/>
    <w:rsid w:val="00803E4F"/>
    <w:rsid w:val="00804120"/>
    <w:rsid w:val="00805B47"/>
    <w:rsid w:val="0080641B"/>
    <w:rsid w:val="00806DB4"/>
    <w:rsid w:val="0080704D"/>
    <w:rsid w:val="00807330"/>
    <w:rsid w:val="00807DE4"/>
    <w:rsid w:val="008117C3"/>
    <w:rsid w:val="00811907"/>
    <w:rsid w:val="00812B31"/>
    <w:rsid w:val="008142D8"/>
    <w:rsid w:val="00814387"/>
    <w:rsid w:val="0081448C"/>
    <w:rsid w:val="00815BF4"/>
    <w:rsid w:val="0081675F"/>
    <w:rsid w:val="00816F6B"/>
    <w:rsid w:val="00817834"/>
    <w:rsid w:val="0082056F"/>
    <w:rsid w:val="00820DBD"/>
    <w:rsid w:val="008231D7"/>
    <w:rsid w:val="00823341"/>
    <w:rsid w:val="00823C31"/>
    <w:rsid w:val="0082485E"/>
    <w:rsid w:val="00827B82"/>
    <w:rsid w:val="00831A97"/>
    <w:rsid w:val="00831B73"/>
    <w:rsid w:val="00831B78"/>
    <w:rsid w:val="008329AB"/>
    <w:rsid w:val="00832CFE"/>
    <w:rsid w:val="00833AC9"/>
    <w:rsid w:val="00834280"/>
    <w:rsid w:val="008354DE"/>
    <w:rsid w:val="00836309"/>
    <w:rsid w:val="00836369"/>
    <w:rsid w:val="00836756"/>
    <w:rsid w:val="008376C0"/>
    <w:rsid w:val="00837B71"/>
    <w:rsid w:val="00837E4C"/>
    <w:rsid w:val="00840A1B"/>
    <w:rsid w:val="00842F69"/>
    <w:rsid w:val="00843043"/>
    <w:rsid w:val="008449C0"/>
    <w:rsid w:val="008473B5"/>
    <w:rsid w:val="008479B4"/>
    <w:rsid w:val="00847F3C"/>
    <w:rsid w:val="00851D6C"/>
    <w:rsid w:val="00853CAE"/>
    <w:rsid w:val="00853ECC"/>
    <w:rsid w:val="008551E6"/>
    <w:rsid w:val="008556E3"/>
    <w:rsid w:val="00855936"/>
    <w:rsid w:val="00855A24"/>
    <w:rsid w:val="00856FBE"/>
    <w:rsid w:val="008577BF"/>
    <w:rsid w:val="0086208D"/>
    <w:rsid w:val="008620A2"/>
    <w:rsid w:val="008635ED"/>
    <w:rsid w:val="00863730"/>
    <w:rsid w:val="00863CFD"/>
    <w:rsid w:val="00864212"/>
    <w:rsid w:val="0086573E"/>
    <w:rsid w:val="008671DD"/>
    <w:rsid w:val="008676C7"/>
    <w:rsid w:val="008677A8"/>
    <w:rsid w:val="008704E5"/>
    <w:rsid w:val="0087129F"/>
    <w:rsid w:val="00871BBA"/>
    <w:rsid w:val="00871BF6"/>
    <w:rsid w:val="008762CE"/>
    <w:rsid w:val="00876485"/>
    <w:rsid w:val="00876612"/>
    <w:rsid w:val="00877DDA"/>
    <w:rsid w:val="008818C7"/>
    <w:rsid w:val="008818E3"/>
    <w:rsid w:val="0088203A"/>
    <w:rsid w:val="00882AEF"/>
    <w:rsid w:val="008845E2"/>
    <w:rsid w:val="0088560E"/>
    <w:rsid w:val="00885D83"/>
    <w:rsid w:val="008870FE"/>
    <w:rsid w:val="00890D36"/>
    <w:rsid w:val="008919D6"/>
    <w:rsid w:val="00891B97"/>
    <w:rsid w:val="0089246B"/>
    <w:rsid w:val="00892977"/>
    <w:rsid w:val="008929C3"/>
    <w:rsid w:val="008936A7"/>
    <w:rsid w:val="0089393B"/>
    <w:rsid w:val="00895158"/>
    <w:rsid w:val="00895716"/>
    <w:rsid w:val="00895C9C"/>
    <w:rsid w:val="00895D22"/>
    <w:rsid w:val="00896195"/>
    <w:rsid w:val="00896368"/>
    <w:rsid w:val="00897765"/>
    <w:rsid w:val="00897926"/>
    <w:rsid w:val="008A01C2"/>
    <w:rsid w:val="008A076A"/>
    <w:rsid w:val="008A2601"/>
    <w:rsid w:val="008A3A12"/>
    <w:rsid w:val="008A41D6"/>
    <w:rsid w:val="008A5604"/>
    <w:rsid w:val="008A5FB1"/>
    <w:rsid w:val="008A7647"/>
    <w:rsid w:val="008A7EEC"/>
    <w:rsid w:val="008B0313"/>
    <w:rsid w:val="008B0D73"/>
    <w:rsid w:val="008B1955"/>
    <w:rsid w:val="008B2384"/>
    <w:rsid w:val="008B239E"/>
    <w:rsid w:val="008B244D"/>
    <w:rsid w:val="008B306E"/>
    <w:rsid w:val="008B3FE2"/>
    <w:rsid w:val="008B444C"/>
    <w:rsid w:val="008B4466"/>
    <w:rsid w:val="008B61A4"/>
    <w:rsid w:val="008B61BB"/>
    <w:rsid w:val="008B6256"/>
    <w:rsid w:val="008C001A"/>
    <w:rsid w:val="008C0ED9"/>
    <w:rsid w:val="008C0FA6"/>
    <w:rsid w:val="008C2B96"/>
    <w:rsid w:val="008C345A"/>
    <w:rsid w:val="008C3BFD"/>
    <w:rsid w:val="008C6810"/>
    <w:rsid w:val="008C76AA"/>
    <w:rsid w:val="008D03AB"/>
    <w:rsid w:val="008D0E4F"/>
    <w:rsid w:val="008D0EB5"/>
    <w:rsid w:val="008D1530"/>
    <w:rsid w:val="008D253C"/>
    <w:rsid w:val="008D3A4E"/>
    <w:rsid w:val="008D4134"/>
    <w:rsid w:val="008D55F9"/>
    <w:rsid w:val="008D5670"/>
    <w:rsid w:val="008D6254"/>
    <w:rsid w:val="008D6964"/>
    <w:rsid w:val="008E145E"/>
    <w:rsid w:val="008E3A8B"/>
    <w:rsid w:val="008E53A7"/>
    <w:rsid w:val="008E663A"/>
    <w:rsid w:val="008E7D77"/>
    <w:rsid w:val="008E7E28"/>
    <w:rsid w:val="008F03BA"/>
    <w:rsid w:val="008F3996"/>
    <w:rsid w:val="008F46CA"/>
    <w:rsid w:val="008F4D8C"/>
    <w:rsid w:val="008F7975"/>
    <w:rsid w:val="00900049"/>
    <w:rsid w:val="00900409"/>
    <w:rsid w:val="00902F21"/>
    <w:rsid w:val="00903FBA"/>
    <w:rsid w:val="00904F08"/>
    <w:rsid w:val="009050B8"/>
    <w:rsid w:val="00905FAC"/>
    <w:rsid w:val="009066BB"/>
    <w:rsid w:val="00906CBD"/>
    <w:rsid w:val="00907E4D"/>
    <w:rsid w:val="009127A5"/>
    <w:rsid w:val="00914720"/>
    <w:rsid w:val="00916188"/>
    <w:rsid w:val="00916806"/>
    <w:rsid w:val="00920008"/>
    <w:rsid w:val="009212E0"/>
    <w:rsid w:val="0092140F"/>
    <w:rsid w:val="009214F7"/>
    <w:rsid w:val="00921610"/>
    <w:rsid w:val="009239B7"/>
    <w:rsid w:val="00923DB5"/>
    <w:rsid w:val="009247CD"/>
    <w:rsid w:val="009251BC"/>
    <w:rsid w:val="00926870"/>
    <w:rsid w:val="00930C1A"/>
    <w:rsid w:val="009315A4"/>
    <w:rsid w:val="00931A0C"/>
    <w:rsid w:val="00932547"/>
    <w:rsid w:val="00932CA3"/>
    <w:rsid w:val="00933A02"/>
    <w:rsid w:val="00933F89"/>
    <w:rsid w:val="0093722C"/>
    <w:rsid w:val="00937BB1"/>
    <w:rsid w:val="009414EB"/>
    <w:rsid w:val="009430E0"/>
    <w:rsid w:val="009433A7"/>
    <w:rsid w:val="00943A3B"/>
    <w:rsid w:val="00945010"/>
    <w:rsid w:val="0094677B"/>
    <w:rsid w:val="00946A5C"/>
    <w:rsid w:val="00946DDB"/>
    <w:rsid w:val="00947597"/>
    <w:rsid w:val="00947D72"/>
    <w:rsid w:val="00951E7F"/>
    <w:rsid w:val="00952D1F"/>
    <w:rsid w:val="00952E1A"/>
    <w:rsid w:val="00953062"/>
    <w:rsid w:val="009533C6"/>
    <w:rsid w:val="0095344B"/>
    <w:rsid w:val="00955D8A"/>
    <w:rsid w:val="00957072"/>
    <w:rsid w:val="00960BFD"/>
    <w:rsid w:val="009612C4"/>
    <w:rsid w:val="00962C22"/>
    <w:rsid w:val="00966155"/>
    <w:rsid w:val="00966166"/>
    <w:rsid w:val="0096751C"/>
    <w:rsid w:val="00970C7E"/>
    <w:rsid w:val="009714F4"/>
    <w:rsid w:val="00971A97"/>
    <w:rsid w:val="00971BD4"/>
    <w:rsid w:val="00972105"/>
    <w:rsid w:val="009731A7"/>
    <w:rsid w:val="0097373A"/>
    <w:rsid w:val="00973BF1"/>
    <w:rsid w:val="009741FC"/>
    <w:rsid w:val="00974C03"/>
    <w:rsid w:val="00975BDB"/>
    <w:rsid w:val="009764AF"/>
    <w:rsid w:val="009807D4"/>
    <w:rsid w:val="00981C03"/>
    <w:rsid w:val="00982113"/>
    <w:rsid w:val="00982F96"/>
    <w:rsid w:val="0098355E"/>
    <w:rsid w:val="00983FE2"/>
    <w:rsid w:val="00984E02"/>
    <w:rsid w:val="00985115"/>
    <w:rsid w:val="0098643A"/>
    <w:rsid w:val="00990076"/>
    <w:rsid w:val="00990A45"/>
    <w:rsid w:val="009914A0"/>
    <w:rsid w:val="0099183B"/>
    <w:rsid w:val="00992BD5"/>
    <w:rsid w:val="009936E1"/>
    <w:rsid w:val="00994055"/>
    <w:rsid w:val="009946EE"/>
    <w:rsid w:val="00995B05"/>
    <w:rsid w:val="00995C35"/>
    <w:rsid w:val="009965CA"/>
    <w:rsid w:val="009974F6"/>
    <w:rsid w:val="00997BBC"/>
    <w:rsid w:val="00997D8D"/>
    <w:rsid w:val="00997F8B"/>
    <w:rsid w:val="009A01FF"/>
    <w:rsid w:val="009A264A"/>
    <w:rsid w:val="009A287E"/>
    <w:rsid w:val="009A2CD2"/>
    <w:rsid w:val="009A2FE9"/>
    <w:rsid w:val="009A34F7"/>
    <w:rsid w:val="009A3A0D"/>
    <w:rsid w:val="009A512F"/>
    <w:rsid w:val="009A5C3B"/>
    <w:rsid w:val="009A6568"/>
    <w:rsid w:val="009A7A80"/>
    <w:rsid w:val="009B22F5"/>
    <w:rsid w:val="009B4848"/>
    <w:rsid w:val="009B4F62"/>
    <w:rsid w:val="009B5160"/>
    <w:rsid w:val="009B5BC9"/>
    <w:rsid w:val="009B5D8F"/>
    <w:rsid w:val="009B6205"/>
    <w:rsid w:val="009B680A"/>
    <w:rsid w:val="009B7056"/>
    <w:rsid w:val="009C17E7"/>
    <w:rsid w:val="009C24FF"/>
    <w:rsid w:val="009C2549"/>
    <w:rsid w:val="009C428D"/>
    <w:rsid w:val="009C4F34"/>
    <w:rsid w:val="009C5A42"/>
    <w:rsid w:val="009C5ECB"/>
    <w:rsid w:val="009C6F98"/>
    <w:rsid w:val="009C72BC"/>
    <w:rsid w:val="009C77AC"/>
    <w:rsid w:val="009D07B0"/>
    <w:rsid w:val="009D09BE"/>
    <w:rsid w:val="009D13EF"/>
    <w:rsid w:val="009D1856"/>
    <w:rsid w:val="009D1F37"/>
    <w:rsid w:val="009D4C42"/>
    <w:rsid w:val="009D4C8F"/>
    <w:rsid w:val="009D6343"/>
    <w:rsid w:val="009D6AD9"/>
    <w:rsid w:val="009E0521"/>
    <w:rsid w:val="009E0744"/>
    <w:rsid w:val="009E0D77"/>
    <w:rsid w:val="009E3AF9"/>
    <w:rsid w:val="009E3BD2"/>
    <w:rsid w:val="009E3D50"/>
    <w:rsid w:val="009E421B"/>
    <w:rsid w:val="009E4DBA"/>
    <w:rsid w:val="009E5019"/>
    <w:rsid w:val="009E52BC"/>
    <w:rsid w:val="009E5CB7"/>
    <w:rsid w:val="009E6E97"/>
    <w:rsid w:val="009E6EFD"/>
    <w:rsid w:val="009E6FAC"/>
    <w:rsid w:val="009F03FD"/>
    <w:rsid w:val="009F069D"/>
    <w:rsid w:val="009F48F9"/>
    <w:rsid w:val="009F525B"/>
    <w:rsid w:val="00A00C4A"/>
    <w:rsid w:val="00A020DE"/>
    <w:rsid w:val="00A02DED"/>
    <w:rsid w:val="00A030AC"/>
    <w:rsid w:val="00A03266"/>
    <w:rsid w:val="00A0348B"/>
    <w:rsid w:val="00A0438D"/>
    <w:rsid w:val="00A04E33"/>
    <w:rsid w:val="00A05A29"/>
    <w:rsid w:val="00A07DA2"/>
    <w:rsid w:val="00A10E2C"/>
    <w:rsid w:val="00A11FD5"/>
    <w:rsid w:val="00A12F5D"/>
    <w:rsid w:val="00A13042"/>
    <w:rsid w:val="00A136B6"/>
    <w:rsid w:val="00A144EF"/>
    <w:rsid w:val="00A162B4"/>
    <w:rsid w:val="00A1702B"/>
    <w:rsid w:val="00A170EA"/>
    <w:rsid w:val="00A173C2"/>
    <w:rsid w:val="00A202C0"/>
    <w:rsid w:val="00A21D50"/>
    <w:rsid w:val="00A24407"/>
    <w:rsid w:val="00A256BD"/>
    <w:rsid w:val="00A25A72"/>
    <w:rsid w:val="00A27879"/>
    <w:rsid w:val="00A3066A"/>
    <w:rsid w:val="00A306A9"/>
    <w:rsid w:val="00A327CA"/>
    <w:rsid w:val="00A32F6F"/>
    <w:rsid w:val="00A341D8"/>
    <w:rsid w:val="00A36036"/>
    <w:rsid w:val="00A405C9"/>
    <w:rsid w:val="00A40670"/>
    <w:rsid w:val="00A406AE"/>
    <w:rsid w:val="00A41E7D"/>
    <w:rsid w:val="00A42068"/>
    <w:rsid w:val="00A4209A"/>
    <w:rsid w:val="00A42133"/>
    <w:rsid w:val="00A44ED6"/>
    <w:rsid w:val="00A45C71"/>
    <w:rsid w:val="00A45D11"/>
    <w:rsid w:val="00A46051"/>
    <w:rsid w:val="00A4692E"/>
    <w:rsid w:val="00A47E0F"/>
    <w:rsid w:val="00A51479"/>
    <w:rsid w:val="00A52AFA"/>
    <w:rsid w:val="00A52D9C"/>
    <w:rsid w:val="00A52DCB"/>
    <w:rsid w:val="00A52ED9"/>
    <w:rsid w:val="00A53242"/>
    <w:rsid w:val="00A54463"/>
    <w:rsid w:val="00A5618B"/>
    <w:rsid w:val="00A5674E"/>
    <w:rsid w:val="00A5714F"/>
    <w:rsid w:val="00A57972"/>
    <w:rsid w:val="00A61735"/>
    <w:rsid w:val="00A618B0"/>
    <w:rsid w:val="00A620DA"/>
    <w:rsid w:val="00A63AAD"/>
    <w:rsid w:val="00A65539"/>
    <w:rsid w:val="00A6676E"/>
    <w:rsid w:val="00A66C6A"/>
    <w:rsid w:val="00A70A62"/>
    <w:rsid w:val="00A7167C"/>
    <w:rsid w:val="00A71A5F"/>
    <w:rsid w:val="00A71C06"/>
    <w:rsid w:val="00A71C62"/>
    <w:rsid w:val="00A72391"/>
    <w:rsid w:val="00A7264B"/>
    <w:rsid w:val="00A72736"/>
    <w:rsid w:val="00A72C4C"/>
    <w:rsid w:val="00A7336E"/>
    <w:rsid w:val="00A73B0A"/>
    <w:rsid w:val="00A74DDC"/>
    <w:rsid w:val="00A752BE"/>
    <w:rsid w:val="00A75D34"/>
    <w:rsid w:val="00A762A4"/>
    <w:rsid w:val="00A7719E"/>
    <w:rsid w:val="00A77401"/>
    <w:rsid w:val="00A77D3A"/>
    <w:rsid w:val="00A77F0A"/>
    <w:rsid w:val="00A80A07"/>
    <w:rsid w:val="00A80A80"/>
    <w:rsid w:val="00A81396"/>
    <w:rsid w:val="00A828D1"/>
    <w:rsid w:val="00A83811"/>
    <w:rsid w:val="00A846DA"/>
    <w:rsid w:val="00A84A8A"/>
    <w:rsid w:val="00A84FD0"/>
    <w:rsid w:val="00A8523F"/>
    <w:rsid w:val="00A85DCB"/>
    <w:rsid w:val="00A86670"/>
    <w:rsid w:val="00A9040B"/>
    <w:rsid w:val="00A90887"/>
    <w:rsid w:val="00A909DD"/>
    <w:rsid w:val="00A9185B"/>
    <w:rsid w:val="00A921D5"/>
    <w:rsid w:val="00A94376"/>
    <w:rsid w:val="00A96D95"/>
    <w:rsid w:val="00A96DDE"/>
    <w:rsid w:val="00AA0C50"/>
    <w:rsid w:val="00AA11CC"/>
    <w:rsid w:val="00AA2335"/>
    <w:rsid w:val="00AA274F"/>
    <w:rsid w:val="00AA34F9"/>
    <w:rsid w:val="00AA6A23"/>
    <w:rsid w:val="00AA6D17"/>
    <w:rsid w:val="00AA76A2"/>
    <w:rsid w:val="00AA7FD5"/>
    <w:rsid w:val="00AB1F0F"/>
    <w:rsid w:val="00AB31FB"/>
    <w:rsid w:val="00AB43A6"/>
    <w:rsid w:val="00AB45DF"/>
    <w:rsid w:val="00AB79AB"/>
    <w:rsid w:val="00AB7CC5"/>
    <w:rsid w:val="00AC00DB"/>
    <w:rsid w:val="00AC090F"/>
    <w:rsid w:val="00AC1631"/>
    <w:rsid w:val="00AC2C3A"/>
    <w:rsid w:val="00AC3EE9"/>
    <w:rsid w:val="00AC408D"/>
    <w:rsid w:val="00AC5FE2"/>
    <w:rsid w:val="00AC6004"/>
    <w:rsid w:val="00AC609A"/>
    <w:rsid w:val="00AC73EB"/>
    <w:rsid w:val="00AC7DF4"/>
    <w:rsid w:val="00AD299A"/>
    <w:rsid w:val="00AD2AE3"/>
    <w:rsid w:val="00AD4DDC"/>
    <w:rsid w:val="00AD5996"/>
    <w:rsid w:val="00AD59EE"/>
    <w:rsid w:val="00AD7A82"/>
    <w:rsid w:val="00AD7CD8"/>
    <w:rsid w:val="00AE0162"/>
    <w:rsid w:val="00AE428B"/>
    <w:rsid w:val="00AE484D"/>
    <w:rsid w:val="00AE572F"/>
    <w:rsid w:val="00AE5B01"/>
    <w:rsid w:val="00AE5C62"/>
    <w:rsid w:val="00AE720B"/>
    <w:rsid w:val="00AF131B"/>
    <w:rsid w:val="00AF1A77"/>
    <w:rsid w:val="00AF2A93"/>
    <w:rsid w:val="00AF2EE5"/>
    <w:rsid w:val="00AF4B43"/>
    <w:rsid w:val="00AF78C0"/>
    <w:rsid w:val="00B01FCD"/>
    <w:rsid w:val="00B049D5"/>
    <w:rsid w:val="00B05182"/>
    <w:rsid w:val="00B05187"/>
    <w:rsid w:val="00B058C2"/>
    <w:rsid w:val="00B063EA"/>
    <w:rsid w:val="00B06549"/>
    <w:rsid w:val="00B06F37"/>
    <w:rsid w:val="00B10004"/>
    <w:rsid w:val="00B11E3F"/>
    <w:rsid w:val="00B12856"/>
    <w:rsid w:val="00B13377"/>
    <w:rsid w:val="00B14BB3"/>
    <w:rsid w:val="00B14C77"/>
    <w:rsid w:val="00B173DC"/>
    <w:rsid w:val="00B20A45"/>
    <w:rsid w:val="00B22DC7"/>
    <w:rsid w:val="00B234CE"/>
    <w:rsid w:val="00B24479"/>
    <w:rsid w:val="00B24843"/>
    <w:rsid w:val="00B259D7"/>
    <w:rsid w:val="00B25E4D"/>
    <w:rsid w:val="00B2639B"/>
    <w:rsid w:val="00B26473"/>
    <w:rsid w:val="00B26818"/>
    <w:rsid w:val="00B308CD"/>
    <w:rsid w:val="00B30958"/>
    <w:rsid w:val="00B30DBB"/>
    <w:rsid w:val="00B328B3"/>
    <w:rsid w:val="00B33418"/>
    <w:rsid w:val="00B3383E"/>
    <w:rsid w:val="00B34C6D"/>
    <w:rsid w:val="00B3500C"/>
    <w:rsid w:val="00B36291"/>
    <w:rsid w:val="00B36A27"/>
    <w:rsid w:val="00B36D76"/>
    <w:rsid w:val="00B37768"/>
    <w:rsid w:val="00B379AE"/>
    <w:rsid w:val="00B410A3"/>
    <w:rsid w:val="00B4182D"/>
    <w:rsid w:val="00B41BED"/>
    <w:rsid w:val="00B4222B"/>
    <w:rsid w:val="00B42889"/>
    <w:rsid w:val="00B44835"/>
    <w:rsid w:val="00B449AC"/>
    <w:rsid w:val="00B45267"/>
    <w:rsid w:val="00B46842"/>
    <w:rsid w:val="00B47A44"/>
    <w:rsid w:val="00B47F9B"/>
    <w:rsid w:val="00B501E8"/>
    <w:rsid w:val="00B519AC"/>
    <w:rsid w:val="00B51D08"/>
    <w:rsid w:val="00B5234C"/>
    <w:rsid w:val="00B5443B"/>
    <w:rsid w:val="00B5542E"/>
    <w:rsid w:val="00B55F23"/>
    <w:rsid w:val="00B55FF9"/>
    <w:rsid w:val="00B56167"/>
    <w:rsid w:val="00B563EF"/>
    <w:rsid w:val="00B56EA8"/>
    <w:rsid w:val="00B56EC8"/>
    <w:rsid w:val="00B57185"/>
    <w:rsid w:val="00B57C37"/>
    <w:rsid w:val="00B57C39"/>
    <w:rsid w:val="00B60DAC"/>
    <w:rsid w:val="00B615FC"/>
    <w:rsid w:val="00B62A3F"/>
    <w:rsid w:val="00B631EC"/>
    <w:rsid w:val="00B66B60"/>
    <w:rsid w:val="00B70299"/>
    <w:rsid w:val="00B748A6"/>
    <w:rsid w:val="00B74EFB"/>
    <w:rsid w:val="00B75BD0"/>
    <w:rsid w:val="00B75DFA"/>
    <w:rsid w:val="00B7611B"/>
    <w:rsid w:val="00B763FD"/>
    <w:rsid w:val="00B81B43"/>
    <w:rsid w:val="00B81CC7"/>
    <w:rsid w:val="00B8228B"/>
    <w:rsid w:val="00B837FD"/>
    <w:rsid w:val="00B8459C"/>
    <w:rsid w:val="00B851EA"/>
    <w:rsid w:val="00B85639"/>
    <w:rsid w:val="00B87592"/>
    <w:rsid w:val="00B87AFC"/>
    <w:rsid w:val="00B9132D"/>
    <w:rsid w:val="00B928C5"/>
    <w:rsid w:val="00B9308A"/>
    <w:rsid w:val="00B9344B"/>
    <w:rsid w:val="00B93480"/>
    <w:rsid w:val="00B940B7"/>
    <w:rsid w:val="00B94CC3"/>
    <w:rsid w:val="00B95556"/>
    <w:rsid w:val="00B96CC1"/>
    <w:rsid w:val="00B979BF"/>
    <w:rsid w:val="00B979CC"/>
    <w:rsid w:val="00B97C6C"/>
    <w:rsid w:val="00BA07D3"/>
    <w:rsid w:val="00BA2057"/>
    <w:rsid w:val="00BA3BC4"/>
    <w:rsid w:val="00BA3C30"/>
    <w:rsid w:val="00BA3C8D"/>
    <w:rsid w:val="00BA422D"/>
    <w:rsid w:val="00BA5548"/>
    <w:rsid w:val="00BA63D5"/>
    <w:rsid w:val="00BA673D"/>
    <w:rsid w:val="00BA691D"/>
    <w:rsid w:val="00BA6CA5"/>
    <w:rsid w:val="00BA778E"/>
    <w:rsid w:val="00BA79C5"/>
    <w:rsid w:val="00BA7A93"/>
    <w:rsid w:val="00BB0D83"/>
    <w:rsid w:val="00BB11D8"/>
    <w:rsid w:val="00BB232A"/>
    <w:rsid w:val="00BB2AF6"/>
    <w:rsid w:val="00BB5AD8"/>
    <w:rsid w:val="00BB6CB2"/>
    <w:rsid w:val="00BB6EA8"/>
    <w:rsid w:val="00BC1346"/>
    <w:rsid w:val="00BC1432"/>
    <w:rsid w:val="00BC176A"/>
    <w:rsid w:val="00BC2462"/>
    <w:rsid w:val="00BC25B8"/>
    <w:rsid w:val="00BC2CAF"/>
    <w:rsid w:val="00BC34D7"/>
    <w:rsid w:val="00BC371E"/>
    <w:rsid w:val="00BC4AD9"/>
    <w:rsid w:val="00BC5054"/>
    <w:rsid w:val="00BC5B3E"/>
    <w:rsid w:val="00BC5D3C"/>
    <w:rsid w:val="00BC7005"/>
    <w:rsid w:val="00BC79CD"/>
    <w:rsid w:val="00BD0E71"/>
    <w:rsid w:val="00BD1C03"/>
    <w:rsid w:val="00BD55D0"/>
    <w:rsid w:val="00BD596C"/>
    <w:rsid w:val="00BD74AF"/>
    <w:rsid w:val="00BD769D"/>
    <w:rsid w:val="00BE0818"/>
    <w:rsid w:val="00BE3A9E"/>
    <w:rsid w:val="00BE3B11"/>
    <w:rsid w:val="00BE4037"/>
    <w:rsid w:val="00BE4104"/>
    <w:rsid w:val="00BE51AC"/>
    <w:rsid w:val="00BE5BEB"/>
    <w:rsid w:val="00BE69CA"/>
    <w:rsid w:val="00BE6E5A"/>
    <w:rsid w:val="00BE7295"/>
    <w:rsid w:val="00BE7C09"/>
    <w:rsid w:val="00BE7DDD"/>
    <w:rsid w:val="00BF2021"/>
    <w:rsid w:val="00BF2022"/>
    <w:rsid w:val="00BF2047"/>
    <w:rsid w:val="00BF205C"/>
    <w:rsid w:val="00BF3317"/>
    <w:rsid w:val="00BF4E9E"/>
    <w:rsid w:val="00BF52D1"/>
    <w:rsid w:val="00BF5544"/>
    <w:rsid w:val="00BF5BA9"/>
    <w:rsid w:val="00BF6267"/>
    <w:rsid w:val="00BF6736"/>
    <w:rsid w:val="00BF6D54"/>
    <w:rsid w:val="00BF7239"/>
    <w:rsid w:val="00C01314"/>
    <w:rsid w:val="00C01853"/>
    <w:rsid w:val="00C01919"/>
    <w:rsid w:val="00C02006"/>
    <w:rsid w:val="00C03BB9"/>
    <w:rsid w:val="00C03CFA"/>
    <w:rsid w:val="00C076B3"/>
    <w:rsid w:val="00C0771C"/>
    <w:rsid w:val="00C11428"/>
    <w:rsid w:val="00C13246"/>
    <w:rsid w:val="00C13B45"/>
    <w:rsid w:val="00C14596"/>
    <w:rsid w:val="00C15A19"/>
    <w:rsid w:val="00C16869"/>
    <w:rsid w:val="00C17293"/>
    <w:rsid w:val="00C172E7"/>
    <w:rsid w:val="00C201BE"/>
    <w:rsid w:val="00C208C0"/>
    <w:rsid w:val="00C21B26"/>
    <w:rsid w:val="00C21BEC"/>
    <w:rsid w:val="00C23525"/>
    <w:rsid w:val="00C239C1"/>
    <w:rsid w:val="00C25F66"/>
    <w:rsid w:val="00C269AD"/>
    <w:rsid w:val="00C27166"/>
    <w:rsid w:val="00C308B7"/>
    <w:rsid w:val="00C31582"/>
    <w:rsid w:val="00C31790"/>
    <w:rsid w:val="00C32A36"/>
    <w:rsid w:val="00C33273"/>
    <w:rsid w:val="00C37462"/>
    <w:rsid w:val="00C40287"/>
    <w:rsid w:val="00C40537"/>
    <w:rsid w:val="00C405EF"/>
    <w:rsid w:val="00C41091"/>
    <w:rsid w:val="00C41A29"/>
    <w:rsid w:val="00C41AFC"/>
    <w:rsid w:val="00C42662"/>
    <w:rsid w:val="00C42D3A"/>
    <w:rsid w:val="00C43249"/>
    <w:rsid w:val="00C438F7"/>
    <w:rsid w:val="00C448AB"/>
    <w:rsid w:val="00C466F6"/>
    <w:rsid w:val="00C46946"/>
    <w:rsid w:val="00C479FA"/>
    <w:rsid w:val="00C50244"/>
    <w:rsid w:val="00C5190C"/>
    <w:rsid w:val="00C52419"/>
    <w:rsid w:val="00C52A4D"/>
    <w:rsid w:val="00C55426"/>
    <w:rsid w:val="00C601A6"/>
    <w:rsid w:val="00C6110C"/>
    <w:rsid w:val="00C61AC5"/>
    <w:rsid w:val="00C61CF4"/>
    <w:rsid w:val="00C629E2"/>
    <w:rsid w:val="00C6427A"/>
    <w:rsid w:val="00C6553C"/>
    <w:rsid w:val="00C7152B"/>
    <w:rsid w:val="00C719C7"/>
    <w:rsid w:val="00C74565"/>
    <w:rsid w:val="00C75508"/>
    <w:rsid w:val="00C76DEC"/>
    <w:rsid w:val="00C77461"/>
    <w:rsid w:val="00C775D8"/>
    <w:rsid w:val="00C779D0"/>
    <w:rsid w:val="00C80525"/>
    <w:rsid w:val="00C80C4E"/>
    <w:rsid w:val="00C810F7"/>
    <w:rsid w:val="00C824AA"/>
    <w:rsid w:val="00C83271"/>
    <w:rsid w:val="00C8357B"/>
    <w:rsid w:val="00C867CA"/>
    <w:rsid w:val="00C86CB5"/>
    <w:rsid w:val="00C86CDE"/>
    <w:rsid w:val="00C87508"/>
    <w:rsid w:val="00C876F6"/>
    <w:rsid w:val="00C87E3C"/>
    <w:rsid w:val="00C90336"/>
    <w:rsid w:val="00C904B2"/>
    <w:rsid w:val="00C90C37"/>
    <w:rsid w:val="00C90D06"/>
    <w:rsid w:val="00C917B2"/>
    <w:rsid w:val="00C93FEB"/>
    <w:rsid w:val="00C9439C"/>
    <w:rsid w:val="00C961F7"/>
    <w:rsid w:val="00C97112"/>
    <w:rsid w:val="00CA03FA"/>
    <w:rsid w:val="00CA073C"/>
    <w:rsid w:val="00CA0F67"/>
    <w:rsid w:val="00CA1C08"/>
    <w:rsid w:val="00CA35C6"/>
    <w:rsid w:val="00CA3643"/>
    <w:rsid w:val="00CA67AC"/>
    <w:rsid w:val="00CA75C6"/>
    <w:rsid w:val="00CB1C81"/>
    <w:rsid w:val="00CB1E59"/>
    <w:rsid w:val="00CB2F06"/>
    <w:rsid w:val="00CB3C13"/>
    <w:rsid w:val="00CB3F91"/>
    <w:rsid w:val="00CB4045"/>
    <w:rsid w:val="00CB4BA9"/>
    <w:rsid w:val="00CB56EF"/>
    <w:rsid w:val="00CB5C03"/>
    <w:rsid w:val="00CB657D"/>
    <w:rsid w:val="00CC1828"/>
    <w:rsid w:val="00CC192D"/>
    <w:rsid w:val="00CC4027"/>
    <w:rsid w:val="00CC523F"/>
    <w:rsid w:val="00CC561C"/>
    <w:rsid w:val="00CD11A8"/>
    <w:rsid w:val="00CD1234"/>
    <w:rsid w:val="00CD26D5"/>
    <w:rsid w:val="00CD2E2C"/>
    <w:rsid w:val="00CD3182"/>
    <w:rsid w:val="00CD33C2"/>
    <w:rsid w:val="00CD5209"/>
    <w:rsid w:val="00CD53C4"/>
    <w:rsid w:val="00CD597F"/>
    <w:rsid w:val="00CD6479"/>
    <w:rsid w:val="00CD6B35"/>
    <w:rsid w:val="00CD7323"/>
    <w:rsid w:val="00CD761E"/>
    <w:rsid w:val="00CD7815"/>
    <w:rsid w:val="00CD7EE7"/>
    <w:rsid w:val="00CE0297"/>
    <w:rsid w:val="00CE1924"/>
    <w:rsid w:val="00CE1B75"/>
    <w:rsid w:val="00CE2D2D"/>
    <w:rsid w:val="00CE2F6F"/>
    <w:rsid w:val="00CE3497"/>
    <w:rsid w:val="00CE4129"/>
    <w:rsid w:val="00CE580E"/>
    <w:rsid w:val="00CE6C63"/>
    <w:rsid w:val="00CE6D1B"/>
    <w:rsid w:val="00CF0514"/>
    <w:rsid w:val="00CF07A5"/>
    <w:rsid w:val="00CF0BAC"/>
    <w:rsid w:val="00CF1BC8"/>
    <w:rsid w:val="00CF1CC3"/>
    <w:rsid w:val="00CF221F"/>
    <w:rsid w:val="00CF2D39"/>
    <w:rsid w:val="00CF4BF7"/>
    <w:rsid w:val="00CF7967"/>
    <w:rsid w:val="00CF7B0A"/>
    <w:rsid w:val="00CF7CED"/>
    <w:rsid w:val="00CF7FA3"/>
    <w:rsid w:val="00D00005"/>
    <w:rsid w:val="00D00948"/>
    <w:rsid w:val="00D0186B"/>
    <w:rsid w:val="00D024C2"/>
    <w:rsid w:val="00D027BD"/>
    <w:rsid w:val="00D03D8C"/>
    <w:rsid w:val="00D0482F"/>
    <w:rsid w:val="00D051F2"/>
    <w:rsid w:val="00D063D6"/>
    <w:rsid w:val="00D07B28"/>
    <w:rsid w:val="00D101EE"/>
    <w:rsid w:val="00D11598"/>
    <w:rsid w:val="00D11758"/>
    <w:rsid w:val="00D13090"/>
    <w:rsid w:val="00D15CC3"/>
    <w:rsid w:val="00D172CB"/>
    <w:rsid w:val="00D209AC"/>
    <w:rsid w:val="00D20AB8"/>
    <w:rsid w:val="00D2102F"/>
    <w:rsid w:val="00D213E6"/>
    <w:rsid w:val="00D2182B"/>
    <w:rsid w:val="00D21F74"/>
    <w:rsid w:val="00D2204B"/>
    <w:rsid w:val="00D231FD"/>
    <w:rsid w:val="00D2473F"/>
    <w:rsid w:val="00D24831"/>
    <w:rsid w:val="00D253FE"/>
    <w:rsid w:val="00D25842"/>
    <w:rsid w:val="00D271A1"/>
    <w:rsid w:val="00D31438"/>
    <w:rsid w:val="00D31F73"/>
    <w:rsid w:val="00D3261F"/>
    <w:rsid w:val="00D326B9"/>
    <w:rsid w:val="00D3330F"/>
    <w:rsid w:val="00D37347"/>
    <w:rsid w:val="00D3755F"/>
    <w:rsid w:val="00D407E3"/>
    <w:rsid w:val="00D41B6F"/>
    <w:rsid w:val="00D42FEC"/>
    <w:rsid w:val="00D4366D"/>
    <w:rsid w:val="00D43EB6"/>
    <w:rsid w:val="00D4405C"/>
    <w:rsid w:val="00D44FCE"/>
    <w:rsid w:val="00D508DA"/>
    <w:rsid w:val="00D510FB"/>
    <w:rsid w:val="00D51AE9"/>
    <w:rsid w:val="00D51CB3"/>
    <w:rsid w:val="00D53302"/>
    <w:rsid w:val="00D539E4"/>
    <w:rsid w:val="00D540A4"/>
    <w:rsid w:val="00D5491E"/>
    <w:rsid w:val="00D54AB0"/>
    <w:rsid w:val="00D54E60"/>
    <w:rsid w:val="00D54EE7"/>
    <w:rsid w:val="00D54F72"/>
    <w:rsid w:val="00D56C6F"/>
    <w:rsid w:val="00D617EC"/>
    <w:rsid w:val="00D62302"/>
    <w:rsid w:val="00D632F6"/>
    <w:rsid w:val="00D63721"/>
    <w:rsid w:val="00D63929"/>
    <w:rsid w:val="00D639CF"/>
    <w:rsid w:val="00D657D6"/>
    <w:rsid w:val="00D66D68"/>
    <w:rsid w:val="00D73333"/>
    <w:rsid w:val="00D74328"/>
    <w:rsid w:val="00D7580E"/>
    <w:rsid w:val="00D760F8"/>
    <w:rsid w:val="00D76C40"/>
    <w:rsid w:val="00D77054"/>
    <w:rsid w:val="00D775F7"/>
    <w:rsid w:val="00D8004B"/>
    <w:rsid w:val="00D8113C"/>
    <w:rsid w:val="00D81339"/>
    <w:rsid w:val="00D8144E"/>
    <w:rsid w:val="00D81781"/>
    <w:rsid w:val="00D8192F"/>
    <w:rsid w:val="00D81A40"/>
    <w:rsid w:val="00D82C12"/>
    <w:rsid w:val="00D8345A"/>
    <w:rsid w:val="00D84002"/>
    <w:rsid w:val="00D84259"/>
    <w:rsid w:val="00D86078"/>
    <w:rsid w:val="00D8659A"/>
    <w:rsid w:val="00D86D72"/>
    <w:rsid w:val="00D87413"/>
    <w:rsid w:val="00D92A4A"/>
    <w:rsid w:val="00D942CF"/>
    <w:rsid w:val="00D94C71"/>
    <w:rsid w:val="00D94D77"/>
    <w:rsid w:val="00D9632D"/>
    <w:rsid w:val="00D97D16"/>
    <w:rsid w:val="00DA00C4"/>
    <w:rsid w:val="00DA0349"/>
    <w:rsid w:val="00DA2191"/>
    <w:rsid w:val="00DA24D0"/>
    <w:rsid w:val="00DA4022"/>
    <w:rsid w:val="00DA5FB9"/>
    <w:rsid w:val="00DA6217"/>
    <w:rsid w:val="00DB0470"/>
    <w:rsid w:val="00DB0FD9"/>
    <w:rsid w:val="00DB1B1E"/>
    <w:rsid w:val="00DB28ED"/>
    <w:rsid w:val="00DB2B3C"/>
    <w:rsid w:val="00DB308D"/>
    <w:rsid w:val="00DB36AB"/>
    <w:rsid w:val="00DB3BC2"/>
    <w:rsid w:val="00DB48B5"/>
    <w:rsid w:val="00DC0327"/>
    <w:rsid w:val="00DC089A"/>
    <w:rsid w:val="00DC0FF4"/>
    <w:rsid w:val="00DC16A4"/>
    <w:rsid w:val="00DC2C90"/>
    <w:rsid w:val="00DC30D4"/>
    <w:rsid w:val="00DC378B"/>
    <w:rsid w:val="00DC4145"/>
    <w:rsid w:val="00DC4DA4"/>
    <w:rsid w:val="00DC5C4F"/>
    <w:rsid w:val="00DC5F33"/>
    <w:rsid w:val="00DC70C3"/>
    <w:rsid w:val="00DC7F26"/>
    <w:rsid w:val="00DD0CB9"/>
    <w:rsid w:val="00DD12F2"/>
    <w:rsid w:val="00DD1E87"/>
    <w:rsid w:val="00DD211D"/>
    <w:rsid w:val="00DD298D"/>
    <w:rsid w:val="00DD2C95"/>
    <w:rsid w:val="00DD3A9A"/>
    <w:rsid w:val="00DD5B69"/>
    <w:rsid w:val="00DD7622"/>
    <w:rsid w:val="00DE0290"/>
    <w:rsid w:val="00DE0D46"/>
    <w:rsid w:val="00DE1399"/>
    <w:rsid w:val="00DE1B9D"/>
    <w:rsid w:val="00DE2186"/>
    <w:rsid w:val="00DE25B3"/>
    <w:rsid w:val="00DE3780"/>
    <w:rsid w:val="00DE3A39"/>
    <w:rsid w:val="00DE3FAC"/>
    <w:rsid w:val="00DE4DC1"/>
    <w:rsid w:val="00DE6249"/>
    <w:rsid w:val="00DF1E0A"/>
    <w:rsid w:val="00DF2728"/>
    <w:rsid w:val="00DF27BC"/>
    <w:rsid w:val="00DF2846"/>
    <w:rsid w:val="00DF40B4"/>
    <w:rsid w:val="00DF511B"/>
    <w:rsid w:val="00DF5D51"/>
    <w:rsid w:val="00DF5F72"/>
    <w:rsid w:val="00DF62FA"/>
    <w:rsid w:val="00DF77EA"/>
    <w:rsid w:val="00DF7EA7"/>
    <w:rsid w:val="00E02F37"/>
    <w:rsid w:val="00E030D6"/>
    <w:rsid w:val="00E0369A"/>
    <w:rsid w:val="00E06E03"/>
    <w:rsid w:val="00E1108A"/>
    <w:rsid w:val="00E1139A"/>
    <w:rsid w:val="00E12211"/>
    <w:rsid w:val="00E13812"/>
    <w:rsid w:val="00E13D56"/>
    <w:rsid w:val="00E14334"/>
    <w:rsid w:val="00E15653"/>
    <w:rsid w:val="00E15761"/>
    <w:rsid w:val="00E15852"/>
    <w:rsid w:val="00E170BE"/>
    <w:rsid w:val="00E17CBB"/>
    <w:rsid w:val="00E2326D"/>
    <w:rsid w:val="00E24A0C"/>
    <w:rsid w:val="00E24B0E"/>
    <w:rsid w:val="00E25596"/>
    <w:rsid w:val="00E26258"/>
    <w:rsid w:val="00E262AD"/>
    <w:rsid w:val="00E26AD7"/>
    <w:rsid w:val="00E27067"/>
    <w:rsid w:val="00E3593C"/>
    <w:rsid w:val="00E359A4"/>
    <w:rsid w:val="00E36208"/>
    <w:rsid w:val="00E400D5"/>
    <w:rsid w:val="00E40403"/>
    <w:rsid w:val="00E41318"/>
    <w:rsid w:val="00E4177E"/>
    <w:rsid w:val="00E44C32"/>
    <w:rsid w:val="00E450BA"/>
    <w:rsid w:val="00E47333"/>
    <w:rsid w:val="00E47C26"/>
    <w:rsid w:val="00E501F5"/>
    <w:rsid w:val="00E503DD"/>
    <w:rsid w:val="00E51197"/>
    <w:rsid w:val="00E527BB"/>
    <w:rsid w:val="00E52B65"/>
    <w:rsid w:val="00E52D52"/>
    <w:rsid w:val="00E53127"/>
    <w:rsid w:val="00E53614"/>
    <w:rsid w:val="00E55A28"/>
    <w:rsid w:val="00E56D8E"/>
    <w:rsid w:val="00E57B81"/>
    <w:rsid w:val="00E605DE"/>
    <w:rsid w:val="00E6094F"/>
    <w:rsid w:val="00E60CF1"/>
    <w:rsid w:val="00E61F59"/>
    <w:rsid w:val="00E62185"/>
    <w:rsid w:val="00E627E3"/>
    <w:rsid w:val="00E62AA0"/>
    <w:rsid w:val="00E6352A"/>
    <w:rsid w:val="00E63DD7"/>
    <w:rsid w:val="00E6423D"/>
    <w:rsid w:val="00E64BAC"/>
    <w:rsid w:val="00E64ED9"/>
    <w:rsid w:val="00E64EE7"/>
    <w:rsid w:val="00E701BC"/>
    <w:rsid w:val="00E70FDF"/>
    <w:rsid w:val="00E72749"/>
    <w:rsid w:val="00E72C54"/>
    <w:rsid w:val="00E72E09"/>
    <w:rsid w:val="00E73391"/>
    <w:rsid w:val="00E7340E"/>
    <w:rsid w:val="00E73E0D"/>
    <w:rsid w:val="00E7453A"/>
    <w:rsid w:val="00E74AD1"/>
    <w:rsid w:val="00E753F3"/>
    <w:rsid w:val="00E779AE"/>
    <w:rsid w:val="00E80228"/>
    <w:rsid w:val="00E81A60"/>
    <w:rsid w:val="00E825F7"/>
    <w:rsid w:val="00E8411E"/>
    <w:rsid w:val="00E8549A"/>
    <w:rsid w:val="00E85F14"/>
    <w:rsid w:val="00E87C46"/>
    <w:rsid w:val="00E87C82"/>
    <w:rsid w:val="00E90D8F"/>
    <w:rsid w:val="00E91305"/>
    <w:rsid w:val="00E92088"/>
    <w:rsid w:val="00E92A43"/>
    <w:rsid w:val="00E935B4"/>
    <w:rsid w:val="00E94182"/>
    <w:rsid w:val="00E95087"/>
    <w:rsid w:val="00E95807"/>
    <w:rsid w:val="00E95D7F"/>
    <w:rsid w:val="00E9616A"/>
    <w:rsid w:val="00E9642E"/>
    <w:rsid w:val="00E96907"/>
    <w:rsid w:val="00E97F5D"/>
    <w:rsid w:val="00EA03D0"/>
    <w:rsid w:val="00EA0499"/>
    <w:rsid w:val="00EA1175"/>
    <w:rsid w:val="00EA26E2"/>
    <w:rsid w:val="00EA2EEC"/>
    <w:rsid w:val="00EA4CCB"/>
    <w:rsid w:val="00EA63E6"/>
    <w:rsid w:val="00EA7397"/>
    <w:rsid w:val="00EB0EC8"/>
    <w:rsid w:val="00EB104D"/>
    <w:rsid w:val="00EB2000"/>
    <w:rsid w:val="00EB4080"/>
    <w:rsid w:val="00EB5EE0"/>
    <w:rsid w:val="00EB6D0A"/>
    <w:rsid w:val="00EB6ED4"/>
    <w:rsid w:val="00EB745C"/>
    <w:rsid w:val="00EC13B4"/>
    <w:rsid w:val="00EC20EC"/>
    <w:rsid w:val="00EC3563"/>
    <w:rsid w:val="00EC3E1D"/>
    <w:rsid w:val="00EC5958"/>
    <w:rsid w:val="00EC6F77"/>
    <w:rsid w:val="00EC7753"/>
    <w:rsid w:val="00EC7865"/>
    <w:rsid w:val="00EC79A0"/>
    <w:rsid w:val="00ED0469"/>
    <w:rsid w:val="00ED1869"/>
    <w:rsid w:val="00ED195F"/>
    <w:rsid w:val="00ED203A"/>
    <w:rsid w:val="00ED3BB2"/>
    <w:rsid w:val="00ED4345"/>
    <w:rsid w:val="00ED43C8"/>
    <w:rsid w:val="00ED482A"/>
    <w:rsid w:val="00ED51F7"/>
    <w:rsid w:val="00ED593B"/>
    <w:rsid w:val="00ED64B4"/>
    <w:rsid w:val="00ED6E52"/>
    <w:rsid w:val="00ED7137"/>
    <w:rsid w:val="00ED7359"/>
    <w:rsid w:val="00EE25AE"/>
    <w:rsid w:val="00EE3F55"/>
    <w:rsid w:val="00EE40EB"/>
    <w:rsid w:val="00EE5D14"/>
    <w:rsid w:val="00EE7057"/>
    <w:rsid w:val="00EE7B56"/>
    <w:rsid w:val="00EF00C6"/>
    <w:rsid w:val="00EF0427"/>
    <w:rsid w:val="00EF0CF0"/>
    <w:rsid w:val="00EF107C"/>
    <w:rsid w:val="00EF1941"/>
    <w:rsid w:val="00EF1CA2"/>
    <w:rsid w:val="00EF248F"/>
    <w:rsid w:val="00EF2FC4"/>
    <w:rsid w:val="00EF3F4C"/>
    <w:rsid w:val="00EF6C87"/>
    <w:rsid w:val="00EF764E"/>
    <w:rsid w:val="00F00164"/>
    <w:rsid w:val="00F00F94"/>
    <w:rsid w:val="00F030D2"/>
    <w:rsid w:val="00F033C6"/>
    <w:rsid w:val="00F0344D"/>
    <w:rsid w:val="00F0387A"/>
    <w:rsid w:val="00F03A0D"/>
    <w:rsid w:val="00F03CE2"/>
    <w:rsid w:val="00F045E3"/>
    <w:rsid w:val="00F0655F"/>
    <w:rsid w:val="00F0771B"/>
    <w:rsid w:val="00F12497"/>
    <w:rsid w:val="00F13104"/>
    <w:rsid w:val="00F13BBA"/>
    <w:rsid w:val="00F13F52"/>
    <w:rsid w:val="00F14EE9"/>
    <w:rsid w:val="00F21CE9"/>
    <w:rsid w:val="00F22BA9"/>
    <w:rsid w:val="00F23BEC"/>
    <w:rsid w:val="00F240B0"/>
    <w:rsid w:val="00F24E79"/>
    <w:rsid w:val="00F25240"/>
    <w:rsid w:val="00F26499"/>
    <w:rsid w:val="00F26565"/>
    <w:rsid w:val="00F27514"/>
    <w:rsid w:val="00F305AD"/>
    <w:rsid w:val="00F308D3"/>
    <w:rsid w:val="00F31820"/>
    <w:rsid w:val="00F31845"/>
    <w:rsid w:val="00F3193A"/>
    <w:rsid w:val="00F32A65"/>
    <w:rsid w:val="00F32AB4"/>
    <w:rsid w:val="00F335AE"/>
    <w:rsid w:val="00F33851"/>
    <w:rsid w:val="00F343D3"/>
    <w:rsid w:val="00F35F09"/>
    <w:rsid w:val="00F36061"/>
    <w:rsid w:val="00F372CB"/>
    <w:rsid w:val="00F41964"/>
    <w:rsid w:val="00F419A3"/>
    <w:rsid w:val="00F445DB"/>
    <w:rsid w:val="00F44B3C"/>
    <w:rsid w:val="00F45178"/>
    <w:rsid w:val="00F46170"/>
    <w:rsid w:val="00F470AF"/>
    <w:rsid w:val="00F5030A"/>
    <w:rsid w:val="00F51329"/>
    <w:rsid w:val="00F52709"/>
    <w:rsid w:val="00F52F20"/>
    <w:rsid w:val="00F56F62"/>
    <w:rsid w:val="00F57497"/>
    <w:rsid w:val="00F5794C"/>
    <w:rsid w:val="00F61926"/>
    <w:rsid w:val="00F62086"/>
    <w:rsid w:val="00F63798"/>
    <w:rsid w:val="00F64530"/>
    <w:rsid w:val="00F64942"/>
    <w:rsid w:val="00F65D06"/>
    <w:rsid w:val="00F66970"/>
    <w:rsid w:val="00F669B8"/>
    <w:rsid w:val="00F671F8"/>
    <w:rsid w:val="00F7098B"/>
    <w:rsid w:val="00F7160E"/>
    <w:rsid w:val="00F71B03"/>
    <w:rsid w:val="00F72377"/>
    <w:rsid w:val="00F7395B"/>
    <w:rsid w:val="00F74DFB"/>
    <w:rsid w:val="00F75BB5"/>
    <w:rsid w:val="00F76A15"/>
    <w:rsid w:val="00F82137"/>
    <w:rsid w:val="00F824BE"/>
    <w:rsid w:val="00F82A23"/>
    <w:rsid w:val="00F82AE4"/>
    <w:rsid w:val="00F846D3"/>
    <w:rsid w:val="00F8641A"/>
    <w:rsid w:val="00F86F2B"/>
    <w:rsid w:val="00F9032C"/>
    <w:rsid w:val="00F9093F"/>
    <w:rsid w:val="00F91626"/>
    <w:rsid w:val="00F92979"/>
    <w:rsid w:val="00F929E1"/>
    <w:rsid w:val="00F93C41"/>
    <w:rsid w:val="00F95676"/>
    <w:rsid w:val="00F9614C"/>
    <w:rsid w:val="00F96266"/>
    <w:rsid w:val="00FA27D5"/>
    <w:rsid w:val="00FA3348"/>
    <w:rsid w:val="00FA3CB6"/>
    <w:rsid w:val="00FA3D5F"/>
    <w:rsid w:val="00FA5713"/>
    <w:rsid w:val="00FA64B1"/>
    <w:rsid w:val="00FA6F10"/>
    <w:rsid w:val="00FA76E2"/>
    <w:rsid w:val="00FB0006"/>
    <w:rsid w:val="00FB00A3"/>
    <w:rsid w:val="00FB1724"/>
    <w:rsid w:val="00FB2E51"/>
    <w:rsid w:val="00FB45D5"/>
    <w:rsid w:val="00FB4C68"/>
    <w:rsid w:val="00FB5100"/>
    <w:rsid w:val="00FB5F06"/>
    <w:rsid w:val="00FB674C"/>
    <w:rsid w:val="00FB68AF"/>
    <w:rsid w:val="00FB7DD8"/>
    <w:rsid w:val="00FB7E7B"/>
    <w:rsid w:val="00FC21D8"/>
    <w:rsid w:val="00FC2B13"/>
    <w:rsid w:val="00FC397E"/>
    <w:rsid w:val="00FC43E7"/>
    <w:rsid w:val="00FC4500"/>
    <w:rsid w:val="00FC47B6"/>
    <w:rsid w:val="00FC59D4"/>
    <w:rsid w:val="00FC6DFF"/>
    <w:rsid w:val="00FC70DB"/>
    <w:rsid w:val="00FC7B59"/>
    <w:rsid w:val="00FD0126"/>
    <w:rsid w:val="00FD03F7"/>
    <w:rsid w:val="00FD0714"/>
    <w:rsid w:val="00FD0C3C"/>
    <w:rsid w:val="00FD1541"/>
    <w:rsid w:val="00FD23E3"/>
    <w:rsid w:val="00FD2E04"/>
    <w:rsid w:val="00FD36B6"/>
    <w:rsid w:val="00FD425F"/>
    <w:rsid w:val="00FD6A67"/>
    <w:rsid w:val="00FD6C61"/>
    <w:rsid w:val="00FD7849"/>
    <w:rsid w:val="00FE1E8B"/>
    <w:rsid w:val="00FE26A2"/>
    <w:rsid w:val="00FE2956"/>
    <w:rsid w:val="00FE61E6"/>
    <w:rsid w:val="00FE7F9E"/>
    <w:rsid w:val="00FF10A1"/>
    <w:rsid w:val="00FF1679"/>
    <w:rsid w:val="00FF1C0F"/>
    <w:rsid w:val="00FF1C20"/>
    <w:rsid w:val="00FF241E"/>
    <w:rsid w:val="00FF461A"/>
    <w:rsid w:val="00FF5384"/>
    <w:rsid w:val="00FF65B4"/>
    <w:rsid w:val="00FF68EF"/>
    <w:rsid w:val="00FF75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CAD7B09"/>
  <w15:docId w15:val="{A7EECF78-587F-4FCB-95E9-3837A766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A7"/>
    <w:pPr>
      <w:spacing w:after="120"/>
      <w:ind w:firstLine="709"/>
      <w:jc w:val="both"/>
    </w:pPr>
    <w:rPr>
      <w:sz w:val="24"/>
      <w:lang w:eastAsia="en-US"/>
    </w:rPr>
  </w:style>
  <w:style w:type="paragraph" w:styleId="Heading1">
    <w:name w:val="heading 1"/>
    <w:basedOn w:val="Normal"/>
    <w:next w:val="Normal"/>
    <w:rsid w:val="00756BEB"/>
    <w:pPr>
      <w:keepNext/>
      <w:outlineLvl w:val="0"/>
    </w:pPr>
    <w:rPr>
      <w:b/>
    </w:rPr>
  </w:style>
  <w:style w:type="paragraph" w:styleId="Heading2">
    <w:name w:val="heading 2"/>
    <w:basedOn w:val="Normal"/>
    <w:next w:val="Normal"/>
    <w:rsid w:val="00756BEB"/>
    <w:pPr>
      <w:keepNext/>
      <w:spacing w:before="240" w:after="60"/>
      <w:outlineLvl w:val="1"/>
    </w:pPr>
    <w:rPr>
      <w:rFonts w:ascii="Arial" w:hAnsi="Arial" w:cs="Arial"/>
      <w:b/>
      <w:bCs/>
      <w:i/>
      <w:iCs/>
      <w:szCs w:val="28"/>
    </w:rPr>
  </w:style>
  <w:style w:type="paragraph" w:styleId="Heading3">
    <w:name w:val="heading 3"/>
    <w:basedOn w:val="Normal"/>
    <w:next w:val="Normal"/>
    <w:rsid w:val="00756BEB"/>
    <w:pPr>
      <w:keepNext/>
      <w:spacing w:before="240" w:after="60"/>
      <w:outlineLvl w:val="2"/>
    </w:pPr>
    <w:rPr>
      <w:rFonts w:ascii="Arial" w:hAnsi="Arial"/>
    </w:rPr>
  </w:style>
  <w:style w:type="paragraph" w:styleId="Heading4">
    <w:name w:val="heading 4"/>
    <w:basedOn w:val="Normal"/>
    <w:next w:val="Normal"/>
    <w:rsid w:val="00756BEB"/>
    <w:pPr>
      <w:keepNext/>
      <w:spacing w:after="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6BEB"/>
    <w:pPr>
      <w:tabs>
        <w:tab w:val="center" w:pos="4153"/>
        <w:tab w:val="right" w:pos="8306"/>
      </w:tabs>
      <w:spacing w:after="0"/>
      <w:ind w:firstLine="0"/>
    </w:pPr>
    <w:rPr>
      <w:sz w:val="20"/>
    </w:rPr>
  </w:style>
  <w:style w:type="character" w:customStyle="1" w:styleId="FooterChar">
    <w:name w:val="Footer Char"/>
    <w:link w:val="Footer"/>
    <w:uiPriority w:val="99"/>
    <w:locked/>
    <w:rsid w:val="002E0855"/>
    <w:rPr>
      <w:lang w:eastAsia="en-US"/>
    </w:rPr>
  </w:style>
  <w:style w:type="paragraph" w:customStyle="1" w:styleId="H4">
    <w:name w:val="H4"/>
    <w:uiPriority w:val="99"/>
    <w:rsid w:val="009731A7"/>
    <w:pPr>
      <w:spacing w:after="120"/>
      <w:jc w:val="center"/>
      <w:outlineLvl w:val="3"/>
    </w:pPr>
    <w:rPr>
      <w:b/>
      <w:sz w:val="28"/>
      <w:lang w:eastAsia="en-US"/>
    </w:rPr>
  </w:style>
  <w:style w:type="paragraph" w:customStyle="1" w:styleId="H3">
    <w:name w:val="H3"/>
    <w:rsid w:val="009731A7"/>
    <w:pPr>
      <w:spacing w:after="120"/>
      <w:jc w:val="center"/>
      <w:outlineLvl w:val="2"/>
    </w:pPr>
    <w:rPr>
      <w:b/>
      <w:sz w:val="32"/>
      <w:lang w:eastAsia="en-US"/>
    </w:rPr>
  </w:style>
  <w:style w:type="paragraph" w:customStyle="1" w:styleId="H2">
    <w:name w:val="H2"/>
    <w:rsid w:val="009731A7"/>
    <w:pPr>
      <w:spacing w:after="120"/>
      <w:jc w:val="center"/>
      <w:outlineLvl w:val="1"/>
    </w:pPr>
    <w:rPr>
      <w:b/>
      <w:sz w:val="36"/>
      <w:lang w:eastAsia="en-US"/>
    </w:rPr>
  </w:style>
  <w:style w:type="paragraph" w:customStyle="1" w:styleId="H1">
    <w:name w:val="H1"/>
    <w:rsid w:val="009731A7"/>
    <w:pPr>
      <w:spacing w:after="120"/>
      <w:jc w:val="center"/>
      <w:outlineLvl w:val="0"/>
    </w:pPr>
    <w:rPr>
      <w:b/>
      <w:sz w:val="44"/>
      <w:lang w:eastAsia="en-US"/>
    </w:rPr>
  </w:style>
  <w:style w:type="paragraph" w:customStyle="1" w:styleId="T">
    <w:name w:val="T"/>
    <w:basedOn w:val="Normal"/>
    <w:rsid w:val="009731A7"/>
    <w:pPr>
      <w:keepNext/>
      <w:ind w:firstLine="0"/>
      <w:jc w:val="center"/>
    </w:pPr>
    <w:rPr>
      <w:b/>
      <w:i/>
    </w:rPr>
  </w:style>
  <w:style w:type="paragraph" w:customStyle="1" w:styleId="Z">
    <w:name w:val="Z"/>
    <w:basedOn w:val="T"/>
    <w:uiPriority w:val="99"/>
    <w:rsid w:val="009731A7"/>
    <w:pPr>
      <w:keepNext w:val="0"/>
    </w:pPr>
  </w:style>
  <w:style w:type="character" w:styleId="PageNumber">
    <w:name w:val="page number"/>
    <w:basedOn w:val="DefaultParagraphFont"/>
    <w:semiHidden/>
    <w:rsid w:val="00756BEB"/>
  </w:style>
  <w:style w:type="paragraph" w:styleId="Header">
    <w:name w:val="header"/>
    <w:basedOn w:val="Normal"/>
    <w:semiHidden/>
    <w:rsid w:val="00756BEB"/>
    <w:pPr>
      <w:tabs>
        <w:tab w:val="center" w:pos="4153"/>
        <w:tab w:val="right" w:pos="8306"/>
      </w:tabs>
      <w:spacing w:after="0"/>
      <w:ind w:firstLine="0"/>
    </w:pPr>
  </w:style>
  <w:style w:type="paragraph" w:customStyle="1" w:styleId="paraksti">
    <w:name w:val="paraksti"/>
    <w:basedOn w:val="Normal"/>
    <w:qFormat/>
    <w:rsid w:val="009731A7"/>
    <w:pPr>
      <w:ind w:firstLine="0"/>
    </w:pPr>
    <w:rPr>
      <w:i/>
      <w:sz w:val="18"/>
    </w:rPr>
  </w:style>
  <w:style w:type="paragraph" w:styleId="FootnoteText">
    <w:name w:val="footnote text"/>
    <w:basedOn w:val="Normal"/>
    <w:link w:val="FootnoteTextChar"/>
    <w:uiPriority w:val="99"/>
    <w:semiHidden/>
    <w:rsid w:val="00756BEB"/>
    <w:rPr>
      <w:sz w:val="20"/>
    </w:rPr>
  </w:style>
  <w:style w:type="character" w:customStyle="1" w:styleId="FootnoteTextChar">
    <w:name w:val="Footnote Text Char"/>
    <w:link w:val="FootnoteText"/>
    <w:uiPriority w:val="99"/>
    <w:semiHidden/>
    <w:rsid w:val="00831B78"/>
    <w:rPr>
      <w:lang w:eastAsia="en-US"/>
    </w:rPr>
  </w:style>
  <w:style w:type="paragraph" w:styleId="TOC1">
    <w:name w:val="toc 1"/>
    <w:basedOn w:val="Normal"/>
    <w:next w:val="Normal"/>
    <w:autoRedefine/>
    <w:semiHidden/>
    <w:rsid w:val="00756BEB"/>
    <w:pPr>
      <w:tabs>
        <w:tab w:val="right" w:leader="dot" w:pos="9061"/>
      </w:tabs>
      <w:ind w:firstLine="0"/>
    </w:pPr>
    <w:rPr>
      <w:noProof/>
      <w:szCs w:val="36"/>
    </w:rPr>
  </w:style>
  <w:style w:type="paragraph" w:styleId="TOC2">
    <w:name w:val="toc 2"/>
    <w:basedOn w:val="Normal"/>
    <w:next w:val="Normal"/>
    <w:autoRedefine/>
    <w:semiHidden/>
    <w:rsid w:val="00756BEB"/>
    <w:pPr>
      <w:tabs>
        <w:tab w:val="right" w:leader="dot" w:pos="9061"/>
      </w:tabs>
      <w:spacing w:after="0"/>
    </w:pPr>
    <w:rPr>
      <w:noProof/>
      <w:szCs w:val="32"/>
    </w:rPr>
  </w:style>
  <w:style w:type="paragraph" w:styleId="TOC3">
    <w:name w:val="toc 3"/>
    <w:basedOn w:val="Normal"/>
    <w:next w:val="Normal"/>
    <w:autoRedefine/>
    <w:semiHidden/>
    <w:rsid w:val="00756BEB"/>
    <w:pPr>
      <w:tabs>
        <w:tab w:val="right" w:leader="dot" w:pos="9061"/>
      </w:tabs>
      <w:spacing w:after="0"/>
      <w:ind w:left="1134" w:firstLine="0"/>
      <w:jc w:val="left"/>
    </w:pPr>
    <w:rPr>
      <w:noProof/>
      <w:szCs w:val="28"/>
    </w:rPr>
  </w:style>
  <w:style w:type="paragraph" w:styleId="BalloonText">
    <w:name w:val="Balloon Text"/>
    <w:basedOn w:val="Normal"/>
    <w:link w:val="BalloonTextChar"/>
    <w:uiPriority w:val="99"/>
    <w:semiHidden/>
    <w:unhideWhenUsed/>
    <w:rsid w:val="00F71B03"/>
    <w:pPr>
      <w:spacing w:after="0"/>
    </w:pPr>
    <w:rPr>
      <w:rFonts w:ascii="Tahoma" w:hAnsi="Tahoma" w:cs="Tahoma"/>
      <w:sz w:val="16"/>
      <w:szCs w:val="16"/>
    </w:rPr>
  </w:style>
  <w:style w:type="character" w:customStyle="1" w:styleId="BalloonTextChar">
    <w:name w:val="Balloon Text Char"/>
    <w:link w:val="BalloonText"/>
    <w:uiPriority w:val="99"/>
    <w:semiHidden/>
    <w:rsid w:val="00F71B03"/>
    <w:rPr>
      <w:rFonts w:ascii="Tahoma" w:hAnsi="Tahoma" w:cs="Tahoma"/>
      <w:sz w:val="16"/>
      <w:szCs w:val="16"/>
      <w:lang w:eastAsia="en-US"/>
    </w:rPr>
  </w:style>
  <w:style w:type="paragraph" w:styleId="EndnoteText">
    <w:name w:val="endnote text"/>
    <w:basedOn w:val="Normal"/>
    <w:link w:val="EndnoteTextChar"/>
    <w:uiPriority w:val="99"/>
    <w:semiHidden/>
    <w:unhideWhenUsed/>
    <w:rsid w:val="006A04B2"/>
    <w:rPr>
      <w:sz w:val="20"/>
    </w:rPr>
  </w:style>
  <w:style w:type="character" w:customStyle="1" w:styleId="EndnoteTextChar">
    <w:name w:val="Endnote Text Char"/>
    <w:link w:val="EndnoteText"/>
    <w:uiPriority w:val="99"/>
    <w:semiHidden/>
    <w:rsid w:val="006A04B2"/>
    <w:rPr>
      <w:lang w:eastAsia="en-US"/>
    </w:rPr>
  </w:style>
  <w:style w:type="character" w:styleId="EndnoteReference">
    <w:name w:val="endnote reference"/>
    <w:uiPriority w:val="99"/>
    <w:semiHidden/>
    <w:unhideWhenUsed/>
    <w:rsid w:val="006A04B2"/>
    <w:rPr>
      <w:vertAlign w:val="superscript"/>
    </w:rPr>
  </w:style>
  <w:style w:type="character" w:styleId="Hyperlink">
    <w:name w:val="Hyperlink"/>
    <w:uiPriority w:val="99"/>
    <w:semiHidden/>
    <w:unhideWhenUsed/>
    <w:rsid w:val="006F62DF"/>
    <w:rPr>
      <w:color w:val="AA1317"/>
      <w:u w:val="single"/>
    </w:rPr>
  </w:style>
  <w:style w:type="character" w:styleId="CommentReference">
    <w:name w:val="annotation reference"/>
    <w:uiPriority w:val="99"/>
    <w:semiHidden/>
    <w:unhideWhenUsed/>
    <w:rsid w:val="00322541"/>
    <w:rPr>
      <w:sz w:val="16"/>
      <w:szCs w:val="16"/>
    </w:rPr>
  </w:style>
  <w:style w:type="paragraph" w:styleId="CommentText">
    <w:name w:val="annotation text"/>
    <w:basedOn w:val="Normal"/>
    <w:link w:val="CommentTextChar"/>
    <w:uiPriority w:val="99"/>
    <w:semiHidden/>
    <w:unhideWhenUsed/>
    <w:rsid w:val="00322541"/>
    <w:rPr>
      <w:sz w:val="20"/>
    </w:rPr>
  </w:style>
  <w:style w:type="character" w:customStyle="1" w:styleId="CommentTextChar">
    <w:name w:val="Comment Text Char"/>
    <w:link w:val="CommentText"/>
    <w:uiPriority w:val="99"/>
    <w:semiHidden/>
    <w:rsid w:val="00322541"/>
    <w:rPr>
      <w:lang w:eastAsia="en-US"/>
    </w:rPr>
  </w:style>
  <w:style w:type="paragraph" w:styleId="CommentSubject">
    <w:name w:val="annotation subject"/>
    <w:basedOn w:val="CommentText"/>
    <w:next w:val="CommentText"/>
    <w:link w:val="CommentSubjectChar"/>
    <w:uiPriority w:val="99"/>
    <w:semiHidden/>
    <w:unhideWhenUsed/>
    <w:rsid w:val="00322541"/>
    <w:rPr>
      <w:b/>
      <w:bCs/>
    </w:rPr>
  </w:style>
  <w:style w:type="character" w:customStyle="1" w:styleId="CommentSubjectChar">
    <w:name w:val="Comment Subject Char"/>
    <w:link w:val="CommentSubject"/>
    <w:uiPriority w:val="99"/>
    <w:semiHidden/>
    <w:rsid w:val="00322541"/>
    <w:rPr>
      <w:b/>
      <w:bCs/>
      <w:lang w:eastAsia="en-US"/>
    </w:rPr>
  </w:style>
  <w:style w:type="paragraph" w:customStyle="1" w:styleId="Default">
    <w:name w:val="Default"/>
    <w:rsid w:val="009807D4"/>
    <w:pPr>
      <w:autoSpaceDE w:val="0"/>
      <w:autoSpaceDN w:val="0"/>
      <w:adjustRightInd w:val="0"/>
    </w:pPr>
    <w:rPr>
      <w:color w:val="000000"/>
      <w:sz w:val="24"/>
      <w:szCs w:val="24"/>
    </w:rPr>
  </w:style>
  <w:style w:type="paragraph" w:customStyle="1" w:styleId="cipari">
    <w:name w:val="cipari"/>
    <w:basedOn w:val="Normal"/>
    <w:qFormat/>
    <w:rsid w:val="009731A7"/>
    <w:pPr>
      <w:ind w:left="720" w:hanging="720"/>
    </w:pPr>
    <w:rPr>
      <w:bCs/>
    </w:rPr>
  </w:style>
  <w:style w:type="paragraph" w:customStyle="1" w:styleId="cipariiturp">
    <w:name w:val="ciparii_turp"/>
    <w:basedOn w:val="cipari"/>
    <w:qFormat/>
    <w:rsid w:val="009731A7"/>
    <w:pPr>
      <w:ind w:left="709" w:firstLine="0"/>
    </w:pPr>
    <w:rPr>
      <w:bCs w:val="0"/>
    </w:rPr>
  </w:style>
  <w:style w:type="paragraph" w:customStyle="1" w:styleId="funkcijas">
    <w:name w:val="funkcijas"/>
    <w:basedOn w:val="Normal"/>
    <w:qFormat/>
    <w:rsid w:val="009731A7"/>
    <w:pPr>
      <w:ind w:firstLine="0"/>
    </w:pPr>
    <w:rPr>
      <w:bCs/>
      <w:u w:val="single"/>
    </w:rPr>
  </w:style>
  <w:style w:type="paragraph" w:customStyle="1" w:styleId="Funkcijasbold">
    <w:name w:val="Funkcijas_bold"/>
    <w:basedOn w:val="Normal"/>
    <w:qFormat/>
    <w:rsid w:val="009731A7"/>
    <w:pPr>
      <w:ind w:firstLine="0"/>
    </w:pPr>
    <w:rPr>
      <w:b/>
      <w:bCs/>
    </w:rPr>
  </w:style>
  <w:style w:type="paragraph" w:customStyle="1" w:styleId="izdevumi">
    <w:name w:val="izdevumi"/>
    <w:basedOn w:val="Normal"/>
    <w:qFormat/>
    <w:rsid w:val="009731A7"/>
    <w:pPr>
      <w:widowControl w:val="0"/>
      <w:spacing w:before="120"/>
      <w:ind w:left="567" w:firstLine="0"/>
    </w:pPr>
    <w:rPr>
      <w:i/>
    </w:rPr>
  </w:style>
  <w:style w:type="paragraph" w:customStyle="1" w:styleId="programmas">
    <w:name w:val="programmas"/>
    <w:basedOn w:val="Normal"/>
    <w:qFormat/>
    <w:rsid w:val="009731A7"/>
    <w:pPr>
      <w:widowControl w:val="0"/>
      <w:spacing w:before="240"/>
      <w:ind w:firstLine="0"/>
      <w:jc w:val="center"/>
    </w:pPr>
    <w:rPr>
      <w:b/>
      <w:lang w:val="en-US"/>
    </w:rPr>
  </w:style>
  <w:style w:type="paragraph" w:customStyle="1" w:styleId="samazpaliel">
    <w:name w:val="samaz_paliel"/>
    <w:basedOn w:val="Normal"/>
    <w:qFormat/>
    <w:rsid w:val="009731A7"/>
    <w:pPr>
      <w:widowControl w:val="0"/>
      <w:ind w:firstLine="0"/>
    </w:pPr>
    <w:rPr>
      <w:b/>
      <w:u w:val="single"/>
    </w:rPr>
  </w:style>
  <w:style w:type="paragraph" w:customStyle="1" w:styleId="tabteksts">
    <w:name w:val="tab_teksts"/>
    <w:basedOn w:val="Normal"/>
    <w:qFormat/>
    <w:rsid w:val="009731A7"/>
    <w:pPr>
      <w:spacing w:after="0"/>
      <w:ind w:firstLine="0"/>
      <w:jc w:val="left"/>
    </w:pPr>
    <w:rPr>
      <w:sz w:val="18"/>
    </w:rPr>
  </w:style>
  <w:style w:type="paragraph" w:customStyle="1" w:styleId="Tabuluvirsraksti">
    <w:name w:val="Tabulu_virsraksti"/>
    <w:basedOn w:val="Normal"/>
    <w:qFormat/>
    <w:rsid w:val="009731A7"/>
    <w:pPr>
      <w:ind w:firstLine="0"/>
      <w:jc w:val="center"/>
    </w:pPr>
  </w:style>
  <w:style w:type="numbering" w:customStyle="1" w:styleId="NoList1">
    <w:name w:val="No List1"/>
    <w:next w:val="NoList"/>
    <w:uiPriority w:val="99"/>
    <w:semiHidden/>
    <w:unhideWhenUsed/>
    <w:rsid w:val="003613E3"/>
  </w:style>
  <w:style w:type="character" w:styleId="FootnoteReference">
    <w:name w:val="footnote reference"/>
    <w:aliases w:val="Footnote Reference Number,Footnote symbol,Footnote Reference Superscript,ftref"/>
    <w:uiPriority w:val="99"/>
    <w:rsid w:val="00C31790"/>
    <w:rPr>
      <w:vertAlign w:val="superscript"/>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E1108A"/>
    <w:pPr>
      <w:ind w:left="720"/>
      <w:contextualSpacing/>
    </w:pPr>
  </w:style>
  <w:style w:type="paragraph" w:customStyle="1" w:styleId="tabtekst">
    <w:name w:val="tab_tekst"/>
    <w:basedOn w:val="Normal"/>
    <w:uiPriority w:val="99"/>
    <w:rsid w:val="00C9439C"/>
    <w:pPr>
      <w:spacing w:after="0"/>
      <w:ind w:firstLine="0"/>
      <w:jc w:val="left"/>
    </w:pPr>
    <w:rPr>
      <w:snapToGrid w:val="0"/>
      <w:color w:val="000000"/>
      <w:sz w:val="20"/>
    </w:rPr>
  </w:style>
  <w:style w:type="paragraph" w:styleId="NoSpacing">
    <w:name w:val="No Spacing"/>
    <w:uiPriority w:val="1"/>
    <w:qFormat/>
    <w:rsid w:val="00C9439C"/>
    <w:pPr>
      <w:ind w:firstLine="720"/>
      <w:jc w:val="both"/>
    </w:pPr>
    <w:rPr>
      <w:sz w:val="24"/>
      <w:lang w:eastAsia="en-US"/>
    </w:rPr>
  </w:style>
  <w:style w:type="paragraph" w:styleId="ListBullet2">
    <w:name w:val="List Bullet 2"/>
    <w:basedOn w:val="Normal"/>
    <w:unhideWhenUsed/>
    <w:rsid w:val="00C9439C"/>
    <w:pPr>
      <w:numPr>
        <w:numId w:val="1"/>
      </w:numPr>
      <w:spacing w:after="0"/>
      <w:jc w:val="left"/>
    </w:pPr>
    <w:rPr>
      <w:sz w:val="20"/>
      <w:lang w:val="en-US" w:eastAsia="lv-LV"/>
    </w:rPr>
  </w:style>
  <w:style w:type="character" w:customStyle="1" w:styleId="apple-converted-space">
    <w:name w:val="apple-converted-space"/>
    <w:rsid w:val="00DB28ED"/>
  </w:style>
  <w:style w:type="character" w:styleId="Strong">
    <w:name w:val="Strong"/>
    <w:uiPriority w:val="22"/>
    <w:qFormat/>
    <w:rsid w:val="00995C35"/>
    <w:rPr>
      <w:b/>
      <w:bCs/>
    </w:rPr>
  </w:style>
  <w:style w:type="paragraph" w:customStyle="1" w:styleId="Pointabc">
    <w:name w:val="Point abc"/>
    <w:basedOn w:val="Normal"/>
    <w:rsid w:val="00995C35"/>
    <w:pPr>
      <w:numPr>
        <w:ilvl w:val="1"/>
        <w:numId w:val="2"/>
      </w:numPr>
      <w:spacing w:before="120" w:line="360" w:lineRule="auto"/>
      <w:jc w:val="left"/>
    </w:pPr>
    <w:rPr>
      <w:szCs w:val="24"/>
      <w:lang w:val="en-GB"/>
    </w:rPr>
  </w:style>
  <w:style w:type="paragraph" w:customStyle="1" w:styleId="Pointabc1">
    <w:name w:val="Point abc (1)"/>
    <w:basedOn w:val="Normal"/>
    <w:rsid w:val="00995C35"/>
    <w:pPr>
      <w:numPr>
        <w:ilvl w:val="3"/>
        <w:numId w:val="2"/>
      </w:numPr>
      <w:spacing w:before="120" w:line="360" w:lineRule="auto"/>
      <w:jc w:val="left"/>
      <w:outlineLvl w:val="0"/>
    </w:pPr>
    <w:rPr>
      <w:szCs w:val="24"/>
      <w:lang w:val="en-GB"/>
    </w:rPr>
  </w:style>
  <w:style w:type="paragraph" w:customStyle="1" w:styleId="Pointabc2">
    <w:name w:val="Point abc (2)"/>
    <w:basedOn w:val="Normal"/>
    <w:rsid w:val="00995C35"/>
    <w:pPr>
      <w:numPr>
        <w:ilvl w:val="5"/>
        <w:numId w:val="2"/>
      </w:numPr>
      <w:spacing w:before="120" w:line="360" w:lineRule="auto"/>
      <w:jc w:val="left"/>
      <w:outlineLvl w:val="1"/>
    </w:pPr>
    <w:rPr>
      <w:szCs w:val="24"/>
      <w:lang w:val="en-GB"/>
    </w:rPr>
  </w:style>
  <w:style w:type="paragraph" w:customStyle="1" w:styleId="Pointabc3">
    <w:name w:val="Point abc (3)"/>
    <w:basedOn w:val="Normal"/>
    <w:rsid w:val="00995C35"/>
    <w:pPr>
      <w:numPr>
        <w:ilvl w:val="7"/>
        <w:numId w:val="2"/>
      </w:numPr>
      <w:spacing w:before="120" w:line="360" w:lineRule="auto"/>
      <w:jc w:val="left"/>
      <w:outlineLvl w:val="2"/>
    </w:pPr>
    <w:rPr>
      <w:szCs w:val="24"/>
      <w:lang w:val="en-GB"/>
    </w:rPr>
  </w:style>
  <w:style w:type="paragraph" w:customStyle="1" w:styleId="Pointabc4">
    <w:name w:val="Point abc (4)"/>
    <w:basedOn w:val="Normal"/>
    <w:rsid w:val="00995C35"/>
    <w:pPr>
      <w:numPr>
        <w:ilvl w:val="8"/>
        <w:numId w:val="2"/>
      </w:numPr>
      <w:spacing w:before="120" w:line="360" w:lineRule="auto"/>
      <w:jc w:val="left"/>
      <w:outlineLvl w:val="3"/>
    </w:pPr>
    <w:rPr>
      <w:szCs w:val="24"/>
      <w:lang w:val="en-GB"/>
    </w:rPr>
  </w:style>
  <w:style w:type="paragraph" w:customStyle="1" w:styleId="Point123">
    <w:name w:val="Point 123"/>
    <w:basedOn w:val="Normal"/>
    <w:rsid w:val="00995C35"/>
    <w:pPr>
      <w:numPr>
        <w:numId w:val="2"/>
      </w:numPr>
      <w:spacing w:before="120" w:line="360" w:lineRule="auto"/>
      <w:jc w:val="left"/>
    </w:pPr>
    <w:rPr>
      <w:szCs w:val="24"/>
      <w:lang w:val="en-GB"/>
    </w:rPr>
  </w:style>
  <w:style w:type="paragraph" w:customStyle="1" w:styleId="Point1231">
    <w:name w:val="Point 123 (1)"/>
    <w:basedOn w:val="Normal"/>
    <w:rsid w:val="00995C35"/>
    <w:pPr>
      <w:numPr>
        <w:ilvl w:val="2"/>
        <w:numId w:val="2"/>
      </w:numPr>
      <w:spacing w:before="120" w:line="360" w:lineRule="auto"/>
      <w:jc w:val="left"/>
      <w:outlineLvl w:val="0"/>
    </w:pPr>
    <w:rPr>
      <w:szCs w:val="24"/>
      <w:lang w:val="en-GB"/>
    </w:rPr>
  </w:style>
  <w:style w:type="paragraph" w:customStyle="1" w:styleId="Point1232">
    <w:name w:val="Point 123 (2)"/>
    <w:basedOn w:val="Normal"/>
    <w:rsid w:val="00995C35"/>
    <w:pPr>
      <w:numPr>
        <w:ilvl w:val="4"/>
        <w:numId w:val="2"/>
      </w:numPr>
      <w:spacing w:before="120" w:line="360" w:lineRule="auto"/>
      <w:jc w:val="left"/>
      <w:outlineLvl w:val="1"/>
    </w:pPr>
    <w:rPr>
      <w:szCs w:val="24"/>
      <w:lang w:val="en-GB"/>
    </w:rPr>
  </w:style>
  <w:style w:type="paragraph" w:customStyle="1" w:styleId="Point1233">
    <w:name w:val="Point 123 (3)"/>
    <w:basedOn w:val="Normal"/>
    <w:rsid w:val="00995C35"/>
    <w:pPr>
      <w:numPr>
        <w:ilvl w:val="6"/>
        <w:numId w:val="2"/>
      </w:numPr>
      <w:spacing w:before="120" w:line="360" w:lineRule="auto"/>
      <w:jc w:val="left"/>
      <w:outlineLvl w:val="2"/>
    </w:pPr>
    <w:rPr>
      <w:szCs w:val="24"/>
      <w:lang w:val="en-GB"/>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7870D7"/>
    <w:rPr>
      <w:sz w:val="24"/>
      <w:lang w:eastAsia="en-US"/>
    </w:rPr>
  </w:style>
  <w:style w:type="character" w:styleId="Emphasis">
    <w:name w:val="Emphasis"/>
    <w:basedOn w:val="DefaultParagraphFont"/>
    <w:uiPriority w:val="20"/>
    <w:qFormat/>
    <w:rsid w:val="007870D7"/>
    <w:rPr>
      <w:i/>
      <w:iCs/>
    </w:rPr>
  </w:style>
  <w:style w:type="paragraph" w:styleId="NormalWeb">
    <w:name w:val="Normal (Web)"/>
    <w:basedOn w:val="Normal"/>
    <w:uiPriority w:val="99"/>
    <w:semiHidden/>
    <w:unhideWhenUsed/>
    <w:rsid w:val="007870D7"/>
    <w:pPr>
      <w:spacing w:before="100" w:beforeAutospacing="1" w:after="100" w:afterAutospacing="1"/>
      <w:ind w:firstLine="0"/>
      <w:jc w:val="left"/>
    </w:pPr>
    <w:rPr>
      <w:szCs w:val="24"/>
      <w:lang w:eastAsia="lv-LV"/>
    </w:rPr>
  </w:style>
  <w:style w:type="table" w:styleId="TableGrid">
    <w:name w:val="Table Grid"/>
    <w:basedOn w:val="TableNormal"/>
    <w:uiPriority w:val="59"/>
    <w:rsid w:val="00A94376"/>
    <w:pPr>
      <w:spacing w:before="120" w:after="120"/>
      <w:ind w:left="284"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D36B6"/>
    <w:pPr>
      <w:spacing w:after="0"/>
      <w:ind w:firstLine="0"/>
      <w:jc w:val="left"/>
    </w:pPr>
    <w:rPr>
      <w:rFonts w:ascii="Calibri" w:eastAsiaTheme="minorHAns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7327">
      <w:bodyDiv w:val="1"/>
      <w:marLeft w:val="0"/>
      <w:marRight w:val="0"/>
      <w:marTop w:val="0"/>
      <w:marBottom w:val="0"/>
      <w:divBdr>
        <w:top w:val="none" w:sz="0" w:space="0" w:color="auto"/>
        <w:left w:val="none" w:sz="0" w:space="0" w:color="auto"/>
        <w:bottom w:val="none" w:sz="0" w:space="0" w:color="auto"/>
        <w:right w:val="none" w:sz="0" w:space="0" w:color="auto"/>
      </w:divBdr>
    </w:div>
    <w:div w:id="172960222">
      <w:bodyDiv w:val="1"/>
      <w:marLeft w:val="0"/>
      <w:marRight w:val="0"/>
      <w:marTop w:val="0"/>
      <w:marBottom w:val="0"/>
      <w:divBdr>
        <w:top w:val="none" w:sz="0" w:space="0" w:color="auto"/>
        <w:left w:val="none" w:sz="0" w:space="0" w:color="auto"/>
        <w:bottom w:val="none" w:sz="0" w:space="0" w:color="auto"/>
        <w:right w:val="none" w:sz="0" w:space="0" w:color="auto"/>
      </w:divBdr>
    </w:div>
    <w:div w:id="222837077">
      <w:bodyDiv w:val="1"/>
      <w:marLeft w:val="0"/>
      <w:marRight w:val="0"/>
      <w:marTop w:val="0"/>
      <w:marBottom w:val="0"/>
      <w:divBdr>
        <w:top w:val="none" w:sz="0" w:space="0" w:color="auto"/>
        <w:left w:val="none" w:sz="0" w:space="0" w:color="auto"/>
        <w:bottom w:val="none" w:sz="0" w:space="0" w:color="auto"/>
        <w:right w:val="none" w:sz="0" w:space="0" w:color="auto"/>
      </w:divBdr>
    </w:div>
    <w:div w:id="260266500">
      <w:bodyDiv w:val="1"/>
      <w:marLeft w:val="0"/>
      <w:marRight w:val="0"/>
      <w:marTop w:val="0"/>
      <w:marBottom w:val="0"/>
      <w:divBdr>
        <w:top w:val="none" w:sz="0" w:space="0" w:color="auto"/>
        <w:left w:val="none" w:sz="0" w:space="0" w:color="auto"/>
        <w:bottom w:val="none" w:sz="0" w:space="0" w:color="auto"/>
        <w:right w:val="none" w:sz="0" w:space="0" w:color="auto"/>
      </w:divBdr>
    </w:div>
    <w:div w:id="479076894">
      <w:bodyDiv w:val="1"/>
      <w:marLeft w:val="0"/>
      <w:marRight w:val="0"/>
      <w:marTop w:val="0"/>
      <w:marBottom w:val="0"/>
      <w:divBdr>
        <w:top w:val="none" w:sz="0" w:space="0" w:color="auto"/>
        <w:left w:val="none" w:sz="0" w:space="0" w:color="auto"/>
        <w:bottom w:val="none" w:sz="0" w:space="0" w:color="auto"/>
        <w:right w:val="none" w:sz="0" w:space="0" w:color="auto"/>
      </w:divBdr>
    </w:div>
    <w:div w:id="667706677">
      <w:bodyDiv w:val="1"/>
      <w:marLeft w:val="0"/>
      <w:marRight w:val="0"/>
      <w:marTop w:val="0"/>
      <w:marBottom w:val="0"/>
      <w:divBdr>
        <w:top w:val="none" w:sz="0" w:space="0" w:color="auto"/>
        <w:left w:val="none" w:sz="0" w:space="0" w:color="auto"/>
        <w:bottom w:val="none" w:sz="0" w:space="0" w:color="auto"/>
        <w:right w:val="none" w:sz="0" w:space="0" w:color="auto"/>
      </w:divBdr>
    </w:div>
    <w:div w:id="745152837">
      <w:bodyDiv w:val="1"/>
      <w:marLeft w:val="0"/>
      <w:marRight w:val="0"/>
      <w:marTop w:val="0"/>
      <w:marBottom w:val="0"/>
      <w:divBdr>
        <w:top w:val="none" w:sz="0" w:space="0" w:color="auto"/>
        <w:left w:val="none" w:sz="0" w:space="0" w:color="auto"/>
        <w:bottom w:val="none" w:sz="0" w:space="0" w:color="auto"/>
        <w:right w:val="none" w:sz="0" w:space="0" w:color="auto"/>
      </w:divBdr>
    </w:div>
    <w:div w:id="751050323">
      <w:bodyDiv w:val="1"/>
      <w:marLeft w:val="0"/>
      <w:marRight w:val="0"/>
      <w:marTop w:val="0"/>
      <w:marBottom w:val="0"/>
      <w:divBdr>
        <w:top w:val="none" w:sz="0" w:space="0" w:color="auto"/>
        <w:left w:val="none" w:sz="0" w:space="0" w:color="auto"/>
        <w:bottom w:val="none" w:sz="0" w:space="0" w:color="auto"/>
        <w:right w:val="none" w:sz="0" w:space="0" w:color="auto"/>
      </w:divBdr>
    </w:div>
    <w:div w:id="754547860">
      <w:bodyDiv w:val="1"/>
      <w:marLeft w:val="0"/>
      <w:marRight w:val="0"/>
      <w:marTop w:val="0"/>
      <w:marBottom w:val="0"/>
      <w:divBdr>
        <w:top w:val="none" w:sz="0" w:space="0" w:color="auto"/>
        <w:left w:val="none" w:sz="0" w:space="0" w:color="auto"/>
        <w:bottom w:val="none" w:sz="0" w:space="0" w:color="auto"/>
        <w:right w:val="none" w:sz="0" w:space="0" w:color="auto"/>
      </w:divBdr>
    </w:div>
    <w:div w:id="883568238">
      <w:bodyDiv w:val="1"/>
      <w:marLeft w:val="0"/>
      <w:marRight w:val="0"/>
      <w:marTop w:val="0"/>
      <w:marBottom w:val="0"/>
      <w:divBdr>
        <w:top w:val="none" w:sz="0" w:space="0" w:color="auto"/>
        <w:left w:val="none" w:sz="0" w:space="0" w:color="auto"/>
        <w:bottom w:val="none" w:sz="0" w:space="0" w:color="auto"/>
        <w:right w:val="none" w:sz="0" w:space="0" w:color="auto"/>
      </w:divBdr>
    </w:div>
    <w:div w:id="991103814">
      <w:bodyDiv w:val="1"/>
      <w:marLeft w:val="0"/>
      <w:marRight w:val="0"/>
      <w:marTop w:val="0"/>
      <w:marBottom w:val="0"/>
      <w:divBdr>
        <w:top w:val="none" w:sz="0" w:space="0" w:color="auto"/>
        <w:left w:val="none" w:sz="0" w:space="0" w:color="auto"/>
        <w:bottom w:val="none" w:sz="0" w:space="0" w:color="auto"/>
        <w:right w:val="none" w:sz="0" w:space="0" w:color="auto"/>
      </w:divBdr>
    </w:div>
    <w:div w:id="1030302758">
      <w:bodyDiv w:val="1"/>
      <w:marLeft w:val="0"/>
      <w:marRight w:val="0"/>
      <w:marTop w:val="0"/>
      <w:marBottom w:val="0"/>
      <w:divBdr>
        <w:top w:val="none" w:sz="0" w:space="0" w:color="auto"/>
        <w:left w:val="none" w:sz="0" w:space="0" w:color="auto"/>
        <w:bottom w:val="none" w:sz="0" w:space="0" w:color="auto"/>
        <w:right w:val="none" w:sz="0" w:space="0" w:color="auto"/>
      </w:divBdr>
    </w:div>
    <w:div w:id="1218857053">
      <w:bodyDiv w:val="1"/>
      <w:marLeft w:val="0"/>
      <w:marRight w:val="0"/>
      <w:marTop w:val="0"/>
      <w:marBottom w:val="0"/>
      <w:divBdr>
        <w:top w:val="none" w:sz="0" w:space="0" w:color="auto"/>
        <w:left w:val="none" w:sz="0" w:space="0" w:color="auto"/>
        <w:bottom w:val="none" w:sz="0" w:space="0" w:color="auto"/>
        <w:right w:val="none" w:sz="0" w:space="0" w:color="auto"/>
      </w:divBdr>
      <w:divsChild>
        <w:div w:id="1117141765">
          <w:marLeft w:val="0"/>
          <w:marRight w:val="0"/>
          <w:marTop w:val="100"/>
          <w:marBottom w:val="100"/>
          <w:divBdr>
            <w:top w:val="none" w:sz="0" w:space="0" w:color="auto"/>
            <w:left w:val="none" w:sz="0" w:space="0" w:color="auto"/>
            <w:bottom w:val="none" w:sz="0" w:space="0" w:color="auto"/>
            <w:right w:val="none" w:sz="0" w:space="0" w:color="auto"/>
          </w:divBdr>
          <w:divsChild>
            <w:div w:id="1460536375">
              <w:marLeft w:val="0"/>
              <w:marRight w:val="0"/>
              <w:marTop w:val="0"/>
              <w:marBottom w:val="0"/>
              <w:divBdr>
                <w:top w:val="none" w:sz="0" w:space="0" w:color="auto"/>
                <w:left w:val="none" w:sz="0" w:space="0" w:color="auto"/>
                <w:bottom w:val="none" w:sz="0" w:space="0" w:color="auto"/>
                <w:right w:val="none" w:sz="0" w:space="0" w:color="auto"/>
              </w:divBdr>
              <w:divsChild>
                <w:div w:id="891380031">
                  <w:marLeft w:val="0"/>
                  <w:marRight w:val="0"/>
                  <w:marTop w:val="0"/>
                  <w:marBottom w:val="0"/>
                  <w:divBdr>
                    <w:top w:val="none" w:sz="0" w:space="0" w:color="auto"/>
                    <w:left w:val="none" w:sz="0" w:space="0" w:color="auto"/>
                    <w:bottom w:val="none" w:sz="0" w:space="0" w:color="auto"/>
                    <w:right w:val="none" w:sz="0" w:space="0" w:color="auto"/>
                  </w:divBdr>
                  <w:divsChild>
                    <w:div w:id="1683702780">
                      <w:marLeft w:val="0"/>
                      <w:marRight w:val="0"/>
                      <w:marTop w:val="0"/>
                      <w:marBottom w:val="0"/>
                      <w:divBdr>
                        <w:top w:val="none" w:sz="0" w:space="0" w:color="auto"/>
                        <w:left w:val="none" w:sz="0" w:space="0" w:color="auto"/>
                        <w:bottom w:val="none" w:sz="0" w:space="0" w:color="auto"/>
                        <w:right w:val="none" w:sz="0" w:space="0" w:color="auto"/>
                      </w:divBdr>
                      <w:divsChild>
                        <w:div w:id="680736521">
                          <w:marLeft w:val="0"/>
                          <w:marRight w:val="0"/>
                          <w:marTop w:val="0"/>
                          <w:marBottom w:val="0"/>
                          <w:divBdr>
                            <w:top w:val="none" w:sz="0" w:space="0" w:color="auto"/>
                            <w:left w:val="none" w:sz="0" w:space="0" w:color="auto"/>
                            <w:bottom w:val="none" w:sz="0" w:space="0" w:color="auto"/>
                            <w:right w:val="none" w:sz="0" w:space="0" w:color="auto"/>
                          </w:divBdr>
                          <w:divsChild>
                            <w:div w:id="235751223">
                              <w:marLeft w:val="0"/>
                              <w:marRight w:val="0"/>
                              <w:marTop w:val="0"/>
                              <w:marBottom w:val="0"/>
                              <w:divBdr>
                                <w:top w:val="none" w:sz="0" w:space="0" w:color="auto"/>
                                <w:left w:val="none" w:sz="0" w:space="0" w:color="auto"/>
                                <w:bottom w:val="none" w:sz="0" w:space="0" w:color="auto"/>
                                <w:right w:val="none" w:sz="0" w:space="0" w:color="auto"/>
                              </w:divBdr>
                              <w:divsChild>
                                <w:div w:id="1020665675">
                                  <w:marLeft w:val="0"/>
                                  <w:marRight w:val="0"/>
                                  <w:marTop w:val="0"/>
                                  <w:marBottom w:val="0"/>
                                  <w:divBdr>
                                    <w:top w:val="none" w:sz="0" w:space="0" w:color="auto"/>
                                    <w:left w:val="none" w:sz="0" w:space="0" w:color="auto"/>
                                    <w:bottom w:val="none" w:sz="0" w:space="0" w:color="auto"/>
                                    <w:right w:val="none" w:sz="0" w:space="0" w:color="auto"/>
                                  </w:divBdr>
                                  <w:divsChild>
                                    <w:div w:id="1368989132">
                                      <w:marLeft w:val="0"/>
                                      <w:marRight w:val="0"/>
                                      <w:marTop w:val="0"/>
                                      <w:marBottom w:val="150"/>
                                      <w:divBdr>
                                        <w:top w:val="none" w:sz="0" w:space="0" w:color="auto"/>
                                        <w:left w:val="none" w:sz="0" w:space="0" w:color="auto"/>
                                        <w:bottom w:val="none" w:sz="0" w:space="0" w:color="auto"/>
                                        <w:right w:val="none" w:sz="0" w:space="0" w:color="auto"/>
                                      </w:divBdr>
                                      <w:divsChild>
                                        <w:div w:id="14703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996723">
      <w:bodyDiv w:val="1"/>
      <w:marLeft w:val="0"/>
      <w:marRight w:val="0"/>
      <w:marTop w:val="0"/>
      <w:marBottom w:val="0"/>
      <w:divBdr>
        <w:top w:val="none" w:sz="0" w:space="0" w:color="auto"/>
        <w:left w:val="none" w:sz="0" w:space="0" w:color="auto"/>
        <w:bottom w:val="none" w:sz="0" w:space="0" w:color="auto"/>
        <w:right w:val="none" w:sz="0" w:space="0" w:color="auto"/>
      </w:divBdr>
    </w:div>
    <w:div w:id="1358116583">
      <w:bodyDiv w:val="1"/>
      <w:marLeft w:val="0"/>
      <w:marRight w:val="0"/>
      <w:marTop w:val="0"/>
      <w:marBottom w:val="0"/>
      <w:divBdr>
        <w:top w:val="none" w:sz="0" w:space="0" w:color="auto"/>
        <w:left w:val="none" w:sz="0" w:space="0" w:color="auto"/>
        <w:bottom w:val="none" w:sz="0" w:space="0" w:color="auto"/>
        <w:right w:val="none" w:sz="0" w:space="0" w:color="auto"/>
      </w:divBdr>
      <w:divsChild>
        <w:div w:id="1892881685">
          <w:marLeft w:val="0"/>
          <w:marRight w:val="0"/>
          <w:marTop w:val="0"/>
          <w:marBottom w:val="0"/>
          <w:divBdr>
            <w:top w:val="none" w:sz="0" w:space="0" w:color="auto"/>
            <w:left w:val="none" w:sz="0" w:space="0" w:color="auto"/>
            <w:bottom w:val="none" w:sz="0" w:space="0" w:color="auto"/>
            <w:right w:val="none" w:sz="0" w:space="0" w:color="auto"/>
          </w:divBdr>
          <w:divsChild>
            <w:div w:id="319695871">
              <w:marLeft w:val="0"/>
              <w:marRight w:val="0"/>
              <w:marTop w:val="0"/>
              <w:marBottom w:val="0"/>
              <w:divBdr>
                <w:top w:val="none" w:sz="0" w:space="0" w:color="auto"/>
                <w:left w:val="none" w:sz="0" w:space="0" w:color="auto"/>
                <w:bottom w:val="none" w:sz="0" w:space="0" w:color="auto"/>
                <w:right w:val="none" w:sz="0" w:space="0" w:color="auto"/>
              </w:divBdr>
              <w:divsChild>
                <w:div w:id="1636565179">
                  <w:marLeft w:val="0"/>
                  <w:marRight w:val="0"/>
                  <w:marTop w:val="0"/>
                  <w:marBottom w:val="0"/>
                  <w:divBdr>
                    <w:top w:val="none" w:sz="0" w:space="0" w:color="auto"/>
                    <w:left w:val="none" w:sz="0" w:space="0" w:color="auto"/>
                    <w:bottom w:val="none" w:sz="0" w:space="0" w:color="auto"/>
                    <w:right w:val="none" w:sz="0" w:space="0" w:color="auto"/>
                  </w:divBdr>
                  <w:divsChild>
                    <w:div w:id="671180920">
                      <w:marLeft w:val="0"/>
                      <w:marRight w:val="0"/>
                      <w:marTop w:val="0"/>
                      <w:marBottom w:val="0"/>
                      <w:divBdr>
                        <w:top w:val="none" w:sz="0" w:space="0" w:color="auto"/>
                        <w:left w:val="none" w:sz="0" w:space="0" w:color="auto"/>
                        <w:bottom w:val="none" w:sz="0" w:space="0" w:color="auto"/>
                        <w:right w:val="none" w:sz="0" w:space="0" w:color="auto"/>
                      </w:divBdr>
                      <w:divsChild>
                        <w:div w:id="85539760">
                          <w:marLeft w:val="0"/>
                          <w:marRight w:val="0"/>
                          <w:marTop w:val="300"/>
                          <w:marBottom w:val="0"/>
                          <w:divBdr>
                            <w:top w:val="none" w:sz="0" w:space="0" w:color="auto"/>
                            <w:left w:val="none" w:sz="0" w:space="0" w:color="auto"/>
                            <w:bottom w:val="none" w:sz="0" w:space="0" w:color="auto"/>
                            <w:right w:val="none" w:sz="0" w:space="0" w:color="auto"/>
                          </w:divBdr>
                          <w:divsChild>
                            <w:div w:id="2073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009600">
      <w:bodyDiv w:val="1"/>
      <w:marLeft w:val="0"/>
      <w:marRight w:val="0"/>
      <w:marTop w:val="0"/>
      <w:marBottom w:val="0"/>
      <w:divBdr>
        <w:top w:val="none" w:sz="0" w:space="0" w:color="auto"/>
        <w:left w:val="none" w:sz="0" w:space="0" w:color="auto"/>
        <w:bottom w:val="none" w:sz="0" w:space="0" w:color="auto"/>
        <w:right w:val="none" w:sz="0" w:space="0" w:color="auto"/>
      </w:divBdr>
    </w:div>
    <w:div w:id="1389845545">
      <w:bodyDiv w:val="1"/>
      <w:marLeft w:val="0"/>
      <w:marRight w:val="0"/>
      <w:marTop w:val="0"/>
      <w:marBottom w:val="0"/>
      <w:divBdr>
        <w:top w:val="none" w:sz="0" w:space="0" w:color="auto"/>
        <w:left w:val="none" w:sz="0" w:space="0" w:color="auto"/>
        <w:bottom w:val="none" w:sz="0" w:space="0" w:color="auto"/>
        <w:right w:val="none" w:sz="0" w:space="0" w:color="auto"/>
      </w:divBdr>
    </w:div>
    <w:div w:id="1397555686">
      <w:bodyDiv w:val="1"/>
      <w:marLeft w:val="0"/>
      <w:marRight w:val="0"/>
      <w:marTop w:val="0"/>
      <w:marBottom w:val="0"/>
      <w:divBdr>
        <w:top w:val="none" w:sz="0" w:space="0" w:color="auto"/>
        <w:left w:val="none" w:sz="0" w:space="0" w:color="auto"/>
        <w:bottom w:val="none" w:sz="0" w:space="0" w:color="auto"/>
        <w:right w:val="none" w:sz="0" w:space="0" w:color="auto"/>
      </w:divBdr>
    </w:div>
    <w:div w:id="1407534140">
      <w:bodyDiv w:val="1"/>
      <w:marLeft w:val="0"/>
      <w:marRight w:val="0"/>
      <w:marTop w:val="0"/>
      <w:marBottom w:val="0"/>
      <w:divBdr>
        <w:top w:val="none" w:sz="0" w:space="0" w:color="auto"/>
        <w:left w:val="none" w:sz="0" w:space="0" w:color="auto"/>
        <w:bottom w:val="none" w:sz="0" w:space="0" w:color="auto"/>
        <w:right w:val="none" w:sz="0" w:space="0" w:color="auto"/>
      </w:divBdr>
    </w:div>
    <w:div w:id="1445347726">
      <w:bodyDiv w:val="1"/>
      <w:marLeft w:val="0"/>
      <w:marRight w:val="0"/>
      <w:marTop w:val="0"/>
      <w:marBottom w:val="0"/>
      <w:divBdr>
        <w:top w:val="none" w:sz="0" w:space="0" w:color="auto"/>
        <w:left w:val="none" w:sz="0" w:space="0" w:color="auto"/>
        <w:bottom w:val="none" w:sz="0" w:space="0" w:color="auto"/>
        <w:right w:val="none" w:sz="0" w:space="0" w:color="auto"/>
      </w:divBdr>
    </w:div>
    <w:div w:id="1539665509">
      <w:bodyDiv w:val="1"/>
      <w:marLeft w:val="0"/>
      <w:marRight w:val="0"/>
      <w:marTop w:val="0"/>
      <w:marBottom w:val="0"/>
      <w:divBdr>
        <w:top w:val="none" w:sz="0" w:space="0" w:color="auto"/>
        <w:left w:val="none" w:sz="0" w:space="0" w:color="auto"/>
        <w:bottom w:val="none" w:sz="0" w:space="0" w:color="auto"/>
        <w:right w:val="none" w:sz="0" w:space="0" w:color="auto"/>
      </w:divBdr>
    </w:div>
    <w:div w:id="1644194168">
      <w:bodyDiv w:val="1"/>
      <w:marLeft w:val="0"/>
      <w:marRight w:val="0"/>
      <w:marTop w:val="0"/>
      <w:marBottom w:val="0"/>
      <w:divBdr>
        <w:top w:val="none" w:sz="0" w:space="0" w:color="auto"/>
        <w:left w:val="none" w:sz="0" w:space="0" w:color="auto"/>
        <w:bottom w:val="none" w:sz="0" w:space="0" w:color="auto"/>
        <w:right w:val="none" w:sz="0" w:space="0" w:color="auto"/>
      </w:divBdr>
    </w:div>
    <w:div w:id="1647902733">
      <w:bodyDiv w:val="1"/>
      <w:marLeft w:val="0"/>
      <w:marRight w:val="0"/>
      <w:marTop w:val="0"/>
      <w:marBottom w:val="0"/>
      <w:divBdr>
        <w:top w:val="none" w:sz="0" w:space="0" w:color="auto"/>
        <w:left w:val="none" w:sz="0" w:space="0" w:color="auto"/>
        <w:bottom w:val="none" w:sz="0" w:space="0" w:color="auto"/>
        <w:right w:val="none" w:sz="0" w:space="0" w:color="auto"/>
      </w:divBdr>
    </w:div>
    <w:div w:id="1684043606">
      <w:bodyDiv w:val="1"/>
      <w:marLeft w:val="0"/>
      <w:marRight w:val="0"/>
      <w:marTop w:val="0"/>
      <w:marBottom w:val="0"/>
      <w:divBdr>
        <w:top w:val="none" w:sz="0" w:space="0" w:color="auto"/>
        <w:left w:val="none" w:sz="0" w:space="0" w:color="auto"/>
        <w:bottom w:val="none" w:sz="0" w:space="0" w:color="auto"/>
        <w:right w:val="none" w:sz="0" w:space="0" w:color="auto"/>
      </w:divBdr>
    </w:div>
    <w:div w:id="1714770571">
      <w:bodyDiv w:val="1"/>
      <w:marLeft w:val="0"/>
      <w:marRight w:val="0"/>
      <w:marTop w:val="0"/>
      <w:marBottom w:val="0"/>
      <w:divBdr>
        <w:top w:val="none" w:sz="0" w:space="0" w:color="auto"/>
        <w:left w:val="none" w:sz="0" w:space="0" w:color="auto"/>
        <w:bottom w:val="none" w:sz="0" w:space="0" w:color="auto"/>
        <w:right w:val="none" w:sz="0" w:space="0" w:color="auto"/>
      </w:divBdr>
    </w:div>
    <w:div w:id="1716542207">
      <w:bodyDiv w:val="1"/>
      <w:marLeft w:val="0"/>
      <w:marRight w:val="0"/>
      <w:marTop w:val="0"/>
      <w:marBottom w:val="0"/>
      <w:divBdr>
        <w:top w:val="none" w:sz="0" w:space="0" w:color="auto"/>
        <w:left w:val="none" w:sz="0" w:space="0" w:color="auto"/>
        <w:bottom w:val="none" w:sz="0" w:space="0" w:color="auto"/>
        <w:right w:val="none" w:sz="0" w:space="0" w:color="auto"/>
      </w:divBdr>
    </w:div>
    <w:div w:id="1781144022">
      <w:bodyDiv w:val="1"/>
      <w:marLeft w:val="0"/>
      <w:marRight w:val="0"/>
      <w:marTop w:val="0"/>
      <w:marBottom w:val="0"/>
      <w:divBdr>
        <w:top w:val="none" w:sz="0" w:space="0" w:color="auto"/>
        <w:left w:val="none" w:sz="0" w:space="0" w:color="auto"/>
        <w:bottom w:val="none" w:sz="0" w:space="0" w:color="auto"/>
        <w:right w:val="none" w:sz="0" w:space="0" w:color="auto"/>
      </w:divBdr>
      <w:divsChild>
        <w:div w:id="1100643866">
          <w:marLeft w:val="0"/>
          <w:marRight w:val="0"/>
          <w:marTop w:val="0"/>
          <w:marBottom w:val="0"/>
          <w:divBdr>
            <w:top w:val="none" w:sz="0" w:space="0" w:color="auto"/>
            <w:left w:val="none" w:sz="0" w:space="0" w:color="auto"/>
            <w:bottom w:val="none" w:sz="0" w:space="0" w:color="auto"/>
            <w:right w:val="none" w:sz="0" w:space="0" w:color="auto"/>
          </w:divBdr>
          <w:divsChild>
            <w:div w:id="950280683">
              <w:marLeft w:val="0"/>
              <w:marRight w:val="0"/>
              <w:marTop w:val="0"/>
              <w:marBottom w:val="0"/>
              <w:divBdr>
                <w:top w:val="none" w:sz="0" w:space="0" w:color="auto"/>
                <w:left w:val="none" w:sz="0" w:space="0" w:color="auto"/>
                <w:bottom w:val="none" w:sz="0" w:space="0" w:color="auto"/>
                <w:right w:val="none" w:sz="0" w:space="0" w:color="auto"/>
              </w:divBdr>
              <w:divsChild>
                <w:div w:id="1864325521">
                  <w:marLeft w:val="135"/>
                  <w:marRight w:val="0"/>
                  <w:marTop w:val="0"/>
                  <w:marBottom w:val="0"/>
                  <w:divBdr>
                    <w:top w:val="none" w:sz="0" w:space="0" w:color="auto"/>
                    <w:left w:val="none" w:sz="0" w:space="0" w:color="auto"/>
                    <w:bottom w:val="none" w:sz="0" w:space="0" w:color="auto"/>
                    <w:right w:val="none" w:sz="0" w:space="0" w:color="auto"/>
                  </w:divBdr>
                  <w:divsChild>
                    <w:div w:id="188417024">
                      <w:marLeft w:val="0"/>
                      <w:marRight w:val="0"/>
                      <w:marTop w:val="0"/>
                      <w:marBottom w:val="0"/>
                      <w:divBdr>
                        <w:top w:val="none" w:sz="0" w:space="0" w:color="auto"/>
                        <w:left w:val="none" w:sz="0" w:space="0" w:color="auto"/>
                        <w:bottom w:val="none" w:sz="0" w:space="0" w:color="auto"/>
                        <w:right w:val="none" w:sz="0" w:space="0" w:color="auto"/>
                      </w:divBdr>
                      <w:divsChild>
                        <w:div w:id="1513455068">
                          <w:marLeft w:val="0"/>
                          <w:marRight w:val="0"/>
                          <w:marTop w:val="0"/>
                          <w:marBottom w:val="0"/>
                          <w:divBdr>
                            <w:top w:val="none" w:sz="0" w:space="0" w:color="auto"/>
                            <w:left w:val="none" w:sz="0" w:space="0" w:color="auto"/>
                            <w:bottom w:val="none" w:sz="0" w:space="0" w:color="auto"/>
                            <w:right w:val="none" w:sz="0" w:space="0" w:color="auto"/>
                          </w:divBdr>
                          <w:divsChild>
                            <w:div w:id="9478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724191">
      <w:bodyDiv w:val="1"/>
      <w:marLeft w:val="0"/>
      <w:marRight w:val="0"/>
      <w:marTop w:val="0"/>
      <w:marBottom w:val="0"/>
      <w:divBdr>
        <w:top w:val="none" w:sz="0" w:space="0" w:color="auto"/>
        <w:left w:val="none" w:sz="0" w:space="0" w:color="auto"/>
        <w:bottom w:val="none" w:sz="0" w:space="0" w:color="auto"/>
        <w:right w:val="none" w:sz="0" w:space="0" w:color="auto"/>
      </w:divBdr>
    </w:div>
    <w:div w:id="213139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k\nad\_Bud&#382;eta%20projekts\Bud&#382;eta%20projekts%202020\Bud&#382;eta%20paskaidrojumi\Budz_pask_2020\akc&#299;zes%20grafiki%20bud&#382;eta%20paskaidrojumiem.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fk\nad\_Bud&#382;eta%20projekts\Bud&#382;eta%20projekts%202021\budzeta_paskaidrojumi\akc&#299;zes%20grafiki%20bud&#382;eta%20paskaidrojumiem.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93791811377112"/>
          <c:y val="9.7882277371065668E-2"/>
          <c:w val="0.71569364174305794"/>
          <c:h val="0.73288736541218635"/>
        </c:manualLayout>
      </c:layout>
      <c:barChart>
        <c:barDir val="col"/>
        <c:grouping val="clustered"/>
        <c:varyColors val="0"/>
        <c:ser>
          <c:idx val="0"/>
          <c:order val="0"/>
          <c:tx>
            <c:strRef>
              <c:f>'naftas produkti'!$C$14</c:f>
              <c:strCache>
                <c:ptCount val="1"/>
                <c:pt idx="0">
                  <c:v>Benzīns</c:v>
                </c:pt>
              </c:strCache>
            </c:strRef>
          </c:tx>
          <c:spPr>
            <a:solidFill>
              <a:schemeClr val="accent1">
                <a:lumMod val="60000"/>
                <a:lumOff val="40000"/>
              </a:schemeClr>
            </a:solidFill>
          </c:spPr>
          <c:invertIfNegative val="0"/>
          <c:cat>
            <c:numRef>
              <c:f>'naftas produkti'!$D$13:$F$13</c:f>
              <c:numCache>
                <c:formatCode>General</c:formatCode>
                <c:ptCount val="3"/>
                <c:pt idx="0">
                  <c:v>2018</c:v>
                </c:pt>
                <c:pt idx="1">
                  <c:v>2019</c:v>
                </c:pt>
                <c:pt idx="2">
                  <c:v>2020</c:v>
                </c:pt>
              </c:numCache>
            </c:numRef>
          </c:cat>
          <c:val>
            <c:numRef>
              <c:f>'naftas produkti'!$D$14:$F$14</c:f>
              <c:numCache>
                <c:formatCode>_-* #\ ##0_-;\-* #\ ##0_-;_-* "-"??_-;_-@_-</c:formatCode>
                <c:ptCount val="3"/>
                <c:pt idx="0">
                  <c:v>87493</c:v>
                </c:pt>
                <c:pt idx="1">
                  <c:v>82744</c:v>
                </c:pt>
                <c:pt idx="2">
                  <c:v>75016.540791300009</c:v>
                </c:pt>
              </c:numCache>
            </c:numRef>
          </c:val>
          <c:extLst>
            <c:ext xmlns:c16="http://schemas.microsoft.com/office/drawing/2014/chart" uri="{C3380CC4-5D6E-409C-BE32-E72D297353CC}">
              <c16:uniqueId val="{00000000-7428-4D6C-A905-A44486134901}"/>
            </c:ext>
          </c:extLst>
        </c:ser>
        <c:ser>
          <c:idx val="1"/>
          <c:order val="1"/>
          <c:tx>
            <c:strRef>
              <c:f>'naftas produkti'!$C$15</c:f>
              <c:strCache>
                <c:ptCount val="1"/>
                <c:pt idx="0">
                  <c:v>Dīzeļdegviela</c:v>
                </c:pt>
              </c:strCache>
            </c:strRef>
          </c:tx>
          <c:spPr>
            <a:solidFill>
              <a:schemeClr val="accent1">
                <a:lumMod val="75000"/>
              </a:schemeClr>
            </a:solidFill>
          </c:spPr>
          <c:invertIfNegative val="0"/>
          <c:cat>
            <c:numRef>
              <c:f>'naftas produkti'!$D$13:$F$13</c:f>
              <c:numCache>
                <c:formatCode>General</c:formatCode>
                <c:ptCount val="3"/>
                <c:pt idx="0">
                  <c:v>2018</c:v>
                </c:pt>
                <c:pt idx="1">
                  <c:v>2019</c:v>
                </c:pt>
                <c:pt idx="2">
                  <c:v>2020</c:v>
                </c:pt>
              </c:numCache>
            </c:numRef>
          </c:cat>
          <c:val>
            <c:numRef>
              <c:f>'naftas produkti'!$D$15:$F$15</c:f>
              <c:numCache>
                <c:formatCode>_-* #\ ##0_-;\-* #\ ##0_-;_-* "-"??_-;_-@_-</c:formatCode>
                <c:ptCount val="3"/>
                <c:pt idx="0">
                  <c:v>494166</c:v>
                </c:pt>
                <c:pt idx="1">
                  <c:v>501248</c:v>
                </c:pt>
                <c:pt idx="2">
                  <c:v>472455</c:v>
                </c:pt>
              </c:numCache>
            </c:numRef>
          </c:val>
          <c:extLst>
            <c:ext xmlns:c16="http://schemas.microsoft.com/office/drawing/2014/chart" uri="{C3380CC4-5D6E-409C-BE32-E72D297353CC}">
              <c16:uniqueId val="{00000001-7428-4D6C-A905-A44486134901}"/>
            </c:ext>
          </c:extLst>
        </c:ser>
        <c:ser>
          <c:idx val="2"/>
          <c:order val="2"/>
          <c:tx>
            <c:strRef>
              <c:f>'naftas produkti'!$C$16</c:f>
              <c:strCache>
                <c:ptCount val="1"/>
                <c:pt idx="0">
                  <c:v>Sašķidrinātā naftas gāze</c:v>
                </c:pt>
              </c:strCache>
            </c:strRef>
          </c:tx>
          <c:spPr>
            <a:solidFill>
              <a:schemeClr val="accent1">
                <a:lumMod val="50000"/>
              </a:schemeClr>
            </a:solidFill>
          </c:spPr>
          <c:invertIfNegative val="0"/>
          <c:cat>
            <c:numRef>
              <c:f>'naftas produkti'!$D$13:$F$13</c:f>
              <c:numCache>
                <c:formatCode>General</c:formatCode>
                <c:ptCount val="3"/>
                <c:pt idx="0">
                  <c:v>2018</c:v>
                </c:pt>
                <c:pt idx="1">
                  <c:v>2019</c:v>
                </c:pt>
                <c:pt idx="2">
                  <c:v>2020</c:v>
                </c:pt>
              </c:numCache>
            </c:numRef>
          </c:cat>
          <c:val>
            <c:numRef>
              <c:f>'naftas produkti'!$D$16:$F$16</c:f>
              <c:numCache>
                <c:formatCode>_-* #\ ##0_-;\-* #\ ##0_-;_-* "-"??_-;_-@_-</c:formatCode>
                <c:ptCount val="3"/>
                <c:pt idx="0">
                  <c:v>23909</c:v>
                </c:pt>
                <c:pt idx="1">
                  <c:v>21761</c:v>
                </c:pt>
                <c:pt idx="2">
                  <c:v>18763</c:v>
                </c:pt>
              </c:numCache>
            </c:numRef>
          </c:val>
          <c:extLst>
            <c:ext xmlns:c16="http://schemas.microsoft.com/office/drawing/2014/chart" uri="{C3380CC4-5D6E-409C-BE32-E72D297353CC}">
              <c16:uniqueId val="{00000002-7428-4D6C-A905-A44486134901}"/>
            </c:ext>
          </c:extLst>
        </c:ser>
        <c:dLbls>
          <c:showLegendKey val="0"/>
          <c:showVal val="0"/>
          <c:showCatName val="0"/>
          <c:showSerName val="0"/>
          <c:showPercent val="0"/>
          <c:showBubbleSize val="0"/>
        </c:dLbls>
        <c:gapWidth val="150"/>
        <c:axId val="263288056"/>
        <c:axId val="263288448"/>
      </c:barChart>
      <c:catAx>
        <c:axId val="263288056"/>
        <c:scaling>
          <c:orientation val="minMax"/>
        </c:scaling>
        <c:delete val="0"/>
        <c:axPos val="b"/>
        <c:numFmt formatCode="General" sourceLinked="1"/>
        <c:majorTickMark val="out"/>
        <c:minorTickMark val="none"/>
        <c:tickLblPos val="nextTo"/>
        <c:crossAx val="263288448"/>
        <c:crosses val="autoZero"/>
        <c:auto val="1"/>
        <c:lblAlgn val="ctr"/>
        <c:lblOffset val="100"/>
        <c:noMultiLvlLbl val="0"/>
      </c:catAx>
      <c:valAx>
        <c:axId val="263288448"/>
        <c:scaling>
          <c:orientation val="minMax"/>
        </c:scaling>
        <c:delete val="0"/>
        <c:axPos val="l"/>
        <c:majorGridlines/>
        <c:numFmt formatCode="_-* #\ ##0_-;\-* #\ ##0_-;_-* &quot;-&quot;??_-;_-@_-" sourceLinked="1"/>
        <c:majorTickMark val="out"/>
        <c:minorTickMark val="none"/>
        <c:tickLblPos val="nextTo"/>
        <c:crossAx val="263288056"/>
        <c:crosses val="autoZero"/>
        <c:crossBetween val="between"/>
      </c:valAx>
    </c:plotArea>
    <c:legend>
      <c:legendPos val="b"/>
      <c:layout/>
      <c:overlay val="0"/>
    </c:legend>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255562799872949E-2"/>
          <c:y val="5.3191489361702128E-2"/>
          <c:w val="0.8949652439941822"/>
          <c:h val="0.7607883076755797"/>
        </c:manualLayout>
      </c:layout>
      <c:barChart>
        <c:barDir val="col"/>
        <c:grouping val="clustered"/>
        <c:varyColors val="0"/>
        <c:ser>
          <c:idx val="0"/>
          <c:order val="0"/>
          <c:tx>
            <c:strRef>
              <c:f>alkohols!$E$18</c:f>
              <c:strCache>
                <c:ptCount val="1"/>
                <c:pt idx="0">
                  <c:v>Vīni un raudzētie dzērieni</c:v>
                </c:pt>
              </c:strCache>
            </c:strRef>
          </c:tx>
          <c:spPr>
            <a:solidFill>
              <a:schemeClr val="accent3">
                <a:lumMod val="75000"/>
              </a:schemeClr>
            </a:solidFill>
            <a:ln>
              <a:noFill/>
            </a:ln>
            <a:effectLst/>
          </c:spPr>
          <c:invertIfNegative val="0"/>
          <c:cat>
            <c:numRef>
              <c:f>alkohols!$F$17:$H$17</c:f>
              <c:numCache>
                <c:formatCode>General</c:formatCode>
                <c:ptCount val="3"/>
                <c:pt idx="0">
                  <c:v>2018</c:v>
                </c:pt>
                <c:pt idx="1">
                  <c:v>2019</c:v>
                </c:pt>
                <c:pt idx="2">
                  <c:v>2020</c:v>
                </c:pt>
              </c:numCache>
            </c:numRef>
          </c:cat>
          <c:val>
            <c:numRef>
              <c:f>alkohols!$F$18:$H$18</c:f>
              <c:numCache>
                <c:formatCode>#,##0</c:formatCode>
                <c:ptCount val="3"/>
                <c:pt idx="0">
                  <c:v>1311154.1439999999</c:v>
                </c:pt>
                <c:pt idx="1">
                  <c:v>1409489.03</c:v>
                </c:pt>
                <c:pt idx="2">
                  <c:v>1260419.2779999999</c:v>
                </c:pt>
              </c:numCache>
            </c:numRef>
          </c:val>
          <c:extLst>
            <c:ext xmlns:c16="http://schemas.microsoft.com/office/drawing/2014/chart" uri="{C3380CC4-5D6E-409C-BE32-E72D297353CC}">
              <c16:uniqueId val="{00000000-F555-418A-B845-6E7358CCF4E7}"/>
            </c:ext>
          </c:extLst>
        </c:ser>
        <c:ser>
          <c:idx val="1"/>
          <c:order val="1"/>
          <c:tx>
            <c:strRef>
              <c:f>alkohols!$E$19</c:f>
              <c:strCache>
                <c:ptCount val="1"/>
                <c:pt idx="0">
                  <c:v>Degvīns, brendijs, viskijs, konjaks u.c. stiprie dzērieni</c:v>
                </c:pt>
              </c:strCache>
            </c:strRef>
          </c:tx>
          <c:spPr>
            <a:solidFill>
              <a:schemeClr val="accent3">
                <a:lumMod val="50000"/>
              </a:schemeClr>
            </a:solidFill>
            <a:ln>
              <a:noFill/>
            </a:ln>
            <a:effectLst/>
          </c:spPr>
          <c:invertIfNegative val="0"/>
          <c:cat>
            <c:numRef>
              <c:f>alkohols!$F$17:$H$17</c:f>
              <c:numCache>
                <c:formatCode>General</c:formatCode>
                <c:ptCount val="3"/>
                <c:pt idx="0">
                  <c:v>2018</c:v>
                </c:pt>
                <c:pt idx="1">
                  <c:v>2019</c:v>
                </c:pt>
                <c:pt idx="2">
                  <c:v>2020</c:v>
                </c:pt>
              </c:numCache>
            </c:numRef>
          </c:cat>
          <c:val>
            <c:numRef>
              <c:f>alkohols!$F$19:$H$19</c:f>
              <c:numCache>
                <c:formatCode>#,##0</c:formatCode>
                <c:ptCount val="3"/>
                <c:pt idx="0">
                  <c:v>1443883.209</c:v>
                </c:pt>
                <c:pt idx="1">
                  <c:v>1313922.2920000004</c:v>
                </c:pt>
                <c:pt idx="2">
                  <c:v>1276189.531</c:v>
                </c:pt>
              </c:numCache>
            </c:numRef>
          </c:val>
          <c:extLst>
            <c:ext xmlns:c16="http://schemas.microsoft.com/office/drawing/2014/chart" uri="{C3380CC4-5D6E-409C-BE32-E72D297353CC}">
              <c16:uniqueId val="{00000001-F555-418A-B845-6E7358CCF4E7}"/>
            </c:ext>
          </c:extLst>
        </c:ser>
        <c:ser>
          <c:idx val="2"/>
          <c:order val="2"/>
          <c:tx>
            <c:strRef>
              <c:f>alkohols!$E$20</c:f>
              <c:strCache>
                <c:ptCount val="1"/>
                <c:pt idx="0">
                  <c:v>Starpprodukti</c:v>
                </c:pt>
              </c:strCache>
            </c:strRef>
          </c:tx>
          <c:spPr>
            <a:solidFill>
              <a:schemeClr val="accent3">
                <a:lumMod val="60000"/>
                <a:lumOff val="40000"/>
              </a:schemeClr>
            </a:solidFill>
            <a:ln>
              <a:noFill/>
            </a:ln>
            <a:effectLst/>
          </c:spPr>
          <c:invertIfNegative val="0"/>
          <c:cat>
            <c:numRef>
              <c:f>alkohols!$F$17:$H$17</c:f>
              <c:numCache>
                <c:formatCode>General</c:formatCode>
                <c:ptCount val="3"/>
                <c:pt idx="0">
                  <c:v>2018</c:v>
                </c:pt>
                <c:pt idx="1">
                  <c:v>2019</c:v>
                </c:pt>
                <c:pt idx="2">
                  <c:v>2020</c:v>
                </c:pt>
              </c:numCache>
            </c:numRef>
          </c:cat>
          <c:val>
            <c:numRef>
              <c:f>alkohols!$F$20:$H$20</c:f>
              <c:numCache>
                <c:formatCode>#,##0</c:formatCode>
                <c:ptCount val="3"/>
                <c:pt idx="0">
                  <c:v>327085.15100000001</c:v>
                </c:pt>
                <c:pt idx="1">
                  <c:v>543024.96299999999</c:v>
                </c:pt>
                <c:pt idx="2">
                  <c:v>430183.57200000004</c:v>
                </c:pt>
              </c:numCache>
            </c:numRef>
          </c:val>
          <c:extLst>
            <c:ext xmlns:c16="http://schemas.microsoft.com/office/drawing/2014/chart" uri="{C3380CC4-5D6E-409C-BE32-E72D297353CC}">
              <c16:uniqueId val="{00000002-F555-418A-B845-6E7358CCF4E7}"/>
            </c:ext>
          </c:extLst>
        </c:ser>
        <c:dLbls>
          <c:showLegendKey val="0"/>
          <c:showVal val="0"/>
          <c:showCatName val="0"/>
          <c:showSerName val="0"/>
          <c:showPercent val="0"/>
          <c:showBubbleSize val="0"/>
        </c:dLbls>
        <c:gapWidth val="181"/>
        <c:axId val="497914280"/>
        <c:axId val="497914672"/>
      </c:barChart>
      <c:catAx>
        <c:axId val="497914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7914672"/>
        <c:crosses val="autoZero"/>
        <c:auto val="1"/>
        <c:lblAlgn val="ctr"/>
        <c:lblOffset val="100"/>
        <c:noMultiLvlLbl val="0"/>
      </c:catAx>
      <c:valAx>
        <c:axId val="497914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7914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extLst>
              <c:ext xmlns:c16="http://schemas.microsoft.com/office/drawing/2014/chart" uri="{C3380CC4-5D6E-409C-BE32-E72D297353CC}">
                <c16:uniqueId val="{00000001-2194-4FE4-A259-1144F29A70EE}"/>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extLst>
              <c:ext xmlns:c16="http://schemas.microsoft.com/office/drawing/2014/chart" uri="{C3380CC4-5D6E-409C-BE32-E72D297353CC}">
                <c16:uniqueId val="{00000003-2194-4FE4-A259-1144F29A70EE}"/>
              </c:ext>
            </c:extLst>
          </c:dPt>
          <c:dPt>
            <c:idx val="2"/>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extLst>
              <c:ext xmlns:c16="http://schemas.microsoft.com/office/drawing/2014/chart" uri="{C3380CC4-5D6E-409C-BE32-E72D297353CC}">
                <c16:uniqueId val="{00000005-2194-4FE4-A259-1144F29A70EE}"/>
              </c:ext>
            </c:extLst>
          </c:dPt>
          <c:dPt>
            <c:idx val="3"/>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extLst>
              <c:ext xmlns:c16="http://schemas.microsoft.com/office/drawing/2014/chart" uri="{C3380CC4-5D6E-409C-BE32-E72D297353CC}">
                <c16:uniqueId val="{00000007-2194-4FE4-A259-1144F29A70EE}"/>
              </c:ext>
            </c:extLst>
          </c:dPt>
          <c:dLbls>
            <c:dLbl>
              <c:idx val="3"/>
              <c:layout>
                <c:manualLayout>
                  <c:x val="5.1415692588991285E-2"/>
                  <c:y val="3.4649134204759057E-7"/>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9814425786869394"/>
                      <c:h val="0.15821799502784925"/>
                    </c:manualLayout>
                  </c15:layout>
                </c:ext>
                <c:ext xmlns:c16="http://schemas.microsoft.com/office/drawing/2014/chart" uri="{C3380CC4-5D6E-409C-BE32-E72D297353CC}">
                  <c16:uniqueId val="{00000007-2194-4FE4-A259-1144F29A70EE}"/>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Sheet1!$C$7:$C$10</c:f>
              <c:strCache>
                <c:ptCount val="4"/>
                <c:pt idx="0">
                  <c:v>Ieņēmumi no uzņēmējdarbības un īpašuma</c:v>
                </c:pt>
                <c:pt idx="1">
                  <c:v>Naudas sodi un sankcijas</c:v>
                </c:pt>
                <c:pt idx="2">
                  <c:v>Valsts (pašvaldību) nodevas un kancelejas nodevas</c:v>
                </c:pt>
                <c:pt idx="3">
                  <c:v>Pārējie nenodokļu ieņēmumi</c:v>
                </c:pt>
              </c:strCache>
            </c:strRef>
          </c:cat>
          <c:val>
            <c:numRef>
              <c:f>Sheet1!$D$7:$D$10</c:f>
              <c:numCache>
                <c:formatCode>0.00</c:formatCode>
                <c:ptCount val="4"/>
                <c:pt idx="0">
                  <c:v>258.95261659000005</c:v>
                </c:pt>
                <c:pt idx="1">
                  <c:v>19.22572194</c:v>
                </c:pt>
                <c:pt idx="2">
                  <c:v>62.551326639999999</c:v>
                </c:pt>
                <c:pt idx="3">
                  <c:v>55.826848310000003</c:v>
                </c:pt>
              </c:numCache>
            </c:numRef>
          </c:val>
          <c:extLst>
            <c:ext xmlns:c16="http://schemas.microsoft.com/office/drawing/2014/chart" uri="{C3380CC4-5D6E-409C-BE32-E72D297353CC}">
              <c16:uniqueId val="{00000008-2194-4FE4-A259-1144F29A70E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40582435367941561"/>
          <c:y val="5.4363475180869189E-2"/>
          <c:w val="0.56873731051077758"/>
          <c:h val="0.75049240238894055"/>
        </c:manualLayout>
      </c:layout>
      <c:barChart>
        <c:barDir val="bar"/>
        <c:grouping val="clustered"/>
        <c:varyColors val="0"/>
        <c:ser>
          <c:idx val="0"/>
          <c:order val="0"/>
          <c:tx>
            <c:strRef>
              <c:f>Sheet1!$E$6</c:f>
              <c:strCache>
                <c:ptCount val="1"/>
                <c:pt idx="0">
                  <c:v>Prognoze 2020</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invertIfNegative val="0"/>
          <c:dLbls>
            <c:dLbl>
              <c:idx val="0"/>
              <c:layout>
                <c:manualLayout>
                  <c:x val="0"/>
                  <c:y val="-5.064573309698657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75F-4E95-B536-88A9D260B72C}"/>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Sheet1!$C$7:$C$10</c:f>
              <c:strCache>
                <c:ptCount val="4"/>
                <c:pt idx="0">
                  <c:v>Ieņēmumi no uzņēmējdarbības un īpašuma</c:v>
                </c:pt>
                <c:pt idx="1">
                  <c:v>Naudas sodi un sankcijas</c:v>
                </c:pt>
                <c:pt idx="2">
                  <c:v>Valsts (pašvaldību) nodevas un kancelejas nodevas</c:v>
                </c:pt>
                <c:pt idx="3">
                  <c:v>Pārējie nenodokļu ieņēmumi</c:v>
                </c:pt>
              </c:strCache>
            </c:strRef>
          </c:cat>
          <c:val>
            <c:numRef>
              <c:f>Sheet1!$E$7:$E$10</c:f>
              <c:numCache>
                <c:formatCode>0.00</c:formatCode>
                <c:ptCount val="4"/>
                <c:pt idx="0">
                  <c:v>283.45605799999998</c:v>
                </c:pt>
                <c:pt idx="1">
                  <c:v>34.112462000000001</c:v>
                </c:pt>
                <c:pt idx="2">
                  <c:v>154.841882</c:v>
                </c:pt>
                <c:pt idx="3">
                  <c:v>74.323588000000001</c:v>
                </c:pt>
              </c:numCache>
            </c:numRef>
          </c:val>
          <c:extLst>
            <c:ext xmlns:c16="http://schemas.microsoft.com/office/drawing/2014/chart" uri="{C3380CC4-5D6E-409C-BE32-E72D297353CC}">
              <c16:uniqueId val="{00000001-F75F-4E95-B536-88A9D260B72C}"/>
            </c:ext>
          </c:extLst>
        </c:ser>
        <c:ser>
          <c:idx val="1"/>
          <c:order val="1"/>
          <c:tx>
            <c:strRef>
              <c:f>Sheet1!$F$6</c:f>
              <c:strCache>
                <c:ptCount val="1"/>
                <c:pt idx="0">
                  <c:v>Plāns 2021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Sheet1!$C$7:$C$10</c:f>
              <c:strCache>
                <c:ptCount val="4"/>
                <c:pt idx="0">
                  <c:v>Ieņēmumi no uzņēmējdarbības un īpašuma</c:v>
                </c:pt>
                <c:pt idx="1">
                  <c:v>Naudas sodi un sankcijas</c:v>
                </c:pt>
                <c:pt idx="2">
                  <c:v>Valsts (pašvaldību) nodevas un kancelejas nodevas</c:v>
                </c:pt>
                <c:pt idx="3">
                  <c:v>Pārējie nenodokļu ieņēmumi</c:v>
                </c:pt>
              </c:strCache>
            </c:strRef>
          </c:cat>
          <c:val>
            <c:numRef>
              <c:f>Sheet1!$F$7:$F$10</c:f>
              <c:numCache>
                <c:formatCode>0.00</c:formatCode>
                <c:ptCount val="4"/>
                <c:pt idx="0">
                  <c:v>227.036</c:v>
                </c:pt>
                <c:pt idx="1">
                  <c:v>32.327348000000001</c:v>
                </c:pt>
                <c:pt idx="2">
                  <c:v>158.46319700000001</c:v>
                </c:pt>
                <c:pt idx="3">
                  <c:v>30.048848</c:v>
                </c:pt>
              </c:numCache>
            </c:numRef>
          </c:val>
          <c:extLst>
            <c:ext xmlns:c16="http://schemas.microsoft.com/office/drawing/2014/chart" uri="{C3380CC4-5D6E-409C-BE32-E72D297353CC}">
              <c16:uniqueId val="{00000002-F75F-4E95-B536-88A9D260B72C}"/>
            </c:ext>
          </c:extLst>
        </c:ser>
        <c:dLbls>
          <c:showLegendKey val="0"/>
          <c:showVal val="0"/>
          <c:showCatName val="0"/>
          <c:showSerName val="0"/>
          <c:showPercent val="0"/>
          <c:showBubbleSize val="0"/>
        </c:dLbls>
        <c:gapWidth val="182"/>
        <c:axId val="1532269120"/>
        <c:axId val="1532275360"/>
      </c:barChart>
      <c:catAx>
        <c:axId val="1532269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32275360"/>
        <c:crosses val="autoZero"/>
        <c:auto val="1"/>
        <c:lblAlgn val="ctr"/>
        <c:lblOffset val="100"/>
        <c:noMultiLvlLbl val="0"/>
      </c:catAx>
      <c:valAx>
        <c:axId val="15322753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32269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8226-3E8A-49FA-900B-71CC9AF2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32</Pages>
  <Words>13186</Words>
  <Characters>83719</Characters>
  <Application>Microsoft Office Word</Application>
  <DocSecurity>0</DocSecurity>
  <Lines>697</Lines>
  <Paragraphs>193</Paragraphs>
  <ScaleCrop>false</ScaleCrop>
  <HeadingPairs>
    <vt:vector size="2" baseType="variant">
      <vt:variant>
        <vt:lpstr>Title</vt:lpstr>
      </vt:variant>
      <vt:variant>
        <vt:i4>1</vt:i4>
      </vt:variant>
    </vt:vector>
  </HeadingPairs>
  <TitlesOfParts>
    <vt:vector size="1" baseType="lpstr">
      <vt:lpstr>Likuma "Par valsts budžetu 2021.gadam" paskaidrojumi, 3. nodaļa Ieņēmumu analīze</vt:lpstr>
    </vt:vector>
  </TitlesOfParts>
  <Company>Finanšu ministrija</Company>
  <LinksUpToDate>false</LinksUpToDate>
  <CharactersWithSpaces>96712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3. nodaļa Ieņēmumu analīze</dc:title>
  <dc:subject>paskaidrojuma raksts</dc:subject>
  <dc:creator>klinta.stafecka@fm.gov.lv</dc:creator>
  <dc:description>67095438,
klinta.stafecka@fm.gov.lv</dc:description>
  <cp:lastModifiedBy>Dace Godiņa</cp:lastModifiedBy>
  <cp:revision>119</cp:revision>
  <cp:lastPrinted>2019-04-23T12:17:00Z</cp:lastPrinted>
  <dcterms:created xsi:type="dcterms:W3CDTF">2019-05-07T11:49:00Z</dcterms:created>
  <dcterms:modified xsi:type="dcterms:W3CDTF">2020-10-12T09:07:00Z</dcterms:modified>
</cp:coreProperties>
</file>