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5BA28" w14:textId="01459BEF" w:rsidR="00902B54" w:rsidRDefault="004A0CB3" w:rsidP="006E6D01">
      <w:pPr>
        <w:pStyle w:val="Heading1"/>
        <w:ind w:firstLine="0"/>
        <w:jc w:val="center"/>
        <w:rPr>
          <w:rFonts w:ascii="Times New Roman" w:hAnsi="Times New Roman" w:cs="Times New Roman"/>
          <w:b/>
          <w:color w:val="auto"/>
          <w:sz w:val="44"/>
          <w:szCs w:val="44"/>
        </w:rPr>
      </w:pPr>
      <w:r w:rsidRPr="006E6D01">
        <w:rPr>
          <w:rFonts w:ascii="Times New Roman" w:hAnsi="Times New Roman" w:cs="Times New Roman"/>
          <w:b/>
          <w:color w:val="auto"/>
          <w:sz w:val="44"/>
          <w:szCs w:val="44"/>
        </w:rPr>
        <w:t xml:space="preserve">6. </w:t>
      </w:r>
      <w:r w:rsidR="00902B54" w:rsidRPr="006E6D01">
        <w:rPr>
          <w:rFonts w:ascii="Times New Roman" w:hAnsi="Times New Roman" w:cs="Times New Roman"/>
          <w:b/>
          <w:color w:val="auto"/>
          <w:sz w:val="44"/>
          <w:szCs w:val="44"/>
        </w:rPr>
        <w:t>Valsts finansiālo saistību kopsavilkums</w:t>
      </w:r>
    </w:p>
    <w:p w14:paraId="2C836B7F" w14:textId="510BF75B" w:rsidR="00902B54" w:rsidRDefault="004A0CB3" w:rsidP="00342B03">
      <w:pPr>
        <w:pStyle w:val="Heading2"/>
        <w:spacing w:before="240" w:after="120"/>
        <w:ind w:firstLine="0"/>
        <w:jc w:val="center"/>
        <w:rPr>
          <w:rFonts w:ascii="Times New Roman" w:hAnsi="Times New Roman" w:cs="Times New Roman"/>
          <w:b/>
          <w:color w:val="auto"/>
          <w:sz w:val="36"/>
          <w:szCs w:val="36"/>
        </w:rPr>
      </w:pPr>
      <w:r w:rsidRPr="006E6D01">
        <w:rPr>
          <w:rFonts w:ascii="Times New Roman" w:hAnsi="Times New Roman" w:cs="Times New Roman"/>
          <w:b/>
          <w:color w:val="auto"/>
          <w:sz w:val="36"/>
          <w:szCs w:val="36"/>
        </w:rPr>
        <w:t xml:space="preserve">6.1. </w:t>
      </w:r>
      <w:r w:rsidR="00902B54" w:rsidRPr="006E6D01">
        <w:rPr>
          <w:rFonts w:ascii="Times New Roman" w:hAnsi="Times New Roman" w:cs="Times New Roman"/>
          <w:b/>
          <w:color w:val="auto"/>
          <w:sz w:val="36"/>
          <w:szCs w:val="36"/>
        </w:rPr>
        <w:t>Valsts parāda vadības pamatprincipi un mērķi</w:t>
      </w:r>
    </w:p>
    <w:p w14:paraId="4CA65F34" w14:textId="77777777" w:rsidR="00342B03" w:rsidRPr="001439E0" w:rsidRDefault="00342B03" w:rsidP="00342B03">
      <w:pPr>
        <w:pStyle w:val="CommentText"/>
        <w:rPr>
          <w:sz w:val="24"/>
          <w:szCs w:val="24"/>
        </w:rPr>
      </w:pPr>
      <w:r w:rsidRPr="001439E0">
        <w:rPr>
          <w:sz w:val="24"/>
          <w:szCs w:val="24"/>
        </w:rPr>
        <w:t>Valst</w:t>
      </w:r>
      <w:r>
        <w:rPr>
          <w:sz w:val="24"/>
          <w:szCs w:val="24"/>
        </w:rPr>
        <w:t>s parādu veido valsts struktūru</w:t>
      </w:r>
      <w:r w:rsidRPr="001439E0">
        <w:rPr>
          <w:sz w:val="24"/>
          <w:szCs w:val="24"/>
        </w:rPr>
        <w:t xml:space="preserve"> </w:t>
      </w:r>
      <w:r>
        <w:rPr>
          <w:sz w:val="24"/>
          <w:szCs w:val="24"/>
        </w:rPr>
        <w:t>(</w:t>
      </w:r>
      <w:r w:rsidRPr="001439E0">
        <w:rPr>
          <w:sz w:val="24"/>
          <w:szCs w:val="24"/>
        </w:rPr>
        <w:t>saskaņā ar institucionālo sektoru klasifikāciju</w:t>
      </w:r>
      <w:r>
        <w:rPr>
          <w:sz w:val="24"/>
          <w:szCs w:val="24"/>
        </w:rPr>
        <w:t xml:space="preserve">, </w:t>
      </w:r>
      <w:r w:rsidRPr="001439E0">
        <w:rPr>
          <w:sz w:val="24"/>
          <w:szCs w:val="24"/>
        </w:rPr>
        <w:t xml:space="preserve">izņemot valsts sektorā ietvertos kontrolētos un finansētos komersantus, ostu un brīvostu pārvaldes, speciālās ekonomiskās zonas) saņemtais un neatmaksātais bruto parāds šādās finanšu instrumentu kategorijās: parāda vērtspapīri un aizņēmumi (izņemot atvasinātos finanšu instrumentus), noguldījumi, </w:t>
      </w:r>
      <w:r>
        <w:rPr>
          <w:sz w:val="24"/>
          <w:szCs w:val="24"/>
        </w:rPr>
        <w:t xml:space="preserve">t. sk. </w:t>
      </w:r>
      <w:r w:rsidRPr="001439E0">
        <w:rPr>
          <w:sz w:val="24"/>
          <w:szCs w:val="24"/>
        </w:rPr>
        <w:t>krājobligācijas, garantiju depozīti, kā arī klientu (izņemot valsts struktūru, bet ieskaitot valsts struktūru kontrolēto un finansēto komersantu, ostu un brīvostu pārvalžu un speciālo ekonomisko zonu) Valsts kasē izvietotie depozīti un kontu atlikumi.</w:t>
      </w:r>
    </w:p>
    <w:p w14:paraId="259F1C6B" w14:textId="77777777" w:rsidR="00342B03" w:rsidRPr="009231EC" w:rsidRDefault="00342B03" w:rsidP="00342B03">
      <w:pPr>
        <w:pStyle w:val="BodyTextIndent"/>
        <w:ind w:left="0"/>
        <w:rPr>
          <w:color w:val="000000"/>
          <w:szCs w:val="28"/>
        </w:rPr>
      </w:pPr>
      <w:r w:rsidRPr="001439E0">
        <w:rPr>
          <w:color w:val="000000"/>
          <w:szCs w:val="28"/>
        </w:rPr>
        <w:t xml:space="preserve">Likums </w:t>
      </w:r>
      <w:r>
        <w:rPr>
          <w:color w:val="000000"/>
          <w:szCs w:val="28"/>
        </w:rPr>
        <w:t>“</w:t>
      </w:r>
      <w:r w:rsidRPr="001439E0">
        <w:rPr>
          <w:color w:val="000000"/>
          <w:szCs w:val="28"/>
        </w:rPr>
        <w:t xml:space="preserve">Par budžetu un finanšu vadību” pilnvaro finanšu ministru valsts vārdā ņemt aizņēmumus gadskārtējā valsts budžeta likumā atļautajos apmēros tikai valsts budžeta finansiālā deficīta finansēšanai, valsts parāda pārfinansēšanai un mērķiem, kas noteikti gadskārtējā valsts budžeta likumā. </w:t>
      </w:r>
      <w:r>
        <w:t xml:space="preserve">Saskaņā ar “Covid-19 infekcijas izplatības seku pārvarēšanas likumu”, lai nodrošinātu finansējumu pasākumiem saistībā ar Covid-19 izplatību noteiktās ārkārtējās situācijas ietekmes mazināšanai un novēršanai un ar tiem saistītajiem izdevumiem, finanšu ministrs ir tiesīgs valsts vārdā ņemt aizņēmumus nepieciešamajā apmērā, izraudzīties aizņēmumu instrumentus un nosacījumus, kā arī ir tiesīgs palielināt gadskārtējā valsts budžeta likumā noteikto valsts parāda maksimāli pieļaujamo apjomu saimnieciskā gada beigās un valsts parāda vadības izdevumu un saistību izpildei noteikto apropriāciju. </w:t>
      </w:r>
      <w:r w:rsidRPr="009231EC" w:rsidDel="009231EC">
        <w:rPr>
          <w:color w:val="000000"/>
          <w:szCs w:val="28"/>
        </w:rPr>
        <w:t xml:space="preserve"> </w:t>
      </w:r>
      <w:r w:rsidRPr="009231EC">
        <w:rPr>
          <w:color w:val="000000"/>
          <w:szCs w:val="28"/>
        </w:rPr>
        <w:t>Procentu izdevumi par veiktajiem aizņēmumiem un citi ar valsts parāda apkalpošanu un vadību saistītie maksājumi tiek paredzēti valsts budžeta apakšprogrammā 31.02.00 “Valsts parāda vadība”, kuru administrē Valsts kase.</w:t>
      </w:r>
    </w:p>
    <w:p w14:paraId="6411F622" w14:textId="7F838844" w:rsidR="00342B03" w:rsidRDefault="00342B03" w:rsidP="00342B03">
      <w:pPr>
        <w:pStyle w:val="BodyTextIndent"/>
        <w:ind w:left="0"/>
        <w:rPr>
          <w:color w:val="000000"/>
          <w:szCs w:val="28"/>
        </w:rPr>
      </w:pPr>
      <w:r w:rsidRPr="009231EC">
        <w:rPr>
          <w:color w:val="000000"/>
          <w:szCs w:val="28"/>
        </w:rPr>
        <w:t xml:space="preserve">Valsts parāda un naudas līdzekļu vadības pamatprincipus un uzdevumus vidējam termiņam nosaka finanšu ministra apstiprinātā stratēģija, kuras mērķis un sastāvdaļas atspoguļotas </w:t>
      </w:r>
      <w:r w:rsidR="001156CD">
        <w:rPr>
          <w:color w:val="000000"/>
          <w:szCs w:val="28"/>
        </w:rPr>
        <w:t>6.</w:t>
      </w:r>
      <w:r w:rsidRPr="009231EC">
        <w:rPr>
          <w:color w:val="000000"/>
          <w:szCs w:val="28"/>
        </w:rPr>
        <w:t>1. attēlā.</w:t>
      </w:r>
    </w:p>
    <w:p w14:paraId="03D31CDD" w14:textId="037B20A5" w:rsidR="007F6162" w:rsidRPr="007657C4" w:rsidRDefault="007F6162" w:rsidP="007F6162">
      <w:pPr>
        <w:pStyle w:val="BodyTextIndent"/>
        <w:ind w:left="0" w:firstLine="0"/>
        <w:jc w:val="center"/>
        <w:rPr>
          <w:b/>
          <w:i/>
          <w:color w:val="000000"/>
          <w:szCs w:val="28"/>
        </w:rPr>
      </w:pPr>
      <w:r>
        <w:rPr>
          <w:b/>
          <w:i/>
          <w:color w:val="000000"/>
          <w:szCs w:val="28"/>
        </w:rPr>
        <w:t>6.1. attēls</w:t>
      </w:r>
      <w:r w:rsidRPr="007657C4">
        <w:rPr>
          <w:b/>
          <w:i/>
          <w:color w:val="000000"/>
          <w:szCs w:val="28"/>
        </w:rPr>
        <w:t xml:space="preserve"> </w:t>
      </w:r>
      <w:r w:rsidRPr="007F6162">
        <w:rPr>
          <w:b/>
          <w:color w:val="000000"/>
          <w:szCs w:val="28"/>
        </w:rPr>
        <w:t>Valsts parāda un naudas līdzekļu vadības stratēģija</w:t>
      </w:r>
    </w:p>
    <w:p w14:paraId="00E8E41E" w14:textId="7A2C1F95" w:rsidR="007F6162" w:rsidRDefault="005363AD" w:rsidP="005363AD">
      <w:pPr>
        <w:pStyle w:val="BodyTextIndent"/>
        <w:ind w:left="0" w:firstLine="0"/>
        <w:rPr>
          <w:color w:val="000000"/>
          <w:szCs w:val="28"/>
        </w:rPr>
      </w:pPr>
      <w:r>
        <w:rPr>
          <w:noProof/>
          <w:lang w:eastAsia="lv-LV"/>
        </w:rPr>
        <w:drawing>
          <wp:inline distT="0" distB="0" distL="0" distR="0" wp14:anchorId="055A1C64" wp14:editId="553261BB">
            <wp:extent cx="5709920" cy="3268639"/>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595" b="1774"/>
                    <a:stretch/>
                  </pic:blipFill>
                  <pic:spPr bwMode="auto">
                    <a:xfrm>
                      <a:off x="0" y="0"/>
                      <a:ext cx="5727614" cy="3278768"/>
                    </a:xfrm>
                    <a:prstGeom prst="rect">
                      <a:avLst/>
                    </a:prstGeom>
                    <a:ln>
                      <a:noFill/>
                    </a:ln>
                    <a:extLst>
                      <a:ext uri="{53640926-AAD7-44D8-BBD7-CCE9431645EC}">
                        <a14:shadowObscured xmlns:a14="http://schemas.microsoft.com/office/drawing/2010/main"/>
                      </a:ext>
                    </a:extLst>
                  </pic:spPr>
                </pic:pic>
              </a:graphicData>
            </a:graphic>
          </wp:inline>
        </w:drawing>
      </w:r>
    </w:p>
    <w:p w14:paraId="43119FE8" w14:textId="720FC3D3" w:rsidR="00342B03" w:rsidRPr="006E6D01" w:rsidRDefault="00342B03" w:rsidP="006D27AC">
      <w:pPr>
        <w:pStyle w:val="BodyTextIndent"/>
        <w:ind w:left="0"/>
      </w:pPr>
      <w:r w:rsidRPr="009231EC">
        <w:rPr>
          <w:color w:val="000000"/>
          <w:szCs w:val="28"/>
        </w:rPr>
        <w:lastRenderedPageBreak/>
        <w:t>Aizņemšanās apjomu un valsts parāda līmeni vidējā termiņā ietekmē kopējā finansēšanas nepieciešamība, kuru galvenokārt v</w:t>
      </w:r>
      <w:r w:rsidRPr="001439E0">
        <w:rPr>
          <w:color w:val="000000"/>
          <w:szCs w:val="28"/>
        </w:rPr>
        <w:t>eido valsts parāda atmaksai</w:t>
      </w:r>
      <w:r>
        <w:rPr>
          <w:color w:val="000000"/>
          <w:szCs w:val="28"/>
        </w:rPr>
        <w:t>,</w:t>
      </w:r>
      <w:r w:rsidRPr="001439E0">
        <w:rPr>
          <w:color w:val="000000"/>
          <w:szCs w:val="28"/>
        </w:rPr>
        <w:t xml:space="preserve"> valsts budžeta </w:t>
      </w:r>
      <w:r>
        <w:rPr>
          <w:color w:val="000000"/>
          <w:szCs w:val="28"/>
        </w:rPr>
        <w:t>deficīta finansēšanai</w:t>
      </w:r>
      <w:r w:rsidRPr="001439E0">
        <w:rPr>
          <w:color w:val="000000"/>
          <w:szCs w:val="28"/>
        </w:rPr>
        <w:t xml:space="preserve"> </w:t>
      </w:r>
      <w:r>
        <w:rPr>
          <w:color w:val="000000"/>
          <w:szCs w:val="28"/>
        </w:rPr>
        <w:t xml:space="preserve">un valsts </w:t>
      </w:r>
      <w:r w:rsidRPr="00647BCB">
        <w:rPr>
          <w:color w:val="000000"/>
          <w:szCs w:val="28"/>
        </w:rPr>
        <w:t>aizdevumu nodrošināšanai vidējā termiņā nepieciešamais resursu apjoms. Valsts aizņēmumu</w:t>
      </w:r>
      <w:r>
        <w:rPr>
          <w:color w:val="000000"/>
          <w:szCs w:val="28"/>
        </w:rPr>
        <w:t xml:space="preserve"> un likviditātes</w:t>
      </w:r>
      <w:r w:rsidRPr="00647BCB">
        <w:rPr>
          <w:color w:val="000000"/>
          <w:szCs w:val="28"/>
        </w:rPr>
        <w:t xml:space="preserve"> vadībā tiek izmantota stratēģiska pieeja, saglabājot pēc iespējas lielāku elastību aizņēmumu nosacījumu (aizņemšanās laiks, valūta, apjoms, termiņš) izvēlē. Tas ļauj ierobežot finanšu riskus ilgtermiņā, kā arī kopējās finansēšanas nepieciešamības segšanai nodrošināt resursus ar pēc iespējas labvēlīgākiem un izdevīgākiem nosacījumiem.</w:t>
      </w:r>
      <w:r>
        <w:rPr>
          <w:color w:val="000000"/>
          <w:szCs w:val="28"/>
        </w:rPr>
        <w:t xml:space="preserve"> </w:t>
      </w:r>
      <w:r w:rsidRPr="00C9586F">
        <w:rPr>
          <w:color w:val="000000"/>
          <w:szCs w:val="28"/>
        </w:rPr>
        <w:t xml:space="preserve">Nepieciešamība saglabāt elastīgu pieeju aizņemšanās </w:t>
      </w:r>
      <w:r>
        <w:rPr>
          <w:color w:val="000000"/>
          <w:szCs w:val="28"/>
        </w:rPr>
        <w:t>pasākumu</w:t>
      </w:r>
      <w:r w:rsidRPr="00C9586F">
        <w:rPr>
          <w:color w:val="000000"/>
          <w:szCs w:val="28"/>
        </w:rPr>
        <w:t xml:space="preserve"> īstenošanā tiek ņemta vērā, plānojot izdevumus apakšprogrammā 31.02.00 “Valsts parāda vadība” vidējam termiņam. Plānojot un veicot aizņemšanās pasākumus, tiek ievēroti gadskārtējā valsts budžeta likumā noteiktie ierobežojumi valsts parāda maksimālajam apmēram uz attiecīgā gada beigām</w:t>
      </w:r>
      <w:r>
        <w:rPr>
          <w:color w:val="000000"/>
          <w:szCs w:val="28"/>
        </w:rPr>
        <w:t xml:space="preserve">, kas </w:t>
      </w:r>
      <w:r w:rsidRPr="00FB6F7D">
        <w:t xml:space="preserve">noteikts, </w:t>
      </w:r>
      <w:r w:rsidRPr="00FB6F7D">
        <w:rPr>
          <w:color w:val="000000"/>
          <w:szCs w:val="28"/>
        </w:rPr>
        <w:t xml:space="preserve">ņemot vērā Valsts kases administrētajiem aizņēmumiem un parāda vērtspapīriem piesaistīto valūtas riska ierobežošanai izmantoto atvasināto finanšu instrumentu valūtas rezultātu, kas atbilstoši valsts parāda portfeļa vadības mērķiem neitralizē valūtas kursu izmaiņu ietekmi uz ārvalstu valūtā uzņemtā parāda apjomu </w:t>
      </w:r>
      <w:r w:rsidRPr="00FB6F7D">
        <w:rPr>
          <w:i/>
          <w:color w:val="000000"/>
          <w:szCs w:val="28"/>
        </w:rPr>
        <w:t>euro</w:t>
      </w:r>
      <w:r w:rsidRPr="00FB6F7D">
        <w:rPr>
          <w:color w:val="000000"/>
          <w:szCs w:val="28"/>
        </w:rPr>
        <w:t xml:space="preserve"> ekvivalentā.</w:t>
      </w:r>
      <w:r>
        <w:rPr>
          <w:color w:val="000000"/>
          <w:szCs w:val="28"/>
        </w:rPr>
        <w:t xml:space="preserve"> </w:t>
      </w:r>
    </w:p>
    <w:p w14:paraId="3501100D" w14:textId="0BCA9158" w:rsidR="00902B54" w:rsidRPr="006E6D01" w:rsidRDefault="004A0CB3" w:rsidP="00461D67">
      <w:pPr>
        <w:pStyle w:val="Heading2"/>
        <w:spacing w:before="240" w:after="120"/>
        <w:ind w:firstLine="0"/>
        <w:jc w:val="center"/>
        <w:rPr>
          <w:rFonts w:ascii="Times New Roman" w:hAnsi="Times New Roman" w:cs="Times New Roman"/>
          <w:b/>
          <w:color w:val="auto"/>
          <w:sz w:val="36"/>
          <w:szCs w:val="36"/>
        </w:rPr>
      </w:pPr>
      <w:r w:rsidRPr="006E6D01">
        <w:rPr>
          <w:rFonts w:ascii="Times New Roman" w:hAnsi="Times New Roman" w:cs="Times New Roman"/>
          <w:b/>
          <w:color w:val="auto"/>
          <w:sz w:val="36"/>
          <w:szCs w:val="36"/>
        </w:rPr>
        <w:t xml:space="preserve">6.2. </w:t>
      </w:r>
      <w:r w:rsidR="00902B54" w:rsidRPr="006E6D01">
        <w:rPr>
          <w:rFonts w:ascii="Times New Roman" w:hAnsi="Times New Roman" w:cs="Times New Roman"/>
          <w:b/>
          <w:color w:val="auto"/>
          <w:sz w:val="36"/>
          <w:szCs w:val="36"/>
        </w:rPr>
        <w:t>Valsts</w:t>
      </w:r>
      <w:r w:rsidR="006E6D01">
        <w:rPr>
          <w:rFonts w:ascii="Times New Roman" w:hAnsi="Times New Roman" w:cs="Times New Roman"/>
          <w:b/>
          <w:color w:val="auto"/>
          <w:sz w:val="36"/>
          <w:szCs w:val="36"/>
        </w:rPr>
        <w:t xml:space="preserve"> parāda attīstības tendences 2020</w:t>
      </w:r>
      <w:r w:rsidR="00902B54" w:rsidRPr="006E6D01">
        <w:rPr>
          <w:rFonts w:ascii="Times New Roman" w:hAnsi="Times New Roman" w:cs="Times New Roman"/>
          <w:b/>
          <w:color w:val="auto"/>
          <w:sz w:val="36"/>
          <w:szCs w:val="36"/>
        </w:rPr>
        <w:t>.-202</w:t>
      </w:r>
      <w:r w:rsidR="006E6D01">
        <w:rPr>
          <w:rFonts w:ascii="Times New Roman" w:hAnsi="Times New Roman" w:cs="Times New Roman"/>
          <w:b/>
          <w:color w:val="auto"/>
          <w:sz w:val="36"/>
          <w:szCs w:val="36"/>
        </w:rPr>
        <w:t>3</w:t>
      </w:r>
      <w:r w:rsidR="00902B54" w:rsidRPr="006E6D01">
        <w:rPr>
          <w:rFonts w:ascii="Times New Roman" w:hAnsi="Times New Roman" w:cs="Times New Roman"/>
          <w:b/>
          <w:color w:val="auto"/>
          <w:sz w:val="36"/>
          <w:szCs w:val="36"/>
        </w:rPr>
        <w:t>.</w:t>
      </w:r>
      <w:r w:rsidR="007A5A24" w:rsidRPr="006E6D01">
        <w:rPr>
          <w:rFonts w:ascii="Times New Roman" w:hAnsi="Times New Roman" w:cs="Times New Roman"/>
          <w:b/>
          <w:color w:val="auto"/>
          <w:sz w:val="36"/>
          <w:szCs w:val="36"/>
        </w:rPr>
        <w:t xml:space="preserve"> </w:t>
      </w:r>
      <w:r w:rsidR="00902B54" w:rsidRPr="006E6D01">
        <w:rPr>
          <w:rFonts w:ascii="Times New Roman" w:hAnsi="Times New Roman" w:cs="Times New Roman"/>
          <w:b/>
          <w:color w:val="auto"/>
          <w:sz w:val="36"/>
          <w:szCs w:val="36"/>
        </w:rPr>
        <w:t>gadā</w:t>
      </w:r>
    </w:p>
    <w:p w14:paraId="3C822425" w14:textId="77777777" w:rsidR="006D5235" w:rsidRDefault="006D5235" w:rsidP="006D5235">
      <w:pPr>
        <w:pStyle w:val="BodyTextIndent"/>
        <w:ind w:left="0"/>
      </w:pPr>
      <w:r w:rsidRPr="00685966">
        <w:t xml:space="preserve">Saskaņā ar Valsts kases operatīvajiem </w:t>
      </w:r>
      <w:r w:rsidRPr="008A6B47">
        <w:t>datiem 20</w:t>
      </w:r>
      <w:r>
        <w:t>20</w:t>
      </w:r>
      <w:r w:rsidRPr="008A6B47">
        <w:t>.</w:t>
      </w:r>
      <w:r>
        <w:t xml:space="preserve"> </w:t>
      </w:r>
      <w:r w:rsidRPr="008A6B47">
        <w:t xml:space="preserve">gada </w:t>
      </w:r>
      <w:r>
        <w:t xml:space="preserve">augusta </w:t>
      </w:r>
      <w:r w:rsidRPr="008A6B47">
        <w:t>beigā</w:t>
      </w:r>
      <w:r>
        <w:t>s valsts</w:t>
      </w:r>
      <w:r w:rsidRPr="005634B8">
        <w:t xml:space="preserve"> </w:t>
      </w:r>
      <w:r w:rsidRPr="0006327F">
        <w:t>parāds</w:t>
      </w:r>
      <w:r w:rsidRPr="00584C77">
        <w:t xml:space="preserve"> </w:t>
      </w:r>
      <w:r w:rsidRPr="00554794">
        <w:t>nominālvērtībā</w:t>
      </w:r>
      <w:r w:rsidRPr="00554794">
        <w:rPr>
          <w:rStyle w:val="FootnoteReference"/>
        </w:rPr>
        <w:footnoteReference w:id="1"/>
      </w:r>
      <w:r w:rsidRPr="00554794">
        <w:t xml:space="preserve"> veidoja </w:t>
      </w:r>
      <w:r>
        <w:t xml:space="preserve">12,6 </w:t>
      </w:r>
      <w:r w:rsidRPr="00554794">
        <w:t>mljrd.</w:t>
      </w:r>
      <w:r>
        <w:t xml:space="preserve"> </w:t>
      </w:r>
      <w:r w:rsidRPr="00554794">
        <w:rPr>
          <w:i/>
        </w:rPr>
        <w:t>euro</w:t>
      </w:r>
      <w:r w:rsidRPr="00554794">
        <w:t>, kopš 201</w:t>
      </w:r>
      <w:r>
        <w:t>9</w:t>
      </w:r>
      <w:r w:rsidRPr="00554794">
        <w:t>.</w:t>
      </w:r>
      <w:r>
        <w:t xml:space="preserve"> </w:t>
      </w:r>
      <w:r w:rsidRPr="00554794">
        <w:t xml:space="preserve">gada beigām pieaugot par </w:t>
      </w:r>
      <w:r>
        <w:t>1,8</w:t>
      </w:r>
      <w:r w:rsidRPr="00554794">
        <w:t> mljrd. </w:t>
      </w:r>
      <w:r w:rsidRPr="00554794">
        <w:rPr>
          <w:i/>
        </w:rPr>
        <w:t>euro</w:t>
      </w:r>
      <w:r w:rsidRPr="00554794">
        <w:t>.</w:t>
      </w:r>
      <w:r>
        <w:t xml:space="preserve"> </w:t>
      </w:r>
    </w:p>
    <w:p w14:paraId="67B168CB" w14:textId="2C57C20E" w:rsidR="006D5235" w:rsidRDefault="006D5235" w:rsidP="006D5235">
      <w:pPr>
        <w:pStyle w:val="BodyTextIndent"/>
        <w:ind w:left="0"/>
      </w:pPr>
      <w:r w:rsidRPr="00654C7C">
        <w:t>Covid-19 uzliesmojums izraisīja nepieciešamību 2020.</w:t>
      </w:r>
      <w:r w:rsidR="00461D67">
        <w:t xml:space="preserve"> </w:t>
      </w:r>
      <w:r w:rsidRPr="00654C7C">
        <w:t>gada martā - jūnijā operatīvi nodrošināt segumu valdības lēmumiem Covid-19 uzliesmojuma ietekmes mazināšanai un ekonomikas atbalstam ārkārtas situācijā, veicot aizņemšanos finanšu tirgos</w:t>
      </w:r>
      <w:r>
        <w:t>, kā rezultātā ievērojami pieauga valsts parāds</w:t>
      </w:r>
      <w:r w:rsidRPr="00654C7C">
        <w:t>. Joprojām augstais, investīciju “A” kategorijā esošais, Latvijas valsts kredītreitings veicināja investoru aktivitāti un interesi parāda vērtspapīru emisijas darījumos, taču Covid-19 globālā uzliesmojuma izraisītā finanšu tirgu svārstīguma un nenoteiktības apstākļos pieauga arī valstu (emitentu) kredītriska uzcenojuma līmeņi. Lai mazinātu šādos finanšu tirgus apstākļos veicamās aizņemšanās izmaksu (procentu izdevumu) ietekmi uz valsts budžetu vidējā termiņā, resursi tika piesaistīti uz relatīvi īsiem termiņiem un arī ar iespējami zemākām (tuvu nullei) procentu likmēm</w:t>
      </w:r>
      <w:r>
        <w:t>,</w:t>
      </w:r>
      <w:r w:rsidRPr="00654C7C">
        <w:t xml:space="preserve"> </w:t>
      </w:r>
      <w:r w:rsidRPr="009F65FF">
        <w:t>vienlaikus ievērojot valsts parāda portfeļa vadības principus un nepalielinot valsts parāda pārfinansēšanas risku tuvākajos gados</w:t>
      </w:r>
      <w:r w:rsidRPr="00654C7C">
        <w:t>.</w:t>
      </w:r>
    </w:p>
    <w:p w14:paraId="1C0E2D48" w14:textId="4870151D" w:rsidR="006D5235" w:rsidRDefault="006D5235" w:rsidP="006D5235">
      <w:pPr>
        <w:pStyle w:val="BodyTextIndent"/>
        <w:ind w:left="0"/>
      </w:pPr>
      <w:r w:rsidRPr="00654C7C">
        <w:t>Starptautiskajos finanšu tirgos piesaistīti resursi 1,550 mljrd.</w:t>
      </w:r>
      <w:r w:rsidR="0075407A">
        <w:t xml:space="preserve"> </w:t>
      </w:r>
      <w:r w:rsidRPr="00964060">
        <w:rPr>
          <w:i/>
        </w:rPr>
        <w:t>euro</w:t>
      </w:r>
      <w:r w:rsidRPr="00654C7C">
        <w:t xml:space="preserve"> apmērā, veicot papildu emisiju 2026.</w:t>
      </w:r>
      <w:r w:rsidR="0075407A">
        <w:t xml:space="preserve"> </w:t>
      </w:r>
      <w:r w:rsidRPr="00654C7C">
        <w:t>gadā dzēšam</w:t>
      </w:r>
      <w:r>
        <w:t>ajām eiroobligācijām (550 milj.</w:t>
      </w:r>
      <w:r w:rsidR="0075407A">
        <w:t xml:space="preserve"> </w:t>
      </w:r>
      <w:r w:rsidRPr="00964060">
        <w:rPr>
          <w:i/>
        </w:rPr>
        <w:t>euro</w:t>
      </w:r>
      <w:r w:rsidRPr="00654C7C">
        <w:t xml:space="preserve">) pie iepriekš fiksētas procentu (kupona) likmes 0,375% gadā </w:t>
      </w:r>
      <w:r>
        <w:t xml:space="preserve">(ienesīgums  </w:t>
      </w:r>
      <w:r w:rsidRPr="00464272">
        <w:t>0,406%</w:t>
      </w:r>
      <w:r>
        <w:t xml:space="preserve">) </w:t>
      </w:r>
      <w:r w:rsidRPr="00654C7C">
        <w:t xml:space="preserve">un jaunu 3 gadu </w:t>
      </w:r>
      <w:r>
        <w:t>eiroobligāciju emisiju 1 mljrd.</w:t>
      </w:r>
      <w:r w:rsidR="0075407A">
        <w:t xml:space="preserve"> </w:t>
      </w:r>
      <w:r w:rsidRPr="00964060">
        <w:rPr>
          <w:i/>
        </w:rPr>
        <w:t>euro</w:t>
      </w:r>
      <w:r>
        <w:t xml:space="preserve"> </w:t>
      </w:r>
      <w:r w:rsidRPr="00654C7C">
        <w:t>apmērā ar procentu (kupona) likmi 0,125% gadā</w:t>
      </w:r>
      <w:r>
        <w:t xml:space="preserve"> (ienesīgums </w:t>
      </w:r>
      <w:r w:rsidRPr="00464272">
        <w:t>0,209%</w:t>
      </w:r>
      <w:r>
        <w:t>)</w:t>
      </w:r>
      <w:r w:rsidRPr="00654C7C">
        <w:t xml:space="preserve">. </w:t>
      </w:r>
    </w:p>
    <w:p w14:paraId="66EBEE75" w14:textId="09E71F05" w:rsidR="006D5235" w:rsidRDefault="006D5235" w:rsidP="006D5235">
      <w:pPr>
        <w:ind w:firstLine="720"/>
      </w:pPr>
      <w:r>
        <w:t xml:space="preserve">Savukārt, </w:t>
      </w:r>
      <w:r w:rsidRPr="00685DDD">
        <w:t>iekšējā finanšu tirgū organizētas 2</w:t>
      </w:r>
      <w:r>
        <w:t>,</w:t>
      </w:r>
      <w:r w:rsidRPr="00685DDD">
        <w:t xml:space="preserve"> 5</w:t>
      </w:r>
      <w:r>
        <w:t xml:space="preserve"> un 7</w:t>
      </w:r>
      <w:r w:rsidRPr="00685DDD">
        <w:t xml:space="preserve"> gadu obligāciju izsoles pie fiksētas kupona likmes 0%</w:t>
      </w:r>
      <w:r>
        <w:t>. L</w:t>
      </w:r>
      <w:r w:rsidRPr="0058501E">
        <w:t>īdz 2020. gada jūlijam tika turpināta 2019. gada jūlijā uzsāktā 5 gadu obligāciju programma, sasniedzot 390 milj.</w:t>
      </w:r>
      <w:r w:rsidR="0075407A">
        <w:t xml:space="preserve"> </w:t>
      </w:r>
      <w:r w:rsidRPr="0058501E">
        <w:rPr>
          <w:i/>
        </w:rPr>
        <w:t>euro</w:t>
      </w:r>
      <w:r w:rsidRPr="0058501E">
        <w:t xml:space="preserve"> apjomu apgrozībā pēc nominālvērtības</w:t>
      </w:r>
      <w:r>
        <w:t xml:space="preserve"> un fiksējot</w:t>
      </w:r>
      <w:r w:rsidRPr="0058501E">
        <w:t xml:space="preserve"> negatīvas ienesīguma likmes 2020. gada februāra un jūlija konkurējošajās izsolēs (attiecīgi -0,050% un -0,070% apmērā). 2020.</w:t>
      </w:r>
      <w:r w:rsidR="0075407A">
        <w:t xml:space="preserve"> </w:t>
      </w:r>
      <w:r w:rsidRPr="0058501E">
        <w:t>gada martā tika uzsākta jauna 2 gadu obligāciju programma, sasniedzot 401,5 milj.</w:t>
      </w:r>
      <w:r w:rsidR="0075407A">
        <w:t xml:space="preserve"> </w:t>
      </w:r>
      <w:r w:rsidRPr="0058501E">
        <w:rPr>
          <w:i/>
        </w:rPr>
        <w:t>euro</w:t>
      </w:r>
      <w:r w:rsidRPr="0058501E">
        <w:t xml:space="preserve"> apjomu apgrozībā</w:t>
      </w:r>
      <w:r>
        <w:t>, u</w:t>
      </w:r>
      <w:r w:rsidRPr="0058501E">
        <w:t>n 2020.</w:t>
      </w:r>
      <w:r w:rsidR="0075407A">
        <w:t xml:space="preserve"> </w:t>
      </w:r>
      <w:r w:rsidRPr="0058501E">
        <w:t xml:space="preserve">gada jūlijā tika uzsākta jauna 7 gadu obligāciju programma, </w:t>
      </w:r>
      <w:r>
        <w:t>uz 2020.</w:t>
      </w:r>
      <w:r w:rsidR="0075407A">
        <w:t xml:space="preserve"> </w:t>
      </w:r>
      <w:r>
        <w:t xml:space="preserve">gada septembra beigām </w:t>
      </w:r>
      <w:r w:rsidRPr="001C07E7">
        <w:t>sasniedzot 80 milj.</w:t>
      </w:r>
      <w:r w:rsidR="0075407A">
        <w:t xml:space="preserve"> </w:t>
      </w:r>
      <w:r w:rsidRPr="001C07E7">
        <w:rPr>
          <w:i/>
        </w:rPr>
        <w:t>euro</w:t>
      </w:r>
      <w:r w:rsidRPr="001C07E7">
        <w:t xml:space="preserve"> apjomu apgrozībā</w:t>
      </w:r>
      <w:r w:rsidRPr="0058501E">
        <w:t xml:space="preserve">. </w:t>
      </w:r>
      <w:r>
        <w:t>Pēc sākotnēji piesardzīgas tirgus aktivitātes atjaunošanās Covid-19 izplatības sākumā, palielinoties vērtspapīru piedāvājumam, p</w:t>
      </w:r>
      <w:r w:rsidRPr="0058501E">
        <w:t xml:space="preserve">ieprasījums pēc Latvijas valsts iekšējā aizņēmuma vērtspapīriem </w:t>
      </w:r>
      <w:r>
        <w:t>ievērojami (</w:t>
      </w:r>
      <w:r w:rsidRPr="0058501E">
        <w:t>vairākas reizes</w:t>
      </w:r>
      <w:r>
        <w:t>)</w:t>
      </w:r>
      <w:r w:rsidRPr="0058501E">
        <w:t xml:space="preserve"> pārsniedza piedāvājumu, līdz ar to </w:t>
      </w:r>
      <w:r>
        <w:t>joprojām</w:t>
      </w:r>
      <w:r w:rsidRPr="0058501E">
        <w:t xml:space="preserve"> investoru konkurence visās izsolēs nodrošināja resursu piesaisti ar finansiāli izdevīgiem nosacījumiem. </w:t>
      </w:r>
      <w:r>
        <w:t xml:space="preserve">Finanšu tirgos būtiski mazinoties nenoteiktībai saistībā ar Covid-19 uzliesmojuma ietekmi, arī veidojoties </w:t>
      </w:r>
      <w:r w:rsidRPr="0097258F">
        <w:t>īpaši labvēlīg</w:t>
      </w:r>
      <w:r>
        <w:t>ai</w:t>
      </w:r>
      <w:r w:rsidRPr="0097258F">
        <w:t xml:space="preserve"> finanšu tirgus situācij</w:t>
      </w:r>
      <w:r>
        <w:t>ai</w:t>
      </w:r>
      <w:r w:rsidRPr="0097258F">
        <w:t xml:space="preserve">, ko sekmē </w:t>
      </w:r>
      <w:r w:rsidRPr="0097258F">
        <w:lastRenderedPageBreak/>
        <w:t xml:space="preserve">eirozonas monetārās politikas atbalstošie pasākumi, vidējās svērtās likmes valsts iekšējā aizņēmuma obligāciju sākotnējās izvietošanas pēdējās izsolēs sasniedz arvien jaunus, vēsturiski zemākos līmeņus, ļaujot fiksēt negatīvu ienesīgumu pat 7 gadu obligāciju izsolēs. Tā, piemēram, </w:t>
      </w:r>
      <w:r>
        <w:t>2020. gada</w:t>
      </w:r>
      <w:r w:rsidRPr="0097258F">
        <w:t xml:space="preserve"> 23.septembra izsolē iekšējā aizņēmuma obligācijas ar dzēšanas termiņu 2027.</w:t>
      </w:r>
      <w:r w:rsidR="0075407A">
        <w:t xml:space="preserve"> </w:t>
      </w:r>
      <w:r w:rsidRPr="0097258F">
        <w:t>gada 3.</w:t>
      </w:r>
      <w:r w:rsidR="0075407A">
        <w:t xml:space="preserve"> </w:t>
      </w:r>
      <w:r w:rsidRPr="0097258F">
        <w:t>jūlijā tika emitētas ar negatīvu likmi mīnuss 0,003%</w:t>
      </w:r>
      <w:r>
        <w:t>.</w:t>
      </w:r>
    </w:p>
    <w:p w14:paraId="0427ED67" w14:textId="341DC68B" w:rsidR="006D5235" w:rsidRPr="00AA423A" w:rsidRDefault="006D5235" w:rsidP="006D5235">
      <w:pPr>
        <w:ind w:firstLine="720"/>
      </w:pPr>
      <w:r w:rsidRPr="00EC08F6">
        <w:t xml:space="preserve">Paralēli tiek nodrošinātas arī papildu aizņemšanās iespējas no starptautiskajām finanšu institūcijām. 2020. gada 9. aprīlī noslēgts aizņēmuma līgums ar Ziemeļu Investīciju banku, kura ietvaros ir iespējams piesaistīt ilgtermiņa finansējumu 500 milj. </w:t>
      </w:r>
      <w:r w:rsidRPr="00EC08F6">
        <w:rPr>
          <w:i/>
        </w:rPr>
        <w:t>euro</w:t>
      </w:r>
      <w:r w:rsidRPr="00EC08F6">
        <w:t xml:space="preserve"> apmērā Covid-19 seku mazināš</w:t>
      </w:r>
      <w:r>
        <w:t>anas un pārvarēšanas pasākumiem, un kura ietvaros 2020.</w:t>
      </w:r>
      <w:r w:rsidR="0075407A">
        <w:t xml:space="preserve"> </w:t>
      </w:r>
      <w:r>
        <w:t>gada septembrī un oktobrī jau saņemti aizdevuma resursi 250 milj.</w:t>
      </w:r>
      <w:r w:rsidR="0075407A">
        <w:t xml:space="preserve"> </w:t>
      </w:r>
      <w:r w:rsidRPr="00EC08F6">
        <w:rPr>
          <w:i/>
        </w:rPr>
        <w:t>euro</w:t>
      </w:r>
      <w:r>
        <w:t xml:space="preserve"> apmērā. Saglabāta</w:t>
      </w:r>
      <w:r w:rsidRPr="008E3F7D">
        <w:t xml:space="preserve"> aizņemšanās iespēja no Eiropas Investīciju bankas 400 milj.</w:t>
      </w:r>
      <w:r w:rsidR="001156CD">
        <w:t xml:space="preserve"> </w:t>
      </w:r>
      <w:r w:rsidRPr="008E3F7D">
        <w:rPr>
          <w:i/>
        </w:rPr>
        <w:t>euro</w:t>
      </w:r>
      <w:r w:rsidRPr="008E3F7D">
        <w:t xml:space="preserve"> apmērā noslēgto līgumu ietvaros</w:t>
      </w:r>
      <w:r>
        <w:t>, kā arī ir a</w:t>
      </w:r>
      <w:r w:rsidRPr="008E3F7D">
        <w:t>pstiprināta aizņemšanās iespēja no Eiropas Padomes attīstības bankas 150 milj.</w:t>
      </w:r>
      <w:r w:rsidR="001156CD">
        <w:t xml:space="preserve"> </w:t>
      </w:r>
      <w:r w:rsidRPr="008E3F7D">
        <w:rPr>
          <w:i/>
        </w:rPr>
        <w:t>euro</w:t>
      </w:r>
      <w:r w:rsidRPr="008E3F7D">
        <w:t xml:space="preserve"> apmērā</w:t>
      </w:r>
      <w:r>
        <w:t xml:space="preserve">. Tāpat arī </w:t>
      </w:r>
      <w:r>
        <w:rPr>
          <w:szCs w:val="28"/>
        </w:rPr>
        <w:t xml:space="preserve"> s</w:t>
      </w:r>
      <w:r w:rsidRPr="00964060">
        <w:rPr>
          <w:szCs w:val="28"/>
        </w:rPr>
        <w:t xml:space="preserve">askaņā ar </w:t>
      </w:r>
      <w:r w:rsidRPr="006309E4">
        <w:rPr>
          <w:szCs w:val="28"/>
        </w:rPr>
        <w:t>P</w:t>
      </w:r>
      <w:r>
        <w:rPr>
          <w:szCs w:val="28"/>
        </w:rPr>
        <w:t>adomes</w:t>
      </w:r>
      <w:r w:rsidRPr="006309E4">
        <w:rPr>
          <w:szCs w:val="28"/>
        </w:rPr>
        <w:t xml:space="preserve"> 2020.</w:t>
      </w:r>
      <w:r w:rsidR="001156CD">
        <w:rPr>
          <w:szCs w:val="28"/>
        </w:rPr>
        <w:t xml:space="preserve"> </w:t>
      </w:r>
      <w:r w:rsidRPr="006309E4">
        <w:rPr>
          <w:szCs w:val="28"/>
        </w:rPr>
        <w:t>gada 25.</w:t>
      </w:r>
      <w:r w:rsidR="001156CD">
        <w:rPr>
          <w:szCs w:val="28"/>
        </w:rPr>
        <w:t xml:space="preserve"> </w:t>
      </w:r>
      <w:r w:rsidRPr="006309E4">
        <w:rPr>
          <w:szCs w:val="28"/>
        </w:rPr>
        <w:t xml:space="preserve">septembra </w:t>
      </w:r>
      <w:r>
        <w:rPr>
          <w:szCs w:val="28"/>
        </w:rPr>
        <w:t>īstenošanas lēmumu</w:t>
      </w:r>
      <w:r w:rsidRPr="006309E4">
        <w:rPr>
          <w:szCs w:val="28"/>
        </w:rPr>
        <w:t xml:space="preserve"> (ES) Nr.2020/1351</w:t>
      </w:r>
      <w:r w:rsidRPr="00964060">
        <w:rPr>
          <w:szCs w:val="28"/>
        </w:rPr>
        <w:t xml:space="preserve">, ar ko Latvijas Republikai piešķir pagaidu atbalstu bezdarba risku mazināšanai ārkārtas situācijā pēc Covid-19 uzliesmojuma, </w:t>
      </w:r>
      <w:r>
        <w:rPr>
          <w:szCs w:val="28"/>
        </w:rPr>
        <w:t xml:space="preserve">Latvijai pieejams </w:t>
      </w:r>
      <w:r w:rsidRPr="00664E9A">
        <w:rPr>
          <w:i/>
          <w:szCs w:val="28"/>
        </w:rPr>
        <w:t>SURE</w:t>
      </w:r>
      <w:r>
        <w:rPr>
          <w:szCs w:val="28"/>
        </w:rPr>
        <w:t xml:space="preserve"> aizņēmums no Eiropas Komisijas </w:t>
      </w:r>
      <w:r w:rsidRPr="00964060">
        <w:rPr>
          <w:szCs w:val="28"/>
        </w:rPr>
        <w:t>192</w:t>
      </w:r>
      <w:r>
        <w:rPr>
          <w:szCs w:val="28"/>
        </w:rPr>
        <w:t>,</w:t>
      </w:r>
      <w:r w:rsidRPr="00964060">
        <w:rPr>
          <w:szCs w:val="28"/>
        </w:rPr>
        <w:t>7</w:t>
      </w:r>
      <w:r>
        <w:rPr>
          <w:szCs w:val="28"/>
        </w:rPr>
        <w:t xml:space="preserve"> milj.</w:t>
      </w:r>
      <w:r w:rsidR="001156CD">
        <w:rPr>
          <w:szCs w:val="28"/>
        </w:rPr>
        <w:t xml:space="preserve"> </w:t>
      </w:r>
      <w:r w:rsidRPr="00964060">
        <w:rPr>
          <w:i/>
          <w:szCs w:val="28"/>
        </w:rPr>
        <w:t>euro</w:t>
      </w:r>
      <w:r>
        <w:rPr>
          <w:szCs w:val="28"/>
        </w:rPr>
        <w:t xml:space="preserve"> apmērā.</w:t>
      </w:r>
    </w:p>
    <w:p w14:paraId="0ACB354E" w14:textId="4997A653" w:rsidR="006D5235" w:rsidRDefault="006D5235" w:rsidP="006D5235">
      <w:pPr>
        <w:pStyle w:val="BodyTextIndent"/>
        <w:ind w:left="0"/>
      </w:pPr>
      <w:r>
        <w:t>V</w:t>
      </w:r>
      <w:r w:rsidRPr="00EE3633">
        <w:t xml:space="preserve">alsts parāda struktūrā </w:t>
      </w:r>
      <w:r>
        <w:t xml:space="preserve">joprojām </w:t>
      </w:r>
      <w:r w:rsidRPr="00EE3633">
        <w:t xml:space="preserve">lielāko īpatsvaru veido ārējais parāds, sasniedzot </w:t>
      </w:r>
      <w:r>
        <w:t>79% no kopējā valsts parāda (skat.</w:t>
      </w:r>
      <w:r w:rsidRPr="00EE3633">
        <w:t xml:space="preserve"> </w:t>
      </w:r>
      <w:r w:rsidR="001156CD">
        <w:t>6.</w:t>
      </w:r>
      <w:r>
        <w:t>2</w:t>
      </w:r>
      <w:r w:rsidRPr="00EE3633">
        <w:t>.att.).</w:t>
      </w:r>
      <w:r w:rsidRPr="005724E0">
        <w:t xml:space="preserve"> Lielāko ārējā parāda daļu (</w:t>
      </w:r>
      <w:r>
        <w:t>70</w:t>
      </w:r>
      <w:r w:rsidRPr="005724E0">
        <w:t>% no valsts parāda kopējā apjoma) veido starptautiskajos finanšu tirgos emitētās obligācijas.</w:t>
      </w:r>
    </w:p>
    <w:p w14:paraId="3AB1A793" w14:textId="3B3D5FC7" w:rsidR="001156CD" w:rsidRPr="00DB3075" w:rsidRDefault="001156CD" w:rsidP="001156CD">
      <w:pPr>
        <w:pStyle w:val="BodyTextIndent"/>
        <w:spacing w:before="240" w:after="0"/>
        <w:ind w:left="0" w:firstLine="0"/>
        <w:jc w:val="center"/>
        <w:rPr>
          <w:b/>
          <w:i/>
          <w:color w:val="000000"/>
          <w:szCs w:val="28"/>
        </w:rPr>
      </w:pPr>
      <w:r>
        <w:rPr>
          <w:b/>
          <w:i/>
          <w:color w:val="000000"/>
          <w:szCs w:val="28"/>
        </w:rPr>
        <w:t>6.2. attēls</w:t>
      </w:r>
      <w:r w:rsidRPr="00DB3075">
        <w:rPr>
          <w:b/>
          <w:i/>
          <w:color w:val="000000"/>
          <w:szCs w:val="28"/>
        </w:rPr>
        <w:t xml:space="preserve"> </w:t>
      </w:r>
      <w:r w:rsidRPr="001156CD">
        <w:rPr>
          <w:b/>
          <w:color w:val="000000"/>
          <w:szCs w:val="28"/>
        </w:rPr>
        <w:t>Valsts parāda struktūra nominālvērtībā, milj.</w:t>
      </w:r>
      <w:r>
        <w:rPr>
          <w:b/>
          <w:i/>
          <w:color w:val="000000"/>
          <w:szCs w:val="28"/>
        </w:rPr>
        <w:t xml:space="preserve"> </w:t>
      </w:r>
      <w:r w:rsidRPr="009E378E">
        <w:rPr>
          <w:b/>
          <w:i/>
          <w:color w:val="000000"/>
          <w:szCs w:val="28"/>
        </w:rPr>
        <w:t>euro</w:t>
      </w:r>
      <w:r w:rsidRPr="00DB3075">
        <w:rPr>
          <w:b/>
          <w:i/>
          <w:color w:val="000000"/>
          <w:szCs w:val="28"/>
        </w:rPr>
        <w:t xml:space="preserve"> </w:t>
      </w:r>
    </w:p>
    <w:p w14:paraId="4C769036" w14:textId="77777777" w:rsidR="001156CD" w:rsidRPr="00C77760" w:rsidRDefault="001156CD" w:rsidP="001156CD">
      <w:pPr>
        <w:pStyle w:val="BodyTextIndent"/>
        <w:spacing w:after="240"/>
        <w:ind w:left="0" w:firstLine="0"/>
        <w:jc w:val="center"/>
        <w:rPr>
          <w:i/>
          <w:color w:val="000000"/>
          <w:szCs w:val="24"/>
        </w:rPr>
      </w:pPr>
      <w:r w:rsidRPr="00CF50DC">
        <w:rPr>
          <w:i/>
          <w:color w:val="000000"/>
          <w:szCs w:val="24"/>
        </w:rPr>
        <w:t>(uz 20</w:t>
      </w:r>
      <w:r>
        <w:rPr>
          <w:i/>
          <w:color w:val="000000"/>
          <w:szCs w:val="24"/>
        </w:rPr>
        <w:t>20</w:t>
      </w:r>
      <w:r w:rsidRPr="00CF50DC">
        <w:rPr>
          <w:i/>
          <w:color w:val="000000"/>
          <w:szCs w:val="24"/>
        </w:rPr>
        <w:t>.</w:t>
      </w:r>
      <w:r>
        <w:rPr>
          <w:i/>
          <w:color w:val="000000"/>
          <w:szCs w:val="24"/>
        </w:rPr>
        <w:t> </w:t>
      </w:r>
      <w:r w:rsidRPr="00CF50DC">
        <w:rPr>
          <w:i/>
          <w:color w:val="000000"/>
          <w:szCs w:val="24"/>
        </w:rPr>
        <w:t>gada 3</w:t>
      </w:r>
      <w:r>
        <w:rPr>
          <w:i/>
          <w:color w:val="000000"/>
          <w:szCs w:val="24"/>
        </w:rPr>
        <w:t>1</w:t>
      </w:r>
      <w:r w:rsidRPr="00CF50DC">
        <w:rPr>
          <w:i/>
          <w:color w:val="000000"/>
          <w:szCs w:val="24"/>
        </w:rPr>
        <w:t>.</w:t>
      </w:r>
      <w:r>
        <w:rPr>
          <w:i/>
          <w:color w:val="000000"/>
          <w:szCs w:val="24"/>
        </w:rPr>
        <w:t> augustu</w:t>
      </w:r>
      <w:r w:rsidRPr="00CF50DC">
        <w:rPr>
          <w:i/>
          <w:color w:val="000000"/>
          <w:szCs w:val="24"/>
        </w:rPr>
        <w:t>)</w:t>
      </w:r>
    </w:p>
    <w:p w14:paraId="1B453E4C" w14:textId="374EBB62" w:rsidR="006D5235" w:rsidRDefault="002056C4" w:rsidP="006D5235">
      <w:pPr>
        <w:pStyle w:val="BodyTextIndent"/>
        <w:spacing w:after="0"/>
        <w:ind w:left="0" w:firstLine="0"/>
        <w:jc w:val="center"/>
        <w:rPr>
          <w:color w:val="000000"/>
          <w:szCs w:val="28"/>
        </w:rPr>
      </w:pPr>
      <w:r>
        <w:rPr>
          <w:noProof/>
          <w:color w:val="000000"/>
          <w:szCs w:val="28"/>
          <w:lang w:eastAsia="lv-LV"/>
        </w:rPr>
        <w:drawing>
          <wp:inline distT="0" distB="0" distL="0" distR="0" wp14:anchorId="31C9CFD0" wp14:editId="68311759">
            <wp:extent cx="4237630" cy="342214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671" t="1124" r="1548" b="1216"/>
                    <a:stretch/>
                  </pic:blipFill>
                  <pic:spPr bwMode="auto">
                    <a:xfrm>
                      <a:off x="0" y="0"/>
                      <a:ext cx="4237630" cy="3422140"/>
                    </a:xfrm>
                    <a:prstGeom prst="rect">
                      <a:avLst/>
                    </a:prstGeom>
                    <a:noFill/>
                    <a:ln>
                      <a:noFill/>
                    </a:ln>
                    <a:extLst>
                      <a:ext uri="{53640926-AAD7-44D8-BBD7-CCE9431645EC}">
                        <a14:shadowObscured xmlns:a14="http://schemas.microsoft.com/office/drawing/2010/main"/>
                      </a:ext>
                    </a:extLst>
                  </pic:spPr>
                </pic:pic>
              </a:graphicData>
            </a:graphic>
          </wp:inline>
        </w:drawing>
      </w:r>
    </w:p>
    <w:p w14:paraId="41F66B9F" w14:textId="68AC4C3B" w:rsidR="002056C4" w:rsidRDefault="002056C4" w:rsidP="006D5235">
      <w:pPr>
        <w:pStyle w:val="BodyTextIndent"/>
        <w:spacing w:after="0"/>
        <w:ind w:left="0" w:firstLine="0"/>
        <w:jc w:val="center"/>
        <w:rPr>
          <w:color w:val="000000"/>
          <w:szCs w:val="28"/>
        </w:rPr>
      </w:pPr>
    </w:p>
    <w:p w14:paraId="46F341A8" w14:textId="070B9890" w:rsidR="006D5235" w:rsidRDefault="006D5235" w:rsidP="002056C4">
      <w:pPr>
        <w:pStyle w:val="BodyTextIndent"/>
        <w:ind w:left="0"/>
      </w:pPr>
      <w:r w:rsidRPr="00D32E8D">
        <w:t>Ņemot vērā līdz 20</w:t>
      </w:r>
      <w:r>
        <w:t>20</w:t>
      </w:r>
      <w:r w:rsidRPr="00D32E8D">
        <w:t>.</w:t>
      </w:r>
      <w:r>
        <w:t xml:space="preserve"> </w:t>
      </w:r>
      <w:r w:rsidRPr="00D32E8D">
        <w:t xml:space="preserve">gada </w:t>
      </w:r>
      <w:r>
        <w:t>31. augustam</w:t>
      </w:r>
      <w:r w:rsidRPr="00D32E8D">
        <w:t xml:space="preserve"> uzņemtās valsts parāda saistības, saskaņā ar valsts parāda atmaksas grafiku</w:t>
      </w:r>
      <w:r>
        <w:t>,</w:t>
      </w:r>
      <w:r w:rsidRPr="00D32E8D">
        <w:t xml:space="preserve"> </w:t>
      </w:r>
      <w:r>
        <w:t>2020</w:t>
      </w:r>
      <w:r w:rsidRPr="00D32E8D">
        <w:t>.</w:t>
      </w:r>
      <w:r w:rsidR="00C56992">
        <w:t xml:space="preserve"> </w:t>
      </w:r>
      <w:r>
        <w:t>gada septembrī </w:t>
      </w:r>
      <w:r w:rsidRPr="00D32E8D">
        <w:t>– 20</w:t>
      </w:r>
      <w:r>
        <w:t>23</w:t>
      </w:r>
      <w:r w:rsidRPr="00D32E8D">
        <w:t>.</w:t>
      </w:r>
      <w:r>
        <w:t xml:space="preserve"> </w:t>
      </w:r>
      <w:r w:rsidRPr="00D32E8D">
        <w:t>gad</w:t>
      </w:r>
      <w:r>
        <w:t>a decembrī</w:t>
      </w:r>
      <w:r w:rsidRPr="00D32E8D">
        <w:t xml:space="preserve"> jāpārfinansē valsts parāda saistības ~</w:t>
      </w:r>
      <w:r w:rsidRPr="00AB714D">
        <w:t>4,2</w:t>
      </w:r>
      <w:r>
        <w:t> </w:t>
      </w:r>
      <w:r w:rsidRPr="00D32E8D">
        <w:t>mljrd.</w:t>
      </w:r>
      <w:r>
        <w:t xml:space="preserve"> </w:t>
      </w:r>
      <w:r w:rsidRPr="00D32E8D">
        <w:rPr>
          <w:i/>
        </w:rPr>
        <w:t>euro</w:t>
      </w:r>
      <w:r>
        <w:t xml:space="preserve"> apmērā (skat.</w:t>
      </w:r>
      <w:r w:rsidRPr="00D32E8D">
        <w:t xml:space="preserve"> </w:t>
      </w:r>
      <w:r w:rsidR="00C56992">
        <w:t>6.</w:t>
      </w:r>
      <w:r w:rsidRPr="00D32E8D">
        <w:t>1.</w:t>
      </w:r>
      <w:r>
        <w:t> </w:t>
      </w:r>
      <w:r w:rsidRPr="00D32E8D">
        <w:t xml:space="preserve">tabulu un </w:t>
      </w:r>
      <w:r w:rsidR="00C56992">
        <w:t>6.</w:t>
      </w:r>
      <w:r>
        <w:t>3. </w:t>
      </w:r>
      <w:r w:rsidR="00C56992">
        <w:t>attēlu</w:t>
      </w:r>
      <w:r w:rsidRPr="00D32E8D">
        <w:t xml:space="preserve">). </w:t>
      </w:r>
      <w:r>
        <w:t>Lielāko</w:t>
      </w:r>
      <w:r w:rsidRPr="00D32E8D">
        <w:t xml:space="preserve"> daļu no </w:t>
      </w:r>
      <w:r>
        <w:t xml:space="preserve">minētajā periodā </w:t>
      </w:r>
      <w:r w:rsidRPr="00D32E8D">
        <w:t xml:space="preserve">pārfinansējamā parāda apjoma veido </w:t>
      </w:r>
      <w:r>
        <w:t xml:space="preserve">starptautiskajos finanšu tirgos emitētās </w:t>
      </w:r>
      <w:r w:rsidRPr="00D32E8D">
        <w:t>eiroobligācijas</w:t>
      </w:r>
      <w:r>
        <w:t>, kurām pienāks dzēšanas termiņš</w:t>
      </w:r>
      <w:r w:rsidRPr="00D32E8D">
        <w:t>.</w:t>
      </w:r>
    </w:p>
    <w:p w14:paraId="62E883C2" w14:textId="77777777" w:rsidR="002056C4" w:rsidRPr="002056C4" w:rsidRDefault="002056C4" w:rsidP="002056C4">
      <w:pPr>
        <w:pStyle w:val="BodyTextIndent"/>
        <w:ind w:left="0"/>
      </w:pPr>
    </w:p>
    <w:p w14:paraId="679E3687" w14:textId="4E2BEEFB" w:rsidR="006D5235" w:rsidRPr="0036456C" w:rsidRDefault="0036456C" w:rsidP="006D5235">
      <w:pPr>
        <w:spacing w:after="0"/>
        <w:ind w:firstLine="720"/>
        <w:jc w:val="center"/>
        <w:rPr>
          <w:b/>
          <w:szCs w:val="24"/>
        </w:rPr>
      </w:pPr>
      <w:r>
        <w:rPr>
          <w:b/>
          <w:i/>
          <w:szCs w:val="24"/>
        </w:rPr>
        <w:lastRenderedPageBreak/>
        <w:t>6.</w:t>
      </w:r>
      <w:r w:rsidR="006D5235" w:rsidRPr="00DB3075">
        <w:rPr>
          <w:b/>
          <w:i/>
          <w:szCs w:val="24"/>
        </w:rPr>
        <w:t xml:space="preserve">1. tabula </w:t>
      </w:r>
      <w:r w:rsidR="006D5235" w:rsidRPr="0036456C">
        <w:rPr>
          <w:b/>
          <w:szCs w:val="24"/>
        </w:rPr>
        <w:t xml:space="preserve">Centrālās valdības aizņēmumu atmaksas grafiks </w:t>
      </w:r>
    </w:p>
    <w:p w14:paraId="6090FFF5" w14:textId="5D487A4D" w:rsidR="0036456C" w:rsidRDefault="006D5235" w:rsidP="007F2894">
      <w:pPr>
        <w:ind w:firstLine="720"/>
        <w:jc w:val="center"/>
        <w:rPr>
          <w:i/>
          <w:szCs w:val="24"/>
        </w:rPr>
      </w:pPr>
      <w:r w:rsidRPr="007963EB">
        <w:rPr>
          <w:i/>
          <w:szCs w:val="24"/>
        </w:rPr>
        <w:t>(līdz 20</w:t>
      </w:r>
      <w:r>
        <w:rPr>
          <w:i/>
          <w:szCs w:val="24"/>
        </w:rPr>
        <w:t>20</w:t>
      </w:r>
      <w:r w:rsidRPr="007963EB">
        <w:rPr>
          <w:i/>
          <w:szCs w:val="24"/>
        </w:rPr>
        <w:t>.</w:t>
      </w:r>
      <w:r>
        <w:rPr>
          <w:i/>
          <w:szCs w:val="24"/>
        </w:rPr>
        <w:t> </w:t>
      </w:r>
      <w:r w:rsidRPr="007963EB">
        <w:rPr>
          <w:i/>
          <w:szCs w:val="24"/>
        </w:rPr>
        <w:t>gada 3</w:t>
      </w:r>
      <w:r>
        <w:rPr>
          <w:i/>
          <w:szCs w:val="24"/>
        </w:rPr>
        <w:t>1</w:t>
      </w:r>
      <w:r w:rsidRPr="007963EB">
        <w:rPr>
          <w:i/>
          <w:szCs w:val="24"/>
        </w:rPr>
        <w:t>.</w:t>
      </w:r>
      <w:r>
        <w:rPr>
          <w:i/>
          <w:szCs w:val="24"/>
        </w:rPr>
        <w:t> augustam</w:t>
      </w:r>
      <w:r w:rsidRPr="007963EB">
        <w:rPr>
          <w:i/>
          <w:szCs w:val="24"/>
        </w:rPr>
        <w:t xml:space="preserve"> uzņemtās saistības, nominālvērtībā, milj. euro)</w:t>
      </w:r>
    </w:p>
    <w:p w14:paraId="39A04EA4" w14:textId="2B43AFCE" w:rsidR="006D5235" w:rsidRDefault="00677B8A" w:rsidP="006D5235">
      <w:pPr>
        <w:spacing w:after="0"/>
        <w:ind w:left="-426" w:firstLine="0"/>
        <w:jc w:val="center"/>
        <w:rPr>
          <w:i/>
          <w:sz w:val="16"/>
          <w:szCs w:val="16"/>
        </w:rPr>
      </w:pPr>
      <w:r w:rsidRPr="00B17F25">
        <w:rPr>
          <w:noProof/>
          <w:lang w:eastAsia="lv-LV"/>
        </w:rPr>
        <w:drawing>
          <wp:inline distT="0" distB="0" distL="0" distR="0" wp14:anchorId="5EBC32F2" wp14:editId="504E1ACD">
            <wp:extent cx="5760085" cy="89525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895255"/>
                    </a:xfrm>
                    <a:prstGeom prst="rect">
                      <a:avLst/>
                    </a:prstGeom>
                    <a:noFill/>
                    <a:ln>
                      <a:noFill/>
                    </a:ln>
                  </pic:spPr>
                </pic:pic>
              </a:graphicData>
            </a:graphic>
          </wp:inline>
        </w:drawing>
      </w:r>
    </w:p>
    <w:p w14:paraId="55F5AE83" w14:textId="77777777" w:rsidR="006D5235" w:rsidRDefault="006D5235" w:rsidP="006D5235">
      <w:pPr>
        <w:spacing w:after="0"/>
        <w:ind w:firstLine="0"/>
        <w:rPr>
          <w:i/>
          <w:sz w:val="16"/>
          <w:szCs w:val="16"/>
        </w:rPr>
      </w:pPr>
      <w:r w:rsidRPr="00565D84">
        <w:rPr>
          <w:i/>
          <w:sz w:val="16"/>
          <w:szCs w:val="16"/>
        </w:rPr>
        <w:t xml:space="preserve">* </w:t>
      </w:r>
      <w:r w:rsidRPr="00DD518A">
        <w:rPr>
          <w:i/>
          <w:sz w:val="16"/>
          <w:szCs w:val="16"/>
        </w:rPr>
        <w:t xml:space="preserve">aprēķinā </w:t>
      </w:r>
      <w:r w:rsidRPr="00B41565">
        <w:rPr>
          <w:i/>
          <w:sz w:val="16"/>
          <w:szCs w:val="16"/>
        </w:rPr>
        <w:t>izmantoti 28.08.2020. Eiropas Centrālās bankas noteiktie valūtu kursi</w:t>
      </w:r>
    </w:p>
    <w:p w14:paraId="4D34B5A0" w14:textId="77777777" w:rsidR="006D5235" w:rsidRDefault="006D5235" w:rsidP="006D5235">
      <w:pPr>
        <w:spacing w:after="0"/>
        <w:ind w:firstLine="0"/>
        <w:rPr>
          <w:i/>
          <w:sz w:val="16"/>
          <w:szCs w:val="16"/>
        </w:rPr>
      </w:pPr>
      <w:r>
        <w:rPr>
          <w:i/>
          <w:sz w:val="16"/>
          <w:szCs w:val="16"/>
        </w:rPr>
        <w:t xml:space="preserve">** </w:t>
      </w:r>
      <w:r w:rsidRPr="00ED38DA">
        <w:rPr>
          <w:i/>
          <w:sz w:val="16"/>
          <w:szCs w:val="16"/>
        </w:rPr>
        <w:t>2009.-2011.gada starptautiskā aizņēmuma programmas ietvaros</w:t>
      </w:r>
      <w:r>
        <w:rPr>
          <w:i/>
          <w:sz w:val="16"/>
          <w:szCs w:val="16"/>
        </w:rPr>
        <w:t xml:space="preserve"> piešķirtais finansējums</w:t>
      </w:r>
    </w:p>
    <w:p w14:paraId="276A9FA4" w14:textId="417D5B24" w:rsidR="00C56992" w:rsidRPr="00DB3075" w:rsidRDefault="00C56992" w:rsidP="00F00404">
      <w:pPr>
        <w:spacing w:before="240" w:after="0"/>
        <w:ind w:firstLine="720"/>
        <w:jc w:val="center"/>
        <w:rPr>
          <w:b/>
          <w:i/>
          <w:szCs w:val="24"/>
        </w:rPr>
      </w:pPr>
      <w:r>
        <w:rPr>
          <w:b/>
          <w:i/>
          <w:szCs w:val="24"/>
        </w:rPr>
        <w:t>6.</w:t>
      </w:r>
      <w:r w:rsidRPr="00B41565">
        <w:rPr>
          <w:b/>
          <w:i/>
          <w:szCs w:val="24"/>
        </w:rPr>
        <w:t>3. att</w:t>
      </w:r>
      <w:r>
        <w:rPr>
          <w:b/>
          <w:i/>
          <w:szCs w:val="24"/>
        </w:rPr>
        <w:t>ēls</w:t>
      </w:r>
      <w:r w:rsidRPr="00DB3075">
        <w:rPr>
          <w:b/>
          <w:i/>
          <w:szCs w:val="24"/>
        </w:rPr>
        <w:t xml:space="preserve"> </w:t>
      </w:r>
      <w:r w:rsidRPr="00C56992">
        <w:rPr>
          <w:b/>
          <w:szCs w:val="24"/>
        </w:rPr>
        <w:t>Centrālās valdības aizņēmumu atmaksas grafiks</w:t>
      </w:r>
      <w:r w:rsidRPr="00DB3075">
        <w:rPr>
          <w:b/>
          <w:i/>
          <w:szCs w:val="24"/>
        </w:rPr>
        <w:t xml:space="preserve"> </w:t>
      </w:r>
    </w:p>
    <w:p w14:paraId="407B0E1A" w14:textId="77777777" w:rsidR="00C56992" w:rsidRPr="007963EB" w:rsidRDefault="00C56992" w:rsidP="00C56992">
      <w:pPr>
        <w:ind w:firstLine="720"/>
        <w:jc w:val="center"/>
        <w:rPr>
          <w:i/>
          <w:szCs w:val="24"/>
        </w:rPr>
      </w:pPr>
      <w:r w:rsidRPr="007963EB">
        <w:rPr>
          <w:i/>
          <w:szCs w:val="24"/>
        </w:rPr>
        <w:t>(līdz 20</w:t>
      </w:r>
      <w:r>
        <w:rPr>
          <w:i/>
          <w:szCs w:val="24"/>
        </w:rPr>
        <w:t>20</w:t>
      </w:r>
      <w:r w:rsidRPr="007963EB">
        <w:rPr>
          <w:i/>
          <w:szCs w:val="24"/>
        </w:rPr>
        <w:t>.</w:t>
      </w:r>
      <w:r>
        <w:rPr>
          <w:i/>
          <w:szCs w:val="24"/>
        </w:rPr>
        <w:t> </w:t>
      </w:r>
      <w:r w:rsidRPr="007963EB">
        <w:rPr>
          <w:i/>
          <w:szCs w:val="24"/>
        </w:rPr>
        <w:t xml:space="preserve">gada </w:t>
      </w:r>
      <w:r>
        <w:rPr>
          <w:i/>
          <w:szCs w:val="24"/>
        </w:rPr>
        <w:t>31. augustam</w:t>
      </w:r>
      <w:r w:rsidRPr="007963EB">
        <w:rPr>
          <w:i/>
          <w:szCs w:val="24"/>
        </w:rPr>
        <w:t xml:space="preserve"> uzņemtās saistības, nominālvērtībā, milj. euro)</w:t>
      </w:r>
    </w:p>
    <w:p w14:paraId="01AB3C1F" w14:textId="52D1E818" w:rsidR="006D5235" w:rsidRDefault="00677B8A" w:rsidP="00C22618">
      <w:pPr>
        <w:spacing w:after="0"/>
        <w:ind w:firstLine="0"/>
        <w:jc w:val="center"/>
        <w:rPr>
          <w:noProof/>
          <w:lang w:eastAsia="lv-LV"/>
        </w:rPr>
      </w:pPr>
      <w:r>
        <w:rPr>
          <w:noProof/>
          <w:lang w:eastAsia="lv-LV"/>
        </w:rPr>
        <w:drawing>
          <wp:inline distT="0" distB="0" distL="0" distR="0" wp14:anchorId="59C1B982" wp14:editId="4F977097">
            <wp:extent cx="5760085" cy="165719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1657191"/>
                    </a:xfrm>
                    <a:prstGeom prst="rect">
                      <a:avLst/>
                    </a:prstGeom>
                    <a:noFill/>
                  </pic:spPr>
                </pic:pic>
              </a:graphicData>
            </a:graphic>
          </wp:inline>
        </w:drawing>
      </w:r>
    </w:p>
    <w:p w14:paraId="03AE680B" w14:textId="77777777" w:rsidR="006D5235" w:rsidRDefault="006D5235" w:rsidP="0098783B">
      <w:pPr>
        <w:spacing w:before="120" w:after="0"/>
        <w:ind w:firstLine="0"/>
        <w:jc w:val="left"/>
        <w:rPr>
          <w:i/>
          <w:sz w:val="16"/>
          <w:szCs w:val="16"/>
        </w:rPr>
      </w:pPr>
      <w:r w:rsidRPr="00EF07B8">
        <w:rPr>
          <w:i/>
          <w:sz w:val="16"/>
          <w:szCs w:val="16"/>
        </w:rPr>
        <w:t xml:space="preserve">* aprēķinā </w:t>
      </w:r>
      <w:r w:rsidRPr="00B41565">
        <w:rPr>
          <w:i/>
          <w:sz w:val="16"/>
          <w:szCs w:val="16"/>
        </w:rPr>
        <w:t>izmantoti 28.08.2020. Eiropas Centrālās bankas noteiktie valūtu kursi</w:t>
      </w:r>
    </w:p>
    <w:p w14:paraId="54DA237E" w14:textId="77777777" w:rsidR="006D5235" w:rsidRDefault="006D5235" w:rsidP="006D5235">
      <w:pPr>
        <w:spacing w:after="0"/>
        <w:ind w:firstLine="0"/>
        <w:jc w:val="left"/>
        <w:rPr>
          <w:i/>
          <w:sz w:val="16"/>
          <w:szCs w:val="16"/>
        </w:rPr>
      </w:pPr>
      <w:r w:rsidRPr="00ED38DA">
        <w:rPr>
          <w:i/>
          <w:sz w:val="16"/>
          <w:szCs w:val="16"/>
        </w:rPr>
        <w:t>** 2009.-2011.gada starptautiskā aizņēmuma programmas ietvaros</w:t>
      </w:r>
      <w:r>
        <w:rPr>
          <w:i/>
          <w:sz w:val="16"/>
          <w:szCs w:val="16"/>
        </w:rPr>
        <w:t xml:space="preserve"> piešķirtais finansējums</w:t>
      </w:r>
    </w:p>
    <w:p w14:paraId="4F908D23" w14:textId="77777777" w:rsidR="006D5235" w:rsidRPr="00B41565" w:rsidRDefault="006D5235" w:rsidP="006D5235">
      <w:pPr>
        <w:spacing w:after="0"/>
        <w:ind w:firstLine="0"/>
        <w:jc w:val="left"/>
        <w:rPr>
          <w:b/>
          <w:i/>
          <w:szCs w:val="24"/>
        </w:rPr>
      </w:pPr>
    </w:p>
    <w:p w14:paraId="20780886" w14:textId="02475198" w:rsidR="006D5235" w:rsidRDefault="006D5235" w:rsidP="006D5235">
      <w:pPr>
        <w:pStyle w:val="BodyTextIndent"/>
        <w:ind w:left="0"/>
      </w:pPr>
      <w:r w:rsidRPr="00A942FC">
        <w:t>Finansēšanas nepieciešamības apjoms 20</w:t>
      </w:r>
      <w:r>
        <w:t xml:space="preserve">20. – </w:t>
      </w:r>
      <w:r w:rsidRPr="00A942FC">
        <w:t>20</w:t>
      </w:r>
      <w:r>
        <w:t>23</w:t>
      </w:r>
      <w:r w:rsidRPr="00A942FC">
        <w:t>.</w:t>
      </w:r>
      <w:r>
        <w:t xml:space="preserve"> </w:t>
      </w:r>
      <w:r w:rsidRPr="00A942FC">
        <w:t xml:space="preserve">gadam prognozēts, </w:t>
      </w:r>
      <w:r>
        <w:t xml:space="preserve">ņemot vērā </w:t>
      </w:r>
      <w:r w:rsidRPr="00A942FC">
        <w:t>valsts budžeta finansiālās bilances</w:t>
      </w:r>
      <w:r>
        <w:t>,</w:t>
      </w:r>
      <w:r w:rsidRPr="00A942FC">
        <w:t xml:space="preserve"> finansējamo tīro aizdevumu</w:t>
      </w:r>
      <w:r>
        <w:t xml:space="preserve">, norēķinu kontu un citu līdzekļu plūsmu </w:t>
      </w:r>
      <w:r w:rsidRPr="00A942FC">
        <w:t xml:space="preserve">Valsts kases kontos </w:t>
      </w:r>
      <w:r>
        <w:t>prognozes, kā arī šajā periodā</w:t>
      </w:r>
      <w:r w:rsidRPr="00A942FC">
        <w:t xml:space="preserve"> </w:t>
      </w:r>
      <w:r>
        <w:t>atmaksājamo</w:t>
      </w:r>
      <w:r w:rsidRPr="00A942FC">
        <w:t xml:space="preserve"> valsts parāda saistību apjomu</w:t>
      </w:r>
      <w:r>
        <w:t xml:space="preserve"> (skat.</w:t>
      </w:r>
      <w:r w:rsidRPr="00A942FC">
        <w:t xml:space="preserve"> </w:t>
      </w:r>
      <w:r w:rsidR="00C56992">
        <w:t>6.</w:t>
      </w:r>
      <w:r w:rsidRPr="00A942FC">
        <w:t>2.</w:t>
      </w:r>
      <w:r w:rsidR="00C56992">
        <w:t xml:space="preserve"> </w:t>
      </w:r>
      <w:r w:rsidRPr="00A942FC">
        <w:t>tabulu)</w:t>
      </w:r>
      <w:r>
        <w:t xml:space="preserve">. Atšķirībā no iepriekšējiem gadiem, kad finansēšanas nepieciešamības būtiskāko daļu veidoja uzņemto valsts parāda saistību atmaksa, </w:t>
      </w:r>
      <w:r w:rsidRPr="00FA2B1C">
        <w:t xml:space="preserve"> </w:t>
      </w:r>
      <w:r w:rsidRPr="00FF6EEB">
        <w:t>2020</w:t>
      </w:r>
      <w:r>
        <w:t xml:space="preserve">. – </w:t>
      </w:r>
      <w:r w:rsidRPr="00FF6EEB">
        <w:t>202</w:t>
      </w:r>
      <w:r>
        <w:t>2</w:t>
      </w:r>
      <w:r w:rsidRPr="00FF6EEB">
        <w:t>. gadā</w:t>
      </w:r>
      <w:r w:rsidRPr="00FA2B1C">
        <w:t xml:space="preserve"> būtiskāko daļu no šajā periodā prognozētā finansēšanas nepieciešamības apjoma veidos </w:t>
      </w:r>
      <w:r>
        <w:t>gan valsts budžeta deficīts, ņemot vērā Covid-19 uzliesmojuma fiskālo ietekmi vidējā termiņā, gan</w:t>
      </w:r>
      <w:r w:rsidRPr="00FA2B1C">
        <w:t xml:space="preserve"> plānotā valsts parāda atmaksa. </w:t>
      </w:r>
    </w:p>
    <w:p w14:paraId="37EBBC5F" w14:textId="794F6018" w:rsidR="006D5235" w:rsidRPr="00C56992" w:rsidRDefault="00C56992" w:rsidP="006D5235">
      <w:pPr>
        <w:pStyle w:val="BodyTextIndent"/>
        <w:spacing w:after="0"/>
        <w:ind w:left="0" w:firstLine="0"/>
        <w:jc w:val="center"/>
        <w:rPr>
          <w:b/>
          <w:szCs w:val="24"/>
        </w:rPr>
      </w:pPr>
      <w:r>
        <w:rPr>
          <w:b/>
          <w:i/>
          <w:szCs w:val="24"/>
        </w:rPr>
        <w:t>6.</w:t>
      </w:r>
      <w:r w:rsidR="006D5235" w:rsidRPr="00DB3075">
        <w:rPr>
          <w:b/>
          <w:i/>
          <w:szCs w:val="24"/>
        </w:rPr>
        <w:t>2.</w:t>
      </w:r>
      <w:r w:rsidR="006D5235">
        <w:rPr>
          <w:b/>
          <w:i/>
          <w:szCs w:val="24"/>
        </w:rPr>
        <w:t xml:space="preserve"> </w:t>
      </w:r>
      <w:r w:rsidR="006D5235" w:rsidRPr="00DB3075">
        <w:rPr>
          <w:b/>
          <w:i/>
          <w:szCs w:val="24"/>
        </w:rPr>
        <w:t>tabula</w:t>
      </w:r>
      <w:r w:rsidR="006D5235" w:rsidRPr="00FF6EEB">
        <w:rPr>
          <w:b/>
          <w:i/>
          <w:szCs w:val="24"/>
        </w:rPr>
        <w:t xml:space="preserve"> </w:t>
      </w:r>
      <w:r w:rsidR="006D5235" w:rsidRPr="00C56992">
        <w:rPr>
          <w:b/>
          <w:szCs w:val="24"/>
        </w:rPr>
        <w:t xml:space="preserve">Finansēšanas nepieciešamības indikatīvs aprēķins </w:t>
      </w:r>
    </w:p>
    <w:p w14:paraId="69A64B1F" w14:textId="65B26FC6" w:rsidR="006D5235" w:rsidRDefault="006D5235" w:rsidP="00F00404">
      <w:pPr>
        <w:pStyle w:val="BodyTextIndent"/>
        <w:ind w:left="0" w:firstLine="0"/>
        <w:jc w:val="center"/>
        <w:rPr>
          <w:b/>
          <w:i/>
          <w:szCs w:val="24"/>
        </w:rPr>
      </w:pPr>
      <w:r w:rsidRPr="00C56992">
        <w:rPr>
          <w:b/>
          <w:szCs w:val="24"/>
        </w:rPr>
        <w:t>2020. – 2023. gadam, milj.</w:t>
      </w:r>
      <w:r w:rsidRPr="00FF6EEB">
        <w:rPr>
          <w:b/>
          <w:i/>
          <w:szCs w:val="24"/>
        </w:rPr>
        <w:t xml:space="preserve"> euro</w:t>
      </w:r>
      <w:r>
        <w:rPr>
          <w:b/>
          <w:i/>
          <w:szCs w:val="24"/>
        </w:rPr>
        <w:t xml:space="preserve"> </w:t>
      </w:r>
    </w:p>
    <w:tbl>
      <w:tblPr>
        <w:tblStyle w:val="TableGrid"/>
        <w:tblW w:w="0" w:type="auto"/>
        <w:tblLook w:val="04A0" w:firstRow="1" w:lastRow="0" w:firstColumn="1" w:lastColumn="0" w:noHBand="0" w:noVBand="1"/>
      </w:tblPr>
      <w:tblGrid>
        <w:gridCol w:w="4248"/>
        <w:gridCol w:w="992"/>
        <w:gridCol w:w="992"/>
        <w:gridCol w:w="709"/>
        <w:gridCol w:w="709"/>
        <w:gridCol w:w="709"/>
        <w:gridCol w:w="702"/>
      </w:tblGrid>
      <w:tr w:rsidR="001F7249" w:rsidRPr="001F7249" w14:paraId="3D6A1B18" w14:textId="77777777" w:rsidTr="00677B8A">
        <w:tc>
          <w:tcPr>
            <w:tcW w:w="4248" w:type="dxa"/>
            <w:vMerge w:val="restart"/>
            <w:shd w:val="clear" w:color="auto" w:fill="8EAADB" w:themeFill="accent5" w:themeFillTint="99"/>
            <w:vAlign w:val="bottom"/>
          </w:tcPr>
          <w:p w14:paraId="702B4AA0" w14:textId="0FA096D5" w:rsidR="001F7249" w:rsidRPr="001F7249" w:rsidRDefault="001F7249" w:rsidP="00AE48AD">
            <w:pPr>
              <w:pStyle w:val="BodyTextIndent"/>
              <w:spacing w:after="0"/>
              <w:ind w:left="0" w:firstLine="0"/>
              <w:jc w:val="right"/>
              <w:rPr>
                <w:b/>
                <w:sz w:val="18"/>
                <w:szCs w:val="18"/>
              </w:rPr>
            </w:pPr>
            <w:r>
              <w:rPr>
                <w:b/>
                <w:sz w:val="18"/>
                <w:szCs w:val="18"/>
              </w:rPr>
              <w:t xml:space="preserve">milj. </w:t>
            </w:r>
            <w:r w:rsidRPr="001F7249">
              <w:rPr>
                <w:b/>
                <w:i/>
                <w:sz w:val="18"/>
                <w:szCs w:val="18"/>
              </w:rPr>
              <w:t>euro</w:t>
            </w:r>
          </w:p>
        </w:tc>
        <w:tc>
          <w:tcPr>
            <w:tcW w:w="1984" w:type="dxa"/>
            <w:gridSpan w:val="2"/>
            <w:shd w:val="clear" w:color="auto" w:fill="8EAADB" w:themeFill="accent5" w:themeFillTint="99"/>
            <w:vAlign w:val="center"/>
          </w:tcPr>
          <w:p w14:paraId="331DCA6F" w14:textId="56D4AC0E" w:rsidR="001F7249" w:rsidRPr="001F7249" w:rsidRDefault="001F7249" w:rsidP="001F7249">
            <w:pPr>
              <w:pStyle w:val="BodyTextIndent"/>
              <w:spacing w:after="0"/>
              <w:ind w:left="0" w:firstLine="0"/>
              <w:jc w:val="center"/>
              <w:rPr>
                <w:b/>
                <w:sz w:val="18"/>
                <w:szCs w:val="18"/>
              </w:rPr>
            </w:pPr>
            <w:r>
              <w:rPr>
                <w:b/>
                <w:sz w:val="18"/>
                <w:szCs w:val="18"/>
              </w:rPr>
              <w:t>2020</w:t>
            </w:r>
          </w:p>
        </w:tc>
        <w:tc>
          <w:tcPr>
            <w:tcW w:w="709" w:type="dxa"/>
            <w:vMerge w:val="restart"/>
            <w:shd w:val="clear" w:color="auto" w:fill="8EAADB" w:themeFill="accent5" w:themeFillTint="99"/>
            <w:vAlign w:val="center"/>
          </w:tcPr>
          <w:p w14:paraId="18EBDE64" w14:textId="34380660" w:rsidR="001F7249" w:rsidRPr="001F7249" w:rsidRDefault="001F7249" w:rsidP="001F7249">
            <w:pPr>
              <w:pStyle w:val="BodyTextIndent"/>
              <w:spacing w:after="0"/>
              <w:ind w:left="0" w:firstLine="0"/>
              <w:jc w:val="center"/>
              <w:rPr>
                <w:b/>
                <w:sz w:val="18"/>
                <w:szCs w:val="18"/>
              </w:rPr>
            </w:pPr>
            <w:r>
              <w:rPr>
                <w:b/>
                <w:sz w:val="18"/>
                <w:szCs w:val="18"/>
              </w:rPr>
              <w:t>2020</w:t>
            </w:r>
          </w:p>
        </w:tc>
        <w:tc>
          <w:tcPr>
            <w:tcW w:w="709" w:type="dxa"/>
            <w:vMerge w:val="restart"/>
            <w:shd w:val="clear" w:color="auto" w:fill="8EAADB" w:themeFill="accent5" w:themeFillTint="99"/>
            <w:vAlign w:val="center"/>
          </w:tcPr>
          <w:p w14:paraId="2BBF628B" w14:textId="3DF4C462" w:rsidR="001F7249" w:rsidRPr="001F7249" w:rsidRDefault="001F7249" w:rsidP="001F7249">
            <w:pPr>
              <w:pStyle w:val="BodyTextIndent"/>
              <w:spacing w:after="0"/>
              <w:ind w:left="0" w:firstLine="0"/>
              <w:jc w:val="center"/>
              <w:rPr>
                <w:b/>
                <w:sz w:val="18"/>
                <w:szCs w:val="18"/>
              </w:rPr>
            </w:pPr>
            <w:r>
              <w:rPr>
                <w:b/>
                <w:sz w:val="18"/>
                <w:szCs w:val="18"/>
              </w:rPr>
              <w:t>2021</w:t>
            </w:r>
          </w:p>
        </w:tc>
        <w:tc>
          <w:tcPr>
            <w:tcW w:w="709" w:type="dxa"/>
            <w:vMerge w:val="restart"/>
            <w:shd w:val="clear" w:color="auto" w:fill="8EAADB" w:themeFill="accent5" w:themeFillTint="99"/>
            <w:vAlign w:val="center"/>
          </w:tcPr>
          <w:p w14:paraId="68343B85" w14:textId="50BA31A5" w:rsidR="001F7249" w:rsidRPr="001F7249" w:rsidRDefault="001F7249" w:rsidP="001F7249">
            <w:pPr>
              <w:pStyle w:val="BodyTextIndent"/>
              <w:spacing w:after="0"/>
              <w:ind w:left="0" w:firstLine="0"/>
              <w:jc w:val="center"/>
              <w:rPr>
                <w:b/>
                <w:sz w:val="18"/>
                <w:szCs w:val="18"/>
              </w:rPr>
            </w:pPr>
            <w:r>
              <w:rPr>
                <w:b/>
                <w:sz w:val="18"/>
                <w:szCs w:val="18"/>
              </w:rPr>
              <w:t>2022</w:t>
            </w:r>
          </w:p>
        </w:tc>
        <w:tc>
          <w:tcPr>
            <w:tcW w:w="702" w:type="dxa"/>
            <w:vMerge w:val="restart"/>
            <w:shd w:val="clear" w:color="auto" w:fill="8EAADB" w:themeFill="accent5" w:themeFillTint="99"/>
            <w:vAlign w:val="center"/>
          </w:tcPr>
          <w:p w14:paraId="36DC5308" w14:textId="7928DADD" w:rsidR="001F7249" w:rsidRPr="001F7249" w:rsidRDefault="001F7249" w:rsidP="001F7249">
            <w:pPr>
              <w:pStyle w:val="BodyTextIndent"/>
              <w:spacing w:after="0"/>
              <w:ind w:left="0" w:firstLine="0"/>
              <w:jc w:val="center"/>
              <w:rPr>
                <w:b/>
                <w:sz w:val="18"/>
                <w:szCs w:val="18"/>
              </w:rPr>
            </w:pPr>
            <w:r>
              <w:rPr>
                <w:b/>
                <w:sz w:val="18"/>
                <w:szCs w:val="18"/>
              </w:rPr>
              <w:t>2023</w:t>
            </w:r>
          </w:p>
        </w:tc>
      </w:tr>
      <w:tr w:rsidR="001F7249" w:rsidRPr="001F7249" w14:paraId="7882240E" w14:textId="77777777" w:rsidTr="00677B8A">
        <w:tc>
          <w:tcPr>
            <w:tcW w:w="4248" w:type="dxa"/>
            <w:vMerge/>
          </w:tcPr>
          <w:p w14:paraId="2A9E429C" w14:textId="77777777" w:rsidR="001F7249" w:rsidRPr="001F7249" w:rsidRDefault="001F7249" w:rsidP="001F7249">
            <w:pPr>
              <w:pStyle w:val="BodyTextIndent"/>
              <w:spacing w:after="0"/>
              <w:ind w:left="0" w:firstLine="0"/>
              <w:jc w:val="left"/>
              <w:rPr>
                <w:b/>
                <w:sz w:val="18"/>
                <w:szCs w:val="18"/>
              </w:rPr>
            </w:pPr>
          </w:p>
        </w:tc>
        <w:tc>
          <w:tcPr>
            <w:tcW w:w="992" w:type="dxa"/>
            <w:shd w:val="clear" w:color="auto" w:fill="8EAADB" w:themeFill="accent5" w:themeFillTint="99"/>
          </w:tcPr>
          <w:p w14:paraId="146E1AD0" w14:textId="3B2F9B44" w:rsidR="001F7249" w:rsidRPr="001F7249" w:rsidRDefault="001F7249" w:rsidP="001F7249">
            <w:pPr>
              <w:pStyle w:val="BodyTextIndent"/>
              <w:spacing w:after="0"/>
              <w:ind w:left="0" w:firstLine="0"/>
              <w:jc w:val="left"/>
              <w:rPr>
                <w:b/>
                <w:sz w:val="18"/>
                <w:szCs w:val="18"/>
              </w:rPr>
            </w:pPr>
            <w:r>
              <w:rPr>
                <w:b/>
                <w:sz w:val="18"/>
                <w:szCs w:val="18"/>
              </w:rPr>
              <w:t>Jan-Aug</w:t>
            </w:r>
          </w:p>
        </w:tc>
        <w:tc>
          <w:tcPr>
            <w:tcW w:w="992" w:type="dxa"/>
            <w:shd w:val="clear" w:color="auto" w:fill="8EAADB" w:themeFill="accent5" w:themeFillTint="99"/>
          </w:tcPr>
          <w:p w14:paraId="5F07639E" w14:textId="43927104" w:rsidR="001F7249" w:rsidRPr="001F7249" w:rsidRDefault="001F7249" w:rsidP="001F7249">
            <w:pPr>
              <w:pStyle w:val="BodyTextIndent"/>
              <w:spacing w:after="0"/>
              <w:ind w:left="0" w:firstLine="0"/>
              <w:jc w:val="left"/>
              <w:rPr>
                <w:b/>
                <w:sz w:val="18"/>
                <w:szCs w:val="18"/>
              </w:rPr>
            </w:pPr>
            <w:r>
              <w:rPr>
                <w:b/>
                <w:sz w:val="18"/>
                <w:szCs w:val="18"/>
              </w:rPr>
              <w:t>Sep-Dec</w:t>
            </w:r>
          </w:p>
        </w:tc>
        <w:tc>
          <w:tcPr>
            <w:tcW w:w="709" w:type="dxa"/>
            <w:vMerge/>
          </w:tcPr>
          <w:p w14:paraId="39859E3C" w14:textId="77777777" w:rsidR="001F7249" w:rsidRPr="001F7249" w:rsidRDefault="001F7249" w:rsidP="001F7249">
            <w:pPr>
              <w:pStyle w:val="BodyTextIndent"/>
              <w:spacing w:after="0"/>
              <w:ind w:left="0" w:firstLine="0"/>
              <w:jc w:val="left"/>
              <w:rPr>
                <w:b/>
                <w:sz w:val="18"/>
                <w:szCs w:val="18"/>
              </w:rPr>
            </w:pPr>
          </w:p>
        </w:tc>
        <w:tc>
          <w:tcPr>
            <w:tcW w:w="709" w:type="dxa"/>
            <w:vMerge/>
          </w:tcPr>
          <w:p w14:paraId="5614249C" w14:textId="77777777" w:rsidR="001F7249" w:rsidRPr="001F7249" w:rsidRDefault="001F7249" w:rsidP="001F7249">
            <w:pPr>
              <w:pStyle w:val="BodyTextIndent"/>
              <w:spacing w:after="0"/>
              <w:ind w:left="0" w:firstLine="0"/>
              <w:jc w:val="left"/>
              <w:rPr>
                <w:b/>
                <w:sz w:val="18"/>
                <w:szCs w:val="18"/>
              </w:rPr>
            </w:pPr>
          </w:p>
        </w:tc>
        <w:tc>
          <w:tcPr>
            <w:tcW w:w="709" w:type="dxa"/>
            <w:vMerge/>
          </w:tcPr>
          <w:p w14:paraId="5DCD5314" w14:textId="77777777" w:rsidR="001F7249" w:rsidRPr="001F7249" w:rsidRDefault="001F7249" w:rsidP="001F7249">
            <w:pPr>
              <w:pStyle w:val="BodyTextIndent"/>
              <w:spacing w:after="0"/>
              <w:ind w:left="0" w:firstLine="0"/>
              <w:jc w:val="left"/>
              <w:rPr>
                <w:b/>
                <w:sz w:val="18"/>
                <w:szCs w:val="18"/>
              </w:rPr>
            </w:pPr>
          </w:p>
        </w:tc>
        <w:tc>
          <w:tcPr>
            <w:tcW w:w="702" w:type="dxa"/>
            <w:vMerge/>
          </w:tcPr>
          <w:p w14:paraId="28F92160" w14:textId="77777777" w:rsidR="001F7249" w:rsidRPr="001F7249" w:rsidRDefault="001F7249" w:rsidP="001F7249">
            <w:pPr>
              <w:pStyle w:val="BodyTextIndent"/>
              <w:spacing w:after="0"/>
              <w:ind w:left="0" w:firstLine="0"/>
              <w:jc w:val="left"/>
              <w:rPr>
                <w:b/>
                <w:sz w:val="18"/>
                <w:szCs w:val="18"/>
              </w:rPr>
            </w:pPr>
          </w:p>
        </w:tc>
      </w:tr>
      <w:tr w:rsidR="001F7249" w:rsidRPr="001F7249" w14:paraId="4C77CD18" w14:textId="77777777" w:rsidTr="00381B53">
        <w:tc>
          <w:tcPr>
            <w:tcW w:w="4248" w:type="dxa"/>
          </w:tcPr>
          <w:p w14:paraId="33AE3887" w14:textId="77777777" w:rsidR="001F7249" w:rsidRPr="001F7249" w:rsidRDefault="001F7249" w:rsidP="001F7249">
            <w:pPr>
              <w:pStyle w:val="BodyTextIndent"/>
              <w:spacing w:after="0"/>
              <w:ind w:left="0" w:firstLine="0"/>
              <w:jc w:val="left"/>
              <w:rPr>
                <w:b/>
                <w:sz w:val="18"/>
                <w:szCs w:val="18"/>
              </w:rPr>
            </w:pPr>
          </w:p>
        </w:tc>
        <w:tc>
          <w:tcPr>
            <w:tcW w:w="992" w:type="dxa"/>
          </w:tcPr>
          <w:p w14:paraId="3DBB6E3B" w14:textId="580B4AAC" w:rsidR="001F7249" w:rsidRPr="001F7249" w:rsidRDefault="001F7249" w:rsidP="001F7249">
            <w:pPr>
              <w:pStyle w:val="BodyTextIndent"/>
              <w:spacing w:after="0"/>
              <w:ind w:left="0" w:firstLine="0"/>
              <w:jc w:val="center"/>
              <w:rPr>
                <w:i/>
                <w:sz w:val="18"/>
                <w:szCs w:val="18"/>
              </w:rPr>
            </w:pPr>
            <w:r w:rsidRPr="001F7249">
              <w:rPr>
                <w:i/>
                <w:sz w:val="18"/>
                <w:szCs w:val="18"/>
              </w:rPr>
              <w:t>fakts</w:t>
            </w:r>
          </w:p>
        </w:tc>
        <w:tc>
          <w:tcPr>
            <w:tcW w:w="3821" w:type="dxa"/>
            <w:gridSpan w:val="5"/>
            <w:vAlign w:val="center"/>
          </w:tcPr>
          <w:p w14:paraId="22A26E8D" w14:textId="3251319E" w:rsidR="001F7249" w:rsidRPr="001F7249" w:rsidRDefault="001F7249" w:rsidP="001F7249">
            <w:pPr>
              <w:pStyle w:val="BodyTextIndent"/>
              <w:spacing w:after="0"/>
              <w:ind w:left="0" w:firstLine="0"/>
              <w:jc w:val="center"/>
              <w:rPr>
                <w:i/>
                <w:sz w:val="18"/>
                <w:szCs w:val="18"/>
              </w:rPr>
            </w:pPr>
            <w:r w:rsidRPr="001F7249">
              <w:rPr>
                <w:i/>
                <w:sz w:val="18"/>
                <w:szCs w:val="18"/>
              </w:rPr>
              <w:t>prognoze</w:t>
            </w:r>
          </w:p>
        </w:tc>
      </w:tr>
      <w:tr w:rsidR="001F7249" w:rsidRPr="001F7249" w14:paraId="49400087" w14:textId="77777777" w:rsidTr="00AE48AD">
        <w:tc>
          <w:tcPr>
            <w:tcW w:w="4248" w:type="dxa"/>
          </w:tcPr>
          <w:p w14:paraId="2B040290" w14:textId="37E8F846" w:rsidR="001F7249" w:rsidRPr="001F7249" w:rsidRDefault="00381B53" w:rsidP="00381B53">
            <w:pPr>
              <w:pStyle w:val="BodyTextIndent"/>
              <w:spacing w:after="0"/>
              <w:ind w:left="0" w:firstLine="0"/>
              <w:jc w:val="right"/>
              <w:rPr>
                <w:b/>
                <w:sz w:val="18"/>
                <w:szCs w:val="18"/>
              </w:rPr>
            </w:pPr>
            <w:r>
              <w:rPr>
                <w:b/>
                <w:sz w:val="18"/>
                <w:szCs w:val="18"/>
              </w:rPr>
              <w:t>Valsts budžeta finansiālā bilance, finansējamie tīrie aizdevumi un citas plūsmas Valsts kases kontos</w:t>
            </w:r>
          </w:p>
        </w:tc>
        <w:tc>
          <w:tcPr>
            <w:tcW w:w="992" w:type="dxa"/>
            <w:vAlign w:val="center"/>
          </w:tcPr>
          <w:p w14:paraId="53E316EB" w14:textId="3790E83F" w:rsidR="001F7249" w:rsidRPr="001F7249" w:rsidRDefault="00AE48AD" w:rsidP="00AE48AD">
            <w:pPr>
              <w:pStyle w:val="BodyTextIndent"/>
              <w:spacing w:after="0"/>
              <w:ind w:left="0" w:firstLine="0"/>
              <w:jc w:val="center"/>
              <w:rPr>
                <w:b/>
                <w:sz w:val="18"/>
                <w:szCs w:val="18"/>
              </w:rPr>
            </w:pPr>
            <w:r>
              <w:rPr>
                <w:b/>
                <w:sz w:val="18"/>
                <w:szCs w:val="18"/>
              </w:rPr>
              <w:t>-17</w:t>
            </w:r>
          </w:p>
        </w:tc>
        <w:tc>
          <w:tcPr>
            <w:tcW w:w="992" w:type="dxa"/>
            <w:vAlign w:val="center"/>
          </w:tcPr>
          <w:p w14:paraId="49F30F96" w14:textId="43A35B5C" w:rsidR="001F7249" w:rsidRPr="001F7249" w:rsidRDefault="00AE48AD" w:rsidP="00AE48AD">
            <w:pPr>
              <w:pStyle w:val="BodyTextIndent"/>
              <w:spacing w:after="0"/>
              <w:ind w:left="0" w:firstLine="0"/>
              <w:jc w:val="center"/>
              <w:rPr>
                <w:b/>
                <w:sz w:val="18"/>
                <w:szCs w:val="18"/>
              </w:rPr>
            </w:pPr>
            <w:r>
              <w:rPr>
                <w:b/>
                <w:sz w:val="18"/>
                <w:szCs w:val="18"/>
              </w:rPr>
              <w:t>-1 493</w:t>
            </w:r>
          </w:p>
        </w:tc>
        <w:tc>
          <w:tcPr>
            <w:tcW w:w="709" w:type="dxa"/>
            <w:vAlign w:val="center"/>
          </w:tcPr>
          <w:p w14:paraId="0CA9BBA5" w14:textId="141D3B35" w:rsidR="001F7249" w:rsidRPr="001F7249" w:rsidRDefault="00AE48AD" w:rsidP="00AE48AD">
            <w:pPr>
              <w:pStyle w:val="BodyTextIndent"/>
              <w:spacing w:after="0"/>
              <w:ind w:left="0" w:firstLine="0"/>
              <w:jc w:val="center"/>
              <w:rPr>
                <w:b/>
                <w:sz w:val="18"/>
                <w:szCs w:val="18"/>
              </w:rPr>
            </w:pPr>
            <w:r>
              <w:rPr>
                <w:b/>
                <w:sz w:val="18"/>
                <w:szCs w:val="18"/>
              </w:rPr>
              <w:t>-1 510</w:t>
            </w:r>
          </w:p>
        </w:tc>
        <w:tc>
          <w:tcPr>
            <w:tcW w:w="709" w:type="dxa"/>
            <w:vAlign w:val="center"/>
          </w:tcPr>
          <w:p w14:paraId="66906DB9" w14:textId="1B94A664" w:rsidR="001F7249" w:rsidRPr="001F7249" w:rsidRDefault="00AE48AD" w:rsidP="00AE48AD">
            <w:pPr>
              <w:pStyle w:val="BodyTextIndent"/>
              <w:spacing w:after="0"/>
              <w:ind w:left="0" w:firstLine="0"/>
              <w:jc w:val="center"/>
              <w:rPr>
                <w:b/>
                <w:sz w:val="18"/>
                <w:szCs w:val="18"/>
              </w:rPr>
            </w:pPr>
            <w:r>
              <w:rPr>
                <w:b/>
                <w:sz w:val="18"/>
                <w:szCs w:val="18"/>
              </w:rPr>
              <w:t>-1 559</w:t>
            </w:r>
          </w:p>
        </w:tc>
        <w:tc>
          <w:tcPr>
            <w:tcW w:w="709" w:type="dxa"/>
            <w:vAlign w:val="center"/>
          </w:tcPr>
          <w:p w14:paraId="4DCE48AB" w14:textId="461F5004" w:rsidR="001F7249" w:rsidRPr="001F7249" w:rsidRDefault="00AE48AD" w:rsidP="00AE48AD">
            <w:pPr>
              <w:pStyle w:val="BodyTextIndent"/>
              <w:spacing w:after="0"/>
              <w:ind w:left="0" w:firstLine="0"/>
              <w:jc w:val="center"/>
              <w:rPr>
                <w:b/>
                <w:sz w:val="18"/>
                <w:szCs w:val="18"/>
              </w:rPr>
            </w:pPr>
            <w:r>
              <w:rPr>
                <w:b/>
                <w:sz w:val="18"/>
                <w:szCs w:val="18"/>
              </w:rPr>
              <w:t>-1 020</w:t>
            </w:r>
          </w:p>
        </w:tc>
        <w:tc>
          <w:tcPr>
            <w:tcW w:w="702" w:type="dxa"/>
            <w:vAlign w:val="center"/>
          </w:tcPr>
          <w:p w14:paraId="7DC6A8A0" w14:textId="49BF2C2B" w:rsidR="001F7249" w:rsidRPr="001F7249" w:rsidRDefault="00AE48AD" w:rsidP="00AE48AD">
            <w:pPr>
              <w:pStyle w:val="BodyTextIndent"/>
              <w:spacing w:after="0"/>
              <w:ind w:left="0" w:firstLine="0"/>
              <w:jc w:val="center"/>
              <w:rPr>
                <w:b/>
                <w:sz w:val="18"/>
                <w:szCs w:val="18"/>
              </w:rPr>
            </w:pPr>
            <w:r>
              <w:rPr>
                <w:b/>
                <w:sz w:val="18"/>
                <w:szCs w:val="18"/>
              </w:rPr>
              <w:t>-469</w:t>
            </w:r>
          </w:p>
        </w:tc>
      </w:tr>
      <w:tr w:rsidR="001F7249" w:rsidRPr="001F7249" w14:paraId="7ED13D06" w14:textId="77777777" w:rsidTr="00AE48AD">
        <w:tc>
          <w:tcPr>
            <w:tcW w:w="4248" w:type="dxa"/>
          </w:tcPr>
          <w:p w14:paraId="3761255E" w14:textId="76435F8D" w:rsidR="001F7249" w:rsidRPr="00AE48AD" w:rsidRDefault="00AE48AD" w:rsidP="00AE48AD">
            <w:pPr>
              <w:pStyle w:val="BodyTextIndent"/>
              <w:spacing w:after="0"/>
              <w:ind w:left="0" w:firstLine="0"/>
              <w:jc w:val="right"/>
              <w:rPr>
                <w:sz w:val="18"/>
                <w:szCs w:val="18"/>
              </w:rPr>
            </w:pPr>
            <w:r>
              <w:rPr>
                <w:b/>
                <w:sz w:val="18"/>
                <w:szCs w:val="18"/>
              </w:rPr>
              <w:t xml:space="preserve">Valsts parāda atmaksa </w:t>
            </w:r>
            <w:r>
              <w:rPr>
                <w:sz w:val="18"/>
                <w:szCs w:val="18"/>
              </w:rPr>
              <w:t>(līdz 31.08.2020. uzņemtās parāda saistības):</w:t>
            </w:r>
          </w:p>
        </w:tc>
        <w:tc>
          <w:tcPr>
            <w:tcW w:w="992" w:type="dxa"/>
            <w:vAlign w:val="center"/>
          </w:tcPr>
          <w:p w14:paraId="24E35753" w14:textId="7C252432" w:rsidR="001F7249" w:rsidRPr="001F7249" w:rsidRDefault="00AE48AD" w:rsidP="00AE48AD">
            <w:pPr>
              <w:pStyle w:val="BodyTextIndent"/>
              <w:spacing w:after="0"/>
              <w:ind w:left="0" w:firstLine="0"/>
              <w:jc w:val="center"/>
              <w:rPr>
                <w:b/>
                <w:sz w:val="18"/>
                <w:szCs w:val="18"/>
              </w:rPr>
            </w:pPr>
            <w:r>
              <w:rPr>
                <w:b/>
                <w:sz w:val="18"/>
                <w:szCs w:val="18"/>
              </w:rPr>
              <w:t>-760</w:t>
            </w:r>
          </w:p>
        </w:tc>
        <w:tc>
          <w:tcPr>
            <w:tcW w:w="992" w:type="dxa"/>
            <w:vAlign w:val="center"/>
          </w:tcPr>
          <w:p w14:paraId="4099CC44" w14:textId="7FB870CC" w:rsidR="001F7249" w:rsidRPr="001F7249" w:rsidRDefault="00AE48AD" w:rsidP="00AE48AD">
            <w:pPr>
              <w:pStyle w:val="BodyTextIndent"/>
              <w:spacing w:after="0"/>
              <w:ind w:left="0" w:firstLine="0"/>
              <w:jc w:val="center"/>
              <w:rPr>
                <w:b/>
                <w:sz w:val="18"/>
                <w:szCs w:val="18"/>
              </w:rPr>
            </w:pPr>
            <w:r>
              <w:rPr>
                <w:b/>
                <w:sz w:val="18"/>
                <w:szCs w:val="18"/>
              </w:rPr>
              <w:t>-563</w:t>
            </w:r>
          </w:p>
        </w:tc>
        <w:tc>
          <w:tcPr>
            <w:tcW w:w="709" w:type="dxa"/>
            <w:vAlign w:val="center"/>
          </w:tcPr>
          <w:p w14:paraId="673E209F" w14:textId="03ECEED5" w:rsidR="001F7249" w:rsidRPr="001F7249" w:rsidRDefault="00AE48AD" w:rsidP="00AE48AD">
            <w:pPr>
              <w:pStyle w:val="BodyTextIndent"/>
              <w:spacing w:after="0"/>
              <w:ind w:left="0" w:firstLine="0"/>
              <w:jc w:val="center"/>
              <w:rPr>
                <w:b/>
                <w:sz w:val="18"/>
                <w:szCs w:val="18"/>
              </w:rPr>
            </w:pPr>
            <w:r>
              <w:rPr>
                <w:b/>
                <w:sz w:val="18"/>
                <w:szCs w:val="18"/>
              </w:rPr>
              <w:t>-1 323</w:t>
            </w:r>
          </w:p>
        </w:tc>
        <w:tc>
          <w:tcPr>
            <w:tcW w:w="709" w:type="dxa"/>
            <w:vAlign w:val="center"/>
          </w:tcPr>
          <w:p w14:paraId="55765E62" w14:textId="7F9FE00B" w:rsidR="001F7249" w:rsidRPr="001F7249" w:rsidRDefault="00AE48AD" w:rsidP="00AE48AD">
            <w:pPr>
              <w:pStyle w:val="BodyTextIndent"/>
              <w:spacing w:after="0"/>
              <w:ind w:left="0" w:firstLine="0"/>
              <w:jc w:val="center"/>
              <w:rPr>
                <w:b/>
                <w:sz w:val="18"/>
                <w:szCs w:val="18"/>
              </w:rPr>
            </w:pPr>
            <w:r>
              <w:rPr>
                <w:b/>
                <w:sz w:val="18"/>
                <w:szCs w:val="18"/>
              </w:rPr>
              <w:t>-1 438</w:t>
            </w:r>
          </w:p>
        </w:tc>
        <w:tc>
          <w:tcPr>
            <w:tcW w:w="709" w:type="dxa"/>
            <w:vAlign w:val="center"/>
          </w:tcPr>
          <w:p w14:paraId="390FC1A6" w14:textId="4A8A7559" w:rsidR="001F7249" w:rsidRPr="001F7249" w:rsidRDefault="00AE48AD" w:rsidP="00AE48AD">
            <w:pPr>
              <w:pStyle w:val="BodyTextIndent"/>
              <w:spacing w:after="0"/>
              <w:ind w:left="0" w:firstLine="0"/>
              <w:jc w:val="center"/>
              <w:rPr>
                <w:b/>
                <w:sz w:val="18"/>
                <w:szCs w:val="18"/>
              </w:rPr>
            </w:pPr>
            <w:r>
              <w:rPr>
                <w:b/>
                <w:sz w:val="18"/>
                <w:szCs w:val="18"/>
              </w:rPr>
              <w:t>-707</w:t>
            </w:r>
          </w:p>
        </w:tc>
        <w:tc>
          <w:tcPr>
            <w:tcW w:w="702" w:type="dxa"/>
            <w:vAlign w:val="center"/>
          </w:tcPr>
          <w:p w14:paraId="2C84D44C" w14:textId="45626B09" w:rsidR="001F7249" w:rsidRPr="001F7249" w:rsidRDefault="00AE48AD" w:rsidP="00AE48AD">
            <w:pPr>
              <w:pStyle w:val="BodyTextIndent"/>
              <w:spacing w:after="0"/>
              <w:ind w:left="0" w:firstLine="0"/>
              <w:jc w:val="center"/>
              <w:rPr>
                <w:b/>
                <w:sz w:val="18"/>
                <w:szCs w:val="18"/>
              </w:rPr>
            </w:pPr>
            <w:r>
              <w:rPr>
                <w:b/>
                <w:sz w:val="18"/>
                <w:szCs w:val="18"/>
              </w:rPr>
              <w:t>-1 530</w:t>
            </w:r>
          </w:p>
        </w:tc>
      </w:tr>
      <w:tr w:rsidR="001F7249" w:rsidRPr="001F7249" w14:paraId="4A879FB4" w14:textId="77777777" w:rsidTr="00AE48AD">
        <w:tc>
          <w:tcPr>
            <w:tcW w:w="4248" w:type="dxa"/>
          </w:tcPr>
          <w:p w14:paraId="3C1F1214" w14:textId="65B22378" w:rsidR="001F7249" w:rsidRPr="00AE48AD" w:rsidRDefault="00AE48AD" w:rsidP="00AE48AD">
            <w:pPr>
              <w:pStyle w:val="BodyTextIndent"/>
              <w:spacing w:after="0"/>
              <w:ind w:left="0" w:firstLine="0"/>
              <w:jc w:val="right"/>
              <w:rPr>
                <w:sz w:val="18"/>
                <w:szCs w:val="18"/>
              </w:rPr>
            </w:pPr>
            <w:r>
              <w:rPr>
                <w:sz w:val="18"/>
                <w:szCs w:val="18"/>
              </w:rPr>
              <w:t>f</w:t>
            </w:r>
            <w:r w:rsidRPr="00AE48AD">
              <w:rPr>
                <w:sz w:val="18"/>
                <w:szCs w:val="18"/>
              </w:rPr>
              <w:t>aktiskā iekšējā parāda dzēšana</w:t>
            </w:r>
          </w:p>
        </w:tc>
        <w:tc>
          <w:tcPr>
            <w:tcW w:w="992" w:type="dxa"/>
            <w:vAlign w:val="center"/>
          </w:tcPr>
          <w:p w14:paraId="0F056FB2" w14:textId="543C1D17" w:rsidR="001F7249" w:rsidRPr="00AE48AD" w:rsidRDefault="00AE48AD" w:rsidP="00AE48AD">
            <w:pPr>
              <w:pStyle w:val="BodyTextIndent"/>
              <w:spacing w:after="0"/>
              <w:ind w:left="0" w:firstLine="0"/>
              <w:jc w:val="center"/>
              <w:rPr>
                <w:sz w:val="18"/>
                <w:szCs w:val="18"/>
              </w:rPr>
            </w:pPr>
            <w:r>
              <w:rPr>
                <w:sz w:val="18"/>
                <w:szCs w:val="18"/>
              </w:rPr>
              <w:t>-114</w:t>
            </w:r>
          </w:p>
        </w:tc>
        <w:tc>
          <w:tcPr>
            <w:tcW w:w="992" w:type="dxa"/>
            <w:vAlign w:val="center"/>
          </w:tcPr>
          <w:p w14:paraId="5E9ABEC1" w14:textId="2EA7C59E" w:rsidR="001F7249" w:rsidRPr="00AE48AD" w:rsidRDefault="00AE48AD" w:rsidP="00AE48AD">
            <w:pPr>
              <w:pStyle w:val="BodyTextIndent"/>
              <w:spacing w:after="0"/>
              <w:ind w:left="0" w:firstLine="0"/>
              <w:jc w:val="center"/>
              <w:rPr>
                <w:sz w:val="18"/>
                <w:szCs w:val="18"/>
              </w:rPr>
            </w:pPr>
            <w:r>
              <w:rPr>
                <w:sz w:val="18"/>
                <w:szCs w:val="18"/>
              </w:rPr>
              <w:t>-1</w:t>
            </w:r>
          </w:p>
        </w:tc>
        <w:tc>
          <w:tcPr>
            <w:tcW w:w="709" w:type="dxa"/>
            <w:vAlign w:val="center"/>
          </w:tcPr>
          <w:p w14:paraId="7194C9B4" w14:textId="069AD996" w:rsidR="001F7249" w:rsidRPr="00AE48AD" w:rsidRDefault="00AE48AD" w:rsidP="00AE48AD">
            <w:pPr>
              <w:pStyle w:val="BodyTextIndent"/>
              <w:spacing w:after="0"/>
              <w:ind w:left="0" w:firstLine="0"/>
              <w:jc w:val="center"/>
              <w:rPr>
                <w:sz w:val="18"/>
                <w:szCs w:val="18"/>
              </w:rPr>
            </w:pPr>
            <w:r>
              <w:rPr>
                <w:sz w:val="18"/>
                <w:szCs w:val="18"/>
              </w:rPr>
              <w:t>-115</w:t>
            </w:r>
          </w:p>
        </w:tc>
        <w:tc>
          <w:tcPr>
            <w:tcW w:w="709" w:type="dxa"/>
            <w:vAlign w:val="center"/>
          </w:tcPr>
          <w:p w14:paraId="740AE530" w14:textId="75729596" w:rsidR="001F7249" w:rsidRPr="00AE48AD" w:rsidRDefault="00AE48AD" w:rsidP="00AE48AD">
            <w:pPr>
              <w:pStyle w:val="BodyTextIndent"/>
              <w:spacing w:after="0"/>
              <w:ind w:left="0" w:firstLine="0"/>
              <w:jc w:val="center"/>
              <w:rPr>
                <w:sz w:val="18"/>
                <w:szCs w:val="18"/>
              </w:rPr>
            </w:pPr>
            <w:r>
              <w:rPr>
                <w:sz w:val="18"/>
                <w:szCs w:val="18"/>
              </w:rPr>
              <w:t>-92</w:t>
            </w:r>
          </w:p>
        </w:tc>
        <w:tc>
          <w:tcPr>
            <w:tcW w:w="709" w:type="dxa"/>
            <w:vAlign w:val="center"/>
          </w:tcPr>
          <w:p w14:paraId="61076ABB" w14:textId="387D4752" w:rsidR="001F7249" w:rsidRPr="00AE48AD" w:rsidRDefault="00AE48AD" w:rsidP="00AE48AD">
            <w:pPr>
              <w:pStyle w:val="BodyTextIndent"/>
              <w:spacing w:after="0"/>
              <w:ind w:left="0" w:firstLine="0"/>
              <w:jc w:val="center"/>
              <w:rPr>
                <w:sz w:val="18"/>
                <w:szCs w:val="18"/>
              </w:rPr>
            </w:pPr>
            <w:r>
              <w:rPr>
                <w:sz w:val="18"/>
                <w:szCs w:val="18"/>
              </w:rPr>
              <w:t>-624</w:t>
            </w:r>
          </w:p>
        </w:tc>
        <w:tc>
          <w:tcPr>
            <w:tcW w:w="702" w:type="dxa"/>
            <w:vAlign w:val="center"/>
          </w:tcPr>
          <w:p w14:paraId="7496715B" w14:textId="4E7FEC00" w:rsidR="001F7249" w:rsidRPr="00AE48AD" w:rsidRDefault="00AE48AD" w:rsidP="00AE48AD">
            <w:pPr>
              <w:pStyle w:val="BodyTextIndent"/>
              <w:spacing w:after="0"/>
              <w:ind w:left="0" w:firstLine="0"/>
              <w:jc w:val="center"/>
              <w:rPr>
                <w:sz w:val="18"/>
                <w:szCs w:val="18"/>
              </w:rPr>
            </w:pPr>
            <w:r>
              <w:rPr>
                <w:sz w:val="18"/>
                <w:szCs w:val="18"/>
              </w:rPr>
              <w:t>-522</w:t>
            </w:r>
          </w:p>
        </w:tc>
      </w:tr>
      <w:tr w:rsidR="001F7249" w:rsidRPr="001F7249" w14:paraId="3C511F2A" w14:textId="77777777" w:rsidTr="00AE48AD">
        <w:tc>
          <w:tcPr>
            <w:tcW w:w="4248" w:type="dxa"/>
          </w:tcPr>
          <w:p w14:paraId="500688BE" w14:textId="235B48D4" w:rsidR="001F7249" w:rsidRPr="00AE48AD" w:rsidRDefault="00AE48AD" w:rsidP="00AE48AD">
            <w:pPr>
              <w:pStyle w:val="BodyTextIndent"/>
              <w:spacing w:after="0"/>
              <w:ind w:left="0" w:firstLine="0"/>
              <w:jc w:val="right"/>
              <w:rPr>
                <w:sz w:val="18"/>
                <w:szCs w:val="18"/>
              </w:rPr>
            </w:pPr>
            <w:r>
              <w:rPr>
                <w:sz w:val="18"/>
                <w:szCs w:val="18"/>
              </w:rPr>
              <w:t>faktiskā ārējā parāda dzēšana</w:t>
            </w:r>
          </w:p>
        </w:tc>
        <w:tc>
          <w:tcPr>
            <w:tcW w:w="992" w:type="dxa"/>
            <w:vAlign w:val="center"/>
          </w:tcPr>
          <w:p w14:paraId="25B8BE63" w14:textId="02D50237" w:rsidR="001F7249" w:rsidRPr="00AE48AD" w:rsidRDefault="00AE48AD" w:rsidP="00AE48AD">
            <w:pPr>
              <w:pStyle w:val="BodyTextIndent"/>
              <w:spacing w:after="0"/>
              <w:ind w:left="0" w:firstLine="0"/>
              <w:jc w:val="center"/>
              <w:rPr>
                <w:sz w:val="18"/>
                <w:szCs w:val="18"/>
              </w:rPr>
            </w:pPr>
            <w:r>
              <w:rPr>
                <w:sz w:val="18"/>
                <w:szCs w:val="18"/>
              </w:rPr>
              <w:t>-646</w:t>
            </w:r>
          </w:p>
        </w:tc>
        <w:tc>
          <w:tcPr>
            <w:tcW w:w="992" w:type="dxa"/>
            <w:vAlign w:val="center"/>
          </w:tcPr>
          <w:p w14:paraId="3B6C9BE1" w14:textId="0E6A4370" w:rsidR="001F7249" w:rsidRPr="00AE48AD" w:rsidRDefault="00AE48AD" w:rsidP="00AE48AD">
            <w:pPr>
              <w:pStyle w:val="BodyTextIndent"/>
              <w:spacing w:after="0"/>
              <w:ind w:left="0" w:firstLine="0"/>
              <w:jc w:val="center"/>
              <w:rPr>
                <w:sz w:val="18"/>
                <w:szCs w:val="18"/>
              </w:rPr>
            </w:pPr>
            <w:r>
              <w:rPr>
                <w:sz w:val="18"/>
                <w:szCs w:val="18"/>
              </w:rPr>
              <w:t>-561</w:t>
            </w:r>
          </w:p>
        </w:tc>
        <w:tc>
          <w:tcPr>
            <w:tcW w:w="709" w:type="dxa"/>
            <w:vAlign w:val="center"/>
          </w:tcPr>
          <w:p w14:paraId="50A4DE41" w14:textId="345D7DCE" w:rsidR="001F7249" w:rsidRPr="00AE48AD" w:rsidRDefault="00AE48AD" w:rsidP="00AE48AD">
            <w:pPr>
              <w:pStyle w:val="BodyTextIndent"/>
              <w:spacing w:after="0"/>
              <w:ind w:left="0" w:firstLine="0"/>
              <w:jc w:val="center"/>
              <w:rPr>
                <w:sz w:val="18"/>
                <w:szCs w:val="18"/>
              </w:rPr>
            </w:pPr>
            <w:r>
              <w:rPr>
                <w:sz w:val="18"/>
                <w:szCs w:val="18"/>
              </w:rPr>
              <w:t>-1 208</w:t>
            </w:r>
          </w:p>
        </w:tc>
        <w:tc>
          <w:tcPr>
            <w:tcW w:w="709" w:type="dxa"/>
            <w:vAlign w:val="center"/>
          </w:tcPr>
          <w:p w14:paraId="5FEF4372" w14:textId="33ACEBC7" w:rsidR="001F7249" w:rsidRPr="00AE48AD" w:rsidRDefault="00AE48AD" w:rsidP="00AE48AD">
            <w:pPr>
              <w:pStyle w:val="BodyTextIndent"/>
              <w:spacing w:after="0"/>
              <w:ind w:left="0" w:firstLine="0"/>
              <w:jc w:val="center"/>
              <w:rPr>
                <w:sz w:val="18"/>
                <w:szCs w:val="18"/>
              </w:rPr>
            </w:pPr>
            <w:r>
              <w:rPr>
                <w:sz w:val="18"/>
                <w:szCs w:val="18"/>
              </w:rPr>
              <w:t>-1 346</w:t>
            </w:r>
          </w:p>
        </w:tc>
        <w:tc>
          <w:tcPr>
            <w:tcW w:w="709" w:type="dxa"/>
            <w:vAlign w:val="center"/>
          </w:tcPr>
          <w:p w14:paraId="78FB5277" w14:textId="6036EC5F" w:rsidR="001F7249" w:rsidRPr="00AE48AD" w:rsidRDefault="00AE48AD" w:rsidP="00AE48AD">
            <w:pPr>
              <w:pStyle w:val="BodyTextIndent"/>
              <w:spacing w:after="0"/>
              <w:ind w:left="0" w:firstLine="0"/>
              <w:jc w:val="center"/>
              <w:rPr>
                <w:sz w:val="18"/>
                <w:szCs w:val="18"/>
              </w:rPr>
            </w:pPr>
            <w:r>
              <w:rPr>
                <w:sz w:val="18"/>
                <w:szCs w:val="18"/>
              </w:rPr>
              <w:t>-83</w:t>
            </w:r>
          </w:p>
        </w:tc>
        <w:tc>
          <w:tcPr>
            <w:tcW w:w="702" w:type="dxa"/>
            <w:vAlign w:val="center"/>
          </w:tcPr>
          <w:p w14:paraId="5C978834" w14:textId="77393BFD" w:rsidR="001F7249" w:rsidRPr="00AE48AD" w:rsidRDefault="00AE48AD" w:rsidP="00AE48AD">
            <w:pPr>
              <w:pStyle w:val="BodyTextIndent"/>
              <w:spacing w:after="0"/>
              <w:ind w:left="0" w:firstLine="0"/>
              <w:jc w:val="center"/>
              <w:rPr>
                <w:sz w:val="18"/>
                <w:szCs w:val="18"/>
              </w:rPr>
            </w:pPr>
            <w:r>
              <w:rPr>
                <w:sz w:val="18"/>
                <w:szCs w:val="18"/>
              </w:rPr>
              <w:t>-1 007</w:t>
            </w:r>
          </w:p>
        </w:tc>
      </w:tr>
      <w:tr w:rsidR="00C12BA2" w:rsidRPr="001F7249" w14:paraId="3B0C402B" w14:textId="77777777" w:rsidTr="005A05B4">
        <w:tc>
          <w:tcPr>
            <w:tcW w:w="4248" w:type="dxa"/>
            <w:shd w:val="clear" w:color="auto" w:fill="8EAADB" w:themeFill="accent5" w:themeFillTint="99"/>
          </w:tcPr>
          <w:p w14:paraId="0F2553CB" w14:textId="18228FC5" w:rsidR="001F7249" w:rsidRPr="001F7249" w:rsidRDefault="00AE48AD" w:rsidP="00AE48AD">
            <w:pPr>
              <w:pStyle w:val="BodyTextIndent"/>
              <w:spacing w:after="0"/>
              <w:ind w:left="0" w:firstLine="0"/>
              <w:jc w:val="right"/>
              <w:rPr>
                <w:b/>
                <w:sz w:val="18"/>
                <w:szCs w:val="18"/>
              </w:rPr>
            </w:pPr>
            <w:r>
              <w:rPr>
                <w:b/>
                <w:sz w:val="18"/>
                <w:szCs w:val="18"/>
              </w:rPr>
              <w:t>Finansēšanas nepieciešamība KOPĀ</w:t>
            </w:r>
          </w:p>
        </w:tc>
        <w:tc>
          <w:tcPr>
            <w:tcW w:w="992" w:type="dxa"/>
            <w:shd w:val="clear" w:color="auto" w:fill="8EAADB" w:themeFill="accent5" w:themeFillTint="99"/>
            <w:vAlign w:val="center"/>
          </w:tcPr>
          <w:p w14:paraId="260C5BCE" w14:textId="4CACC352" w:rsidR="001F7249" w:rsidRPr="001F7249" w:rsidRDefault="00AE48AD" w:rsidP="00AE48AD">
            <w:pPr>
              <w:pStyle w:val="BodyTextIndent"/>
              <w:spacing w:after="0"/>
              <w:ind w:left="0" w:firstLine="0"/>
              <w:jc w:val="center"/>
              <w:rPr>
                <w:b/>
                <w:sz w:val="18"/>
                <w:szCs w:val="18"/>
              </w:rPr>
            </w:pPr>
            <w:r>
              <w:rPr>
                <w:b/>
                <w:sz w:val="18"/>
                <w:szCs w:val="18"/>
              </w:rPr>
              <w:t>-777</w:t>
            </w:r>
          </w:p>
        </w:tc>
        <w:tc>
          <w:tcPr>
            <w:tcW w:w="992" w:type="dxa"/>
            <w:shd w:val="clear" w:color="auto" w:fill="8EAADB" w:themeFill="accent5" w:themeFillTint="99"/>
            <w:vAlign w:val="center"/>
          </w:tcPr>
          <w:p w14:paraId="432AA522" w14:textId="2F0EAEB9" w:rsidR="001F7249" w:rsidRPr="001F7249" w:rsidRDefault="00AE48AD" w:rsidP="00AE48AD">
            <w:pPr>
              <w:pStyle w:val="BodyTextIndent"/>
              <w:spacing w:after="0"/>
              <w:ind w:left="0" w:firstLine="0"/>
              <w:jc w:val="center"/>
              <w:rPr>
                <w:b/>
                <w:sz w:val="18"/>
                <w:szCs w:val="18"/>
              </w:rPr>
            </w:pPr>
            <w:r>
              <w:rPr>
                <w:b/>
                <w:sz w:val="18"/>
                <w:szCs w:val="18"/>
              </w:rPr>
              <w:t>-2 055</w:t>
            </w:r>
          </w:p>
        </w:tc>
        <w:tc>
          <w:tcPr>
            <w:tcW w:w="709" w:type="dxa"/>
            <w:shd w:val="clear" w:color="auto" w:fill="8EAADB" w:themeFill="accent5" w:themeFillTint="99"/>
            <w:vAlign w:val="center"/>
          </w:tcPr>
          <w:p w14:paraId="560DE523" w14:textId="1143A7D2" w:rsidR="001F7249" w:rsidRPr="001F7249" w:rsidRDefault="00AE48AD" w:rsidP="00AE48AD">
            <w:pPr>
              <w:pStyle w:val="BodyTextIndent"/>
              <w:spacing w:after="0"/>
              <w:ind w:left="0" w:firstLine="0"/>
              <w:jc w:val="center"/>
              <w:rPr>
                <w:b/>
                <w:sz w:val="18"/>
                <w:szCs w:val="18"/>
              </w:rPr>
            </w:pPr>
            <w:r>
              <w:rPr>
                <w:b/>
                <w:sz w:val="18"/>
                <w:szCs w:val="18"/>
              </w:rPr>
              <w:t>-2 832</w:t>
            </w:r>
          </w:p>
        </w:tc>
        <w:tc>
          <w:tcPr>
            <w:tcW w:w="709" w:type="dxa"/>
            <w:shd w:val="clear" w:color="auto" w:fill="8EAADB" w:themeFill="accent5" w:themeFillTint="99"/>
            <w:vAlign w:val="center"/>
          </w:tcPr>
          <w:p w14:paraId="6E1C5D1C" w14:textId="37317D63" w:rsidR="001F7249" w:rsidRPr="001F7249" w:rsidRDefault="00AE48AD" w:rsidP="00AE48AD">
            <w:pPr>
              <w:pStyle w:val="BodyTextIndent"/>
              <w:spacing w:after="0"/>
              <w:ind w:left="0" w:firstLine="0"/>
              <w:jc w:val="center"/>
              <w:rPr>
                <w:b/>
                <w:sz w:val="18"/>
                <w:szCs w:val="18"/>
              </w:rPr>
            </w:pPr>
            <w:r>
              <w:rPr>
                <w:b/>
                <w:sz w:val="18"/>
                <w:szCs w:val="18"/>
              </w:rPr>
              <w:t>-2 996</w:t>
            </w:r>
          </w:p>
        </w:tc>
        <w:tc>
          <w:tcPr>
            <w:tcW w:w="709" w:type="dxa"/>
            <w:shd w:val="clear" w:color="auto" w:fill="8EAADB" w:themeFill="accent5" w:themeFillTint="99"/>
            <w:vAlign w:val="center"/>
          </w:tcPr>
          <w:p w14:paraId="512CDC81" w14:textId="42D35D43" w:rsidR="001F7249" w:rsidRPr="001F7249" w:rsidRDefault="00AE48AD" w:rsidP="00AE48AD">
            <w:pPr>
              <w:pStyle w:val="BodyTextIndent"/>
              <w:spacing w:after="0"/>
              <w:ind w:left="0" w:firstLine="0"/>
              <w:jc w:val="center"/>
              <w:rPr>
                <w:b/>
                <w:sz w:val="18"/>
                <w:szCs w:val="18"/>
              </w:rPr>
            </w:pPr>
            <w:r>
              <w:rPr>
                <w:b/>
                <w:sz w:val="18"/>
                <w:szCs w:val="18"/>
              </w:rPr>
              <w:t>-1 728</w:t>
            </w:r>
          </w:p>
        </w:tc>
        <w:tc>
          <w:tcPr>
            <w:tcW w:w="702" w:type="dxa"/>
            <w:shd w:val="clear" w:color="auto" w:fill="8EAADB" w:themeFill="accent5" w:themeFillTint="99"/>
            <w:vAlign w:val="center"/>
          </w:tcPr>
          <w:p w14:paraId="411418E7" w14:textId="3A8B1B50" w:rsidR="001F7249" w:rsidRPr="001F7249" w:rsidRDefault="00AE48AD" w:rsidP="00AE48AD">
            <w:pPr>
              <w:pStyle w:val="BodyTextIndent"/>
              <w:spacing w:after="0"/>
              <w:ind w:left="0" w:firstLine="0"/>
              <w:jc w:val="center"/>
              <w:rPr>
                <w:b/>
                <w:sz w:val="18"/>
                <w:szCs w:val="18"/>
              </w:rPr>
            </w:pPr>
            <w:r>
              <w:rPr>
                <w:b/>
                <w:sz w:val="18"/>
                <w:szCs w:val="18"/>
              </w:rPr>
              <w:t>-1 999</w:t>
            </w:r>
          </w:p>
        </w:tc>
      </w:tr>
    </w:tbl>
    <w:p w14:paraId="343803C9" w14:textId="2104EA3C" w:rsidR="006D5235" w:rsidRDefault="006D5235" w:rsidP="00C56992">
      <w:pPr>
        <w:spacing w:before="240"/>
      </w:pPr>
      <w:r w:rsidRPr="004D5089">
        <w:t>Ņemot vērā 2020.</w:t>
      </w:r>
      <w:r w:rsidR="00C56992">
        <w:t xml:space="preserve"> </w:t>
      </w:r>
      <w:r w:rsidRPr="004D5089">
        <w:t xml:space="preserve">gada astoņos mēnešos veiktos aizņemšanās pasākumus, valstij šobrīd jau ir pieejams finansējums Covid-19 uzliesmojuma ietekmes mazināšanai un ekonomikas atbalstam. </w:t>
      </w:r>
      <w:r w:rsidRPr="00B04197">
        <w:rPr>
          <w:szCs w:val="26"/>
        </w:rPr>
        <w:t>2020.</w:t>
      </w:r>
      <w:r w:rsidR="00C56992">
        <w:rPr>
          <w:szCs w:val="26"/>
        </w:rPr>
        <w:t xml:space="preserve"> </w:t>
      </w:r>
      <w:r w:rsidRPr="00B04197">
        <w:rPr>
          <w:szCs w:val="26"/>
        </w:rPr>
        <w:t xml:space="preserve">gada atlikušajā periodā kopējai finansēšanas nepieciešamības segšanai, t.sk. līdz 2020. gada beigām un 2021. gada sākumā plānoto valsts parāda saistību izpildei, </w:t>
      </w:r>
      <w:r>
        <w:rPr>
          <w:szCs w:val="26"/>
        </w:rPr>
        <w:t xml:space="preserve">tiks izmantoti Valsts kases kontos pieejamie resursi, </w:t>
      </w:r>
      <w:r w:rsidRPr="00B04197">
        <w:rPr>
          <w:szCs w:val="26"/>
        </w:rPr>
        <w:t xml:space="preserve">kā arī finansiāli izdevīgas aizņemšanās iespējas no starptautiskajām </w:t>
      </w:r>
      <w:r>
        <w:rPr>
          <w:szCs w:val="26"/>
        </w:rPr>
        <w:t xml:space="preserve">finanšu </w:t>
      </w:r>
      <w:r w:rsidRPr="00B04197">
        <w:rPr>
          <w:szCs w:val="26"/>
        </w:rPr>
        <w:t>institūcijām</w:t>
      </w:r>
      <w:r>
        <w:rPr>
          <w:szCs w:val="26"/>
        </w:rPr>
        <w:t>.</w:t>
      </w:r>
      <w:r w:rsidRPr="00B04197">
        <w:rPr>
          <w:szCs w:val="26"/>
        </w:rPr>
        <w:t xml:space="preserve"> Savukārt, vidējā termiņā, līdzīgi kā iepriekšējos gados, aizņemšanos plānots nodrošināt galvenokārt ar publiskām ilgtermiņa etalona eiroobligāciju </w:t>
      </w:r>
      <w:r w:rsidRPr="00B04197">
        <w:rPr>
          <w:szCs w:val="26"/>
        </w:rPr>
        <w:lastRenderedPageBreak/>
        <w:t>emisijām, prioritāri izvēloties garākus atmaksas termiņus, lai fiksētu zemas valsts parāda apkalpošanas izmaksas ilgtermiņā</w:t>
      </w:r>
      <w:r>
        <w:rPr>
          <w:szCs w:val="26"/>
        </w:rPr>
        <w:t>, kā arī</w:t>
      </w:r>
      <w:r w:rsidRPr="00B04197">
        <w:rPr>
          <w:szCs w:val="26"/>
        </w:rPr>
        <w:t xml:space="preserve"> uzturot pēc iespējas plašākas un elastīgākas finansiāli izdevīgākā aizņemšanās instrumenta izvēles iespējas, lai arī nākamajos gados veiktu valsts budžeta izpildei un parāda pārfinansēšanai nepieciešamo resursu piesaisti ar labvēlīgiem nosacījumiem.</w:t>
      </w:r>
      <w:r w:rsidRPr="00B04197">
        <w:t xml:space="preserve"> </w:t>
      </w:r>
      <w:r w:rsidRPr="004D5089">
        <w:t>Iekšējā finanšu tirgū arī turpmāk plānots uzturēt pieprasījumam atbilstošu vērtspapīru piedāvājumu primāro dīleru sistēmas ietvaros, sekmējot valsts vērtspapīru tirgus aktivitāti un likviditāti</w:t>
      </w:r>
      <w:r>
        <w:t>, pieejamos parāda vērtspapīru termiņus</w:t>
      </w:r>
      <w:r w:rsidRPr="004D5089">
        <w:t>.</w:t>
      </w:r>
      <w:r>
        <w:t xml:space="preserve"> Papildus vidēja termiņa obligāciju piedāvājumam iekšējā tirgū tiks piedāvātas arī ilgtermiņa obligācijas, kas jau tika aizsākts ar jauno 7 gadu obligāciju emisijas programmu. </w:t>
      </w:r>
    </w:p>
    <w:p w14:paraId="2E5FB15F" w14:textId="62995BB9" w:rsidR="00F47A9F" w:rsidRDefault="00F47A9F" w:rsidP="00F47A9F">
      <w:pPr>
        <w:pStyle w:val="tabvirsr"/>
        <w:rPr>
          <w:rFonts w:ascii="Times New Roman" w:hAnsi="Times New Roman"/>
          <w:sz w:val="24"/>
          <w:szCs w:val="24"/>
          <w:lang w:val="lv-LV"/>
        </w:rPr>
      </w:pPr>
      <w:r>
        <w:rPr>
          <w:rFonts w:ascii="Times New Roman" w:hAnsi="Times New Roman"/>
          <w:i/>
          <w:sz w:val="24"/>
          <w:szCs w:val="24"/>
          <w:lang w:val="lv-LV"/>
        </w:rPr>
        <w:t>6.</w:t>
      </w:r>
      <w:r w:rsidRPr="001958FF">
        <w:rPr>
          <w:rFonts w:ascii="Times New Roman" w:hAnsi="Times New Roman"/>
          <w:i/>
          <w:sz w:val="24"/>
          <w:szCs w:val="24"/>
          <w:lang w:val="lv-LV"/>
        </w:rPr>
        <w:t>4. att</w:t>
      </w:r>
      <w:r>
        <w:rPr>
          <w:rFonts w:ascii="Times New Roman" w:hAnsi="Times New Roman"/>
          <w:i/>
          <w:sz w:val="24"/>
          <w:szCs w:val="24"/>
          <w:lang w:val="lv-LV"/>
        </w:rPr>
        <w:t>ēls</w:t>
      </w:r>
      <w:r w:rsidRPr="001958FF">
        <w:rPr>
          <w:rFonts w:ascii="Times New Roman" w:hAnsi="Times New Roman"/>
          <w:i/>
          <w:sz w:val="24"/>
          <w:szCs w:val="24"/>
          <w:lang w:val="lv-LV"/>
        </w:rPr>
        <w:t xml:space="preserve"> </w:t>
      </w:r>
      <w:r w:rsidRPr="0064516B">
        <w:rPr>
          <w:rFonts w:ascii="Times New Roman" w:hAnsi="Times New Roman"/>
          <w:sz w:val="24"/>
          <w:szCs w:val="24"/>
          <w:lang w:val="lv-LV"/>
        </w:rPr>
        <w:t xml:space="preserve">Valsts parāda </w:t>
      </w:r>
      <w:r>
        <w:rPr>
          <w:rFonts w:ascii="Times New Roman" w:hAnsi="Times New Roman"/>
          <w:sz w:val="24"/>
          <w:szCs w:val="24"/>
          <w:lang w:val="lv-LV"/>
        </w:rPr>
        <w:t>prognoze</w:t>
      </w:r>
    </w:p>
    <w:p w14:paraId="28244502" w14:textId="77777777" w:rsidR="00F47A9F" w:rsidRPr="006B3E31" w:rsidRDefault="00F47A9F" w:rsidP="00F47A9F">
      <w:pPr>
        <w:pStyle w:val="tabvirsr"/>
        <w:spacing w:after="240"/>
        <w:rPr>
          <w:rFonts w:ascii="Times New Roman" w:hAnsi="Times New Roman"/>
          <w:b w:val="0"/>
          <w:sz w:val="24"/>
          <w:szCs w:val="24"/>
          <w:lang w:val="lv-LV"/>
        </w:rPr>
      </w:pPr>
      <w:r>
        <w:rPr>
          <w:rFonts w:ascii="Times New Roman" w:hAnsi="Times New Roman"/>
          <w:b w:val="0"/>
          <w:szCs w:val="24"/>
          <w:lang w:val="lv-LV"/>
        </w:rPr>
        <w:t>(pēc nacionālās metodoloģijas, bez</w:t>
      </w:r>
      <w:r w:rsidRPr="006B3E31">
        <w:rPr>
          <w:rFonts w:ascii="Times New Roman" w:hAnsi="Times New Roman"/>
          <w:b w:val="0"/>
          <w:szCs w:val="24"/>
          <w:lang w:val="lv-LV"/>
        </w:rPr>
        <w:t xml:space="preserve"> atvasināt</w:t>
      </w:r>
      <w:r>
        <w:rPr>
          <w:rFonts w:ascii="Times New Roman" w:hAnsi="Times New Roman"/>
          <w:b w:val="0"/>
          <w:szCs w:val="24"/>
          <w:lang w:val="lv-LV"/>
        </w:rPr>
        <w:t>ajiem</w:t>
      </w:r>
      <w:r w:rsidRPr="006B3E31">
        <w:rPr>
          <w:rFonts w:ascii="Times New Roman" w:hAnsi="Times New Roman"/>
          <w:b w:val="0"/>
          <w:szCs w:val="24"/>
          <w:lang w:val="lv-LV"/>
        </w:rPr>
        <w:t xml:space="preserve"> finanšu instrument</w:t>
      </w:r>
      <w:r>
        <w:rPr>
          <w:rFonts w:ascii="Times New Roman" w:hAnsi="Times New Roman"/>
          <w:b w:val="0"/>
          <w:szCs w:val="24"/>
          <w:lang w:val="lv-LV"/>
        </w:rPr>
        <w:t>iem)</w:t>
      </w:r>
      <w:r w:rsidRPr="00C77760">
        <w:rPr>
          <w:rFonts w:ascii="Times New Roman" w:hAnsi="Times New Roman"/>
          <w:b w:val="0"/>
          <w:sz w:val="20"/>
          <w:szCs w:val="24"/>
          <w:lang w:val="lv-LV"/>
        </w:rPr>
        <w:t>*</w:t>
      </w:r>
    </w:p>
    <w:p w14:paraId="63F61554" w14:textId="7E75B240" w:rsidR="006D5235" w:rsidRDefault="00677B8A" w:rsidP="006D5235">
      <w:pPr>
        <w:pStyle w:val="BodyTextIndent"/>
        <w:ind w:left="0" w:firstLine="0"/>
        <w:jc w:val="center"/>
      </w:pPr>
      <w:r>
        <w:rPr>
          <w:noProof/>
          <w:lang w:eastAsia="lv-LV"/>
        </w:rPr>
        <w:drawing>
          <wp:inline distT="0" distB="0" distL="0" distR="0" wp14:anchorId="0444371E" wp14:editId="798C6608">
            <wp:extent cx="5022215" cy="2627194"/>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7649D9" w14:textId="77777777" w:rsidR="006D5235" w:rsidRDefault="006D5235" w:rsidP="006D5235">
      <w:pPr>
        <w:spacing w:after="0"/>
        <w:ind w:firstLine="0"/>
        <w:rPr>
          <w:i/>
          <w:sz w:val="16"/>
          <w:szCs w:val="16"/>
        </w:rPr>
      </w:pPr>
      <w:r w:rsidRPr="00F21DEE">
        <w:rPr>
          <w:i/>
          <w:sz w:val="16"/>
          <w:szCs w:val="16"/>
        </w:rPr>
        <w:t xml:space="preserve">* </w:t>
      </w:r>
      <w:r w:rsidRPr="00432898">
        <w:rPr>
          <w:i/>
          <w:sz w:val="16"/>
          <w:szCs w:val="16"/>
        </w:rPr>
        <w:t xml:space="preserve">aprēķinos izmantoti valsts budžeta pieprasījumu </w:t>
      </w:r>
      <w:r>
        <w:rPr>
          <w:i/>
          <w:sz w:val="16"/>
          <w:szCs w:val="16"/>
        </w:rPr>
        <w:t>2021</w:t>
      </w:r>
      <w:r w:rsidRPr="00432898">
        <w:rPr>
          <w:i/>
          <w:sz w:val="16"/>
          <w:szCs w:val="16"/>
        </w:rPr>
        <w:t>.</w:t>
      </w:r>
      <w:r>
        <w:rPr>
          <w:i/>
          <w:sz w:val="16"/>
          <w:szCs w:val="16"/>
        </w:rPr>
        <w:t xml:space="preserve"> – </w:t>
      </w:r>
      <w:r w:rsidRPr="00432898">
        <w:rPr>
          <w:i/>
          <w:sz w:val="16"/>
          <w:szCs w:val="16"/>
        </w:rPr>
        <w:t>202</w:t>
      </w:r>
      <w:r>
        <w:rPr>
          <w:i/>
          <w:sz w:val="16"/>
          <w:szCs w:val="16"/>
        </w:rPr>
        <w:t>3</w:t>
      </w:r>
      <w:r w:rsidRPr="00432898">
        <w:rPr>
          <w:i/>
          <w:sz w:val="16"/>
          <w:szCs w:val="16"/>
        </w:rPr>
        <w:t>.</w:t>
      </w:r>
      <w:r>
        <w:rPr>
          <w:i/>
          <w:sz w:val="16"/>
          <w:szCs w:val="16"/>
        </w:rPr>
        <w:t> </w:t>
      </w:r>
      <w:r w:rsidRPr="00432898">
        <w:rPr>
          <w:i/>
          <w:sz w:val="16"/>
          <w:szCs w:val="16"/>
        </w:rPr>
        <w:t>gadam sagatavošanai noteiktie ārvalstu valūtu maiņas kursi</w:t>
      </w:r>
    </w:p>
    <w:p w14:paraId="29FBEEFD" w14:textId="77777777" w:rsidR="006D5235" w:rsidRDefault="006D5235" w:rsidP="006D5235">
      <w:pPr>
        <w:spacing w:after="0"/>
        <w:ind w:firstLine="0"/>
        <w:rPr>
          <w:szCs w:val="26"/>
        </w:rPr>
      </w:pPr>
    </w:p>
    <w:p w14:paraId="410C1BA1" w14:textId="0B76EBC2" w:rsidR="006D5235" w:rsidRDefault="006D5235" w:rsidP="006D5235">
      <w:pPr>
        <w:rPr>
          <w:i/>
          <w:sz w:val="16"/>
          <w:szCs w:val="16"/>
        </w:rPr>
      </w:pPr>
      <w:r w:rsidRPr="004D5089">
        <w:rPr>
          <w:szCs w:val="26"/>
        </w:rPr>
        <w:t xml:space="preserve">Ņemot vērā ievērojamu aizņemšanās apjomu pieaugumu, ko izraisīja Covid-19 uzliesmojuma seku mazināšanai un ekonomikas atbalstam veicamo un plānoto pasākumu finansēšanas nepieciešamība, atbilstoši šī brīža prognozei </w:t>
      </w:r>
      <w:r>
        <w:rPr>
          <w:szCs w:val="26"/>
        </w:rPr>
        <w:t xml:space="preserve">2020.gadā </w:t>
      </w:r>
      <w:r w:rsidRPr="004D5089">
        <w:rPr>
          <w:szCs w:val="26"/>
        </w:rPr>
        <w:t>sagaidāms</w:t>
      </w:r>
      <w:r w:rsidRPr="00653299">
        <w:t xml:space="preserve"> </w:t>
      </w:r>
      <w:r>
        <w:t xml:space="preserve">valsts parāda </w:t>
      </w:r>
      <w:r w:rsidRPr="00653299">
        <w:rPr>
          <w:szCs w:val="26"/>
        </w:rPr>
        <w:t>pieaugums salīdzinājumā ar 2019. gada valsts parāda līmeni</w:t>
      </w:r>
      <w:r w:rsidRPr="004D5089">
        <w:rPr>
          <w:szCs w:val="26"/>
        </w:rPr>
        <w:t xml:space="preserve"> (sk. </w:t>
      </w:r>
      <w:r w:rsidR="00F47A9F">
        <w:rPr>
          <w:szCs w:val="26"/>
        </w:rPr>
        <w:t>6.</w:t>
      </w:r>
      <w:r w:rsidRPr="004D5089">
        <w:rPr>
          <w:szCs w:val="26"/>
        </w:rPr>
        <w:t>4.</w:t>
      </w:r>
      <w:r w:rsidR="00F47A9F">
        <w:rPr>
          <w:szCs w:val="26"/>
        </w:rPr>
        <w:t xml:space="preserve"> </w:t>
      </w:r>
      <w:r w:rsidRPr="004D5089">
        <w:rPr>
          <w:szCs w:val="26"/>
        </w:rPr>
        <w:t>attēlu)</w:t>
      </w:r>
      <w:r>
        <w:rPr>
          <w:szCs w:val="26"/>
        </w:rPr>
        <w:t xml:space="preserve">. </w:t>
      </w:r>
      <w:r w:rsidRPr="00653299">
        <w:rPr>
          <w:szCs w:val="26"/>
        </w:rPr>
        <w:t>Pēc 2020. gad</w:t>
      </w:r>
      <w:r>
        <w:rPr>
          <w:szCs w:val="26"/>
        </w:rPr>
        <w:t>a beigās</w:t>
      </w:r>
      <w:r w:rsidRPr="00653299">
        <w:rPr>
          <w:szCs w:val="26"/>
        </w:rPr>
        <w:t xml:space="preserve"> un 2021. gadā plānotās valsts parāda atmaksas</w:t>
      </w:r>
      <w:r>
        <w:rPr>
          <w:szCs w:val="26"/>
        </w:rPr>
        <w:t>, kā arī stabilizējoties situācijai sakarā ar Covid-19 uzliesmojuma ietekmi uz valsts budžeta fiskālajiem radītajiem,</w:t>
      </w:r>
      <w:r w:rsidRPr="00653299">
        <w:rPr>
          <w:szCs w:val="26"/>
        </w:rPr>
        <w:t xml:space="preserve"> </w:t>
      </w:r>
      <w:r>
        <w:rPr>
          <w:szCs w:val="26"/>
        </w:rPr>
        <w:t xml:space="preserve">sagaidāms, ka </w:t>
      </w:r>
      <w:r w:rsidRPr="00653299">
        <w:rPr>
          <w:szCs w:val="26"/>
        </w:rPr>
        <w:t xml:space="preserve">valsts parāda apjoms </w:t>
      </w:r>
      <w:r>
        <w:rPr>
          <w:szCs w:val="26"/>
        </w:rPr>
        <w:t xml:space="preserve">sākot ar </w:t>
      </w:r>
      <w:r w:rsidRPr="00653299">
        <w:rPr>
          <w:szCs w:val="26"/>
        </w:rPr>
        <w:t>2021. gad</w:t>
      </w:r>
      <w:r>
        <w:rPr>
          <w:szCs w:val="26"/>
        </w:rPr>
        <w:t>u</w:t>
      </w:r>
      <w:r w:rsidRPr="00653299">
        <w:rPr>
          <w:szCs w:val="26"/>
        </w:rPr>
        <w:t xml:space="preserve"> </w:t>
      </w:r>
      <w:r>
        <w:rPr>
          <w:szCs w:val="26"/>
        </w:rPr>
        <w:t xml:space="preserve">nedaudz </w:t>
      </w:r>
      <w:r w:rsidRPr="00653299">
        <w:rPr>
          <w:szCs w:val="26"/>
        </w:rPr>
        <w:t xml:space="preserve">samazināsies un stabilizēsies attiecībā pret iekšzemes kopproduktu </w:t>
      </w:r>
      <w:r>
        <w:rPr>
          <w:szCs w:val="26"/>
        </w:rPr>
        <w:t xml:space="preserve">vidējā termiņā </w:t>
      </w:r>
      <w:r w:rsidRPr="00653299">
        <w:rPr>
          <w:szCs w:val="26"/>
        </w:rPr>
        <w:t xml:space="preserve">(skat. </w:t>
      </w:r>
      <w:r w:rsidR="00F47A9F">
        <w:rPr>
          <w:szCs w:val="26"/>
        </w:rPr>
        <w:t>6.4. attēlu</w:t>
      </w:r>
      <w:r w:rsidRPr="00653299">
        <w:rPr>
          <w:szCs w:val="26"/>
        </w:rPr>
        <w:t>).</w:t>
      </w:r>
    </w:p>
    <w:p w14:paraId="44972422" w14:textId="5635B92C" w:rsidR="00902B54" w:rsidRDefault="004A0CB3" w:rsidP="00F47A9F">
      <w:pPr>
        <w:pStyle w:val="Heading2"/>
        <w:spacing w:before="240" w:after="120"/>
        <w:ind w:firstLine="0"/>
        <w:jc w:val="center"/>
        <w:rPr>
          <w:rFonts w:ascii="Times New Roman" w:hAnsi="Times New Roman" w:cs="Times New Roman"/>
          <w:b/>
          <w:color w:val="auto"/>
          <w:sz w:val="36"/>
          <w:szCs w:val="36"/>
        </w:rPr>
      </w:pPr>
      <w:r w:rsidRPr="006E6D01">
        <w:rPr>
          <w:rFonts w:ascii="Times New Roman" w:hAnsi="Times New Roman" w:cs="Times New Roman"/>
          <w:b/>
          <w:color w:val="auto"/>
          <w:sz w:val="36"/>
          <w:szCs w:val="36"/>
        </w:rPr>
        <w:t xml:space="preserve">6.3. </w:t>
      </w:r>
      <w:r w:rsidR="00902B54" w:rsidRPr="006E6D01">
        <w:rPr>
          <w:rFonts w:ascii="Times New Roman" w:hAnsi="Times New Roman" w:cs="Times New Roman"/>
          <w:b/>
          <w:color w:val="auto"/>
          <w:sz w:val="36"/>
          <w:szCs w:val="36"/>
        </w:rPr>
        <w:t>Valsts parāda</w:t>
      </w:r>
      <w:r w:rsidR="004C5A8E">
        <w:rPr>
          <w:rFonts w:ascii="Times New Roman" w:hAnsi="Times New Roman" w:cs="Times New Roman"/>
          <w:b/>
          <w:color w:val="auto"/>
          <w:sz w:val="36"/>
          <w:szCs w:val="36"/>
        </w:rPr>
        <w:t xml:space="preserve"> procentu izdevumu prognoze 2021.-2023</w:t>
      </w:r>
      <w:r w:rsidR="00902B54" w:rsidRPr="006E6D01">
        <w:rPr>
          <w:rFonts w:ascii="Times New Roman" w:hAnsi="Times New Roman" w:cs="Times New Roman"/>
          <w:b/>
          <w:color w:val="auto"/>
          <w:sz w:val="36"/>
          <w:szCs w:val="36"/>
        </w:rPr>
        <w:t>.</w:t>
      </w:r>
      <w:r w:rsidR="00C5361B">
        <w:rPr>
          <w:rFonts w:ascii="Times New Roman" w:hAnsi="Times New Roman" w:cs="Times New Roman"/>
          <w:b/>
          <w:color w:val="auto"/>
          <w:sz w:val="36"/>
          <w:szCs w:val="36"/>
        </w:rPr>
        <w:t xml:space="preserve"> </w:t>
      </w:r>
      <w:r w:rsidR="00902B54" w:rsidRPr="006E6D01">
        <w:rPr>
          <w:rFonts w:ascii="Times New Roman" w:hAnsi="Times New Roman" w:cs="Times New Roman"/>
          <w:b/>
          <w:color w:val="auto"/>
          <w:sz w:val="36"/>
          <w:szCs w:val="36"/>
        </w:rPr>
        <w:t>gadam</w:t>
      </w:r>
    </w:p>
    <w:p w14:paraId="1D8B2478" w14:textId="69A2AF7D" w:rsidR="00F47A9F" w:rsidRPr="00FA3126" w:rsidRDefault="00F47A9F" w:rsidP="00F47A9F">
      <w:pPr>
        <w:pStyle w:val="BodyTextIndent"/>
        <w:ind w:left="0"/>
      </w:pPr>
      <w:r w:rsidRPr="00FA3126">
        <w:t xml:space="preserve">Procentu maksājumi par valsts parāda saistībām tiek veikti no Finanšu ministrijas pamatbudžeta apakšprogrammas 31.02.00 </w:t>
      </w:r>
      <w:r>
        <w:t>“</w:t>
      </w:r>
      <w:r w:rsidRPr="00FA3126">
        <w:t>Valsts parāda vadība”. Apakšprogrammas ietvaros veicamo valsts parāda procentu izdevumu prognozi 202</w:t>
      </w:r>
      <w:r>
        <w:t>0</w:t>
      </w:r>
      <w:r w:rsidRPr="00FA3126">
        <w:t>.</w:t>
      </w:r>
      <w:r>
        <w:t xml:space="preserve"> – </w:t>
      </w:r>
      <w:r w:rsidRPr="00FA3126">
        <w:t>202</w:t>
      </w:r>
      <w:r>
        <w:t>3</w:t>
      </w:r>
      <w:r w:rsidRPr="00FA3126">
        <w:t>.</w:t>
      </w:r>
      <w:r>
        <w:t xml:space="preserve"> </w:t>
      </w:r>
      <w:r w:rsidRPr="00FA3126">
        <w:t>gadam galvenokārt ietekmē iepriekš uzņemto valsts parāda saistību apkalpošanas (procentu) izdevumi</w:t>
      </w:r>
      <w:r>
        <w:t>,</w:t>
      </w:r>
      <w:r w:rsidRPr="00FA3126">
        <w:t xml:space="preserve"> procentu maksājumi par jauniem aizņēmumiem, kuri prognozēti </w:t>
      </w:r>
      <w:r>
        <w:t xml:space="preserve">kārtējā un </w:t>
      </w:r>
      <w:r w:rsidRPr="00FA3126">
        <w:t>nākamajos gados, ņemot vērā finansēšanas nepieciešamības novērtējumu un valsts</w:t>
      </w:r>
      <w:r>
        <w:t xml:space="preserve"> parāda atmaksas grafiku (skat. 6.</w:t>
      </w:r>
      <w:r w:rsidRPr="00FA3126">
        <w:t xml:space="preserve">1. un </w:t>
      </w:r>
      <w:r>
        <w:t>6.</w:t>
      </w:r>
      <w:r w:rsidRPr="00FA3126">
        <w:t>2.</w:t>
      </w:r>
      <w:r>
        <w:t xml:space="preserve"> </w:t>
      </w:r>
      <w:r w:rsidRPr="00FA3126">
        <w:t>tabulu)</w:t>
      </w:r>
      <w:r>
        <w:t>, kā arī valsts parāda portfeļa vadībai iepriekš noslēgtie atvasinātie finanšu instrumenti</w:t>
      </w:r>
      <w:r w:rsidRPr="00FA3126">
        <w:t>.</w:t>
      </w:r>
    </w:p>
    <w:p w14:paraId="7E02D726" w14:textId="150D118C" w:rsidR="00F47A9F" w:rsidRDefault="00F47A9F" w:rsidP="00F47A9F">
      <w:pPr>
        <w:ind w:firstLine="567"/>
        <w:rPr>
          <w:szCs w:val="24"/>
        </w:rPr>
      </w:pPr>
      <w:r w:rsidRPr="007D5C8C">
        <w:t xml:space="preserve">Iepriekšējos gados īstenotā aizņemšanās stratēģija, kā arī zemo procentu likmju periodā labvēlīgā brīdī finanšu tirgos veiktie aizņēmumi nodrošināja valsts parāda procentu izdevumu </w:t>
      </w:r>
      <w:r w:rsidRPr="007D5C8C">
        <w:lastRenderedPageBreak/>
        <w:t xml:space="preserve">samazināšanos pēdējos gados. </w:t>
      </w:r>
      <w:r>
        <w:t>V</w:t>
      </w:r>
      <w:r w:rsidRPr="007D5C8C">
        <w:t>alsts parāda procentu izdevumos būtiskāko daļu kopējā procentu izdevumu apjomā veido valsts ārējā parāda apkalpošanas izdevumi par iepriekš uzņemtajām valsts parāda saistībām</w:t>
      </w:r>
      <w:r>
        <w:t xml:space="preserve"> un plānotajiem aizņēmumiem starptautiskajos finanšu tirgos</w:t>
      </w:r>
      <w:r w:rsidRPr="007D5C8C">
        <w:t xml:space="preserve"> (skat. </w:t>
      </w:r>
      <w:r>
        <w:t>6.5. attēlu</w:t>
      </w:r>
      <w:r w:rsidRPr="007D5C8C">
        <w:t>).</w:t>
      </w:r>
      <w:r w:rsidRPr="007D5C8C" w:rsidDel="00B52E73">
        <w:t xml:space="preserve"> </w:t>
      </w:r>
      <w:r w:rsidRPr="00D52910">
        <w:t>Neskatoties uz ievērojamu aizņemšanās apjomu pieaugumu, ko izraisa Covid-19 uzliesmojuma seku mazināšanai un ekonomikas atbalstam veicamo un plānoto pasākumu finansēšanas nepieciešamība, iespēju samazināt vidējā termiņā plānotos procentu izdevumus nodrošina Covid-19 ietekmē vērojamas lejupvērstās procentu likmju tendences, kā arī aizņemšanās 2020.</w:t>
      </w:r>
      <w:r>
        <w:t xml:space="preserve"> </w:t>
      </w:r>
      <w:r w:rsidRPr="00D52910">
        <w:t xml:space="preserve">gadā uz īsākiem, nekā sākotnēji plānots, termiņiem un ar zemām </w:t>
      </w:r>
      <w:r>
        <w:t xml:space="preserve">(tuvu nullei) </w:t>
      </w:r>
      <w:r w:rsidRPr="00D52910">
        <w:t>procentu likmēm.</w:t>
      </w:r>
      <w:r w:rsidRPr="00AB302A">
        <w:rPr>
          <w:szCs w:val="24"/>
        </w:rPr>
        <w:t xml:space="preserve"> </w:t>
      </w:r>
    </w:p>
    <w:p w14:paraId="4E04B88D" w14:textId="05A52BB8" w:rsidR="00F47A9F" w:rsidRDefault="00F47A9F" w:rsidP="00F47A9F">
      <w:pPr>
        <w:spacing w:after="0"/>
        <w:ind w:firstLine="567"/>
      </w:pPr>
      <w:r w:rsidRPr="00601087">
        <w:rPr>
          <w:szCs w:val="24"/>
        </w:rPr>
        <w:t>Covid-19 ietekmē vērojamas būtiskas izmaiņas procentu likmju dinamikā un</w:t>
      </w:r>
      <w:r>
        <w:rPr>
          <w:szCs w:val="24"/>
        </w:rPr>
        <w:t>,</w:t>
      </w:r>
      <w:r w:rsidRPr="00601087">
        <w:rPr>
          <w:szCs w:val="24"/>
        </w:rPr>
        <w:t xml:space="preserve"> ņemot vērā 2020.</w:t>
      </w:r>
      <w:r>
        <w:rPr>
          <w:szCs w:val="24"/>
        </w:rPr>
        <w:t xml:space="preserve"> </w:t>
      </w:r>
      <w:r w:rsidRPr="00601087">
        <w:rPr>
          <w:szCs w:val="24"/>
        </w:rPr>
        <w:t xml:space="preserve">gadā novēroto notikumu attīstību finanšu tirgos, </w:t>
      </w:r>
      <w:r>
        <w:rPr>
          <w:szCs w:val="24"/>
        </w:rPr>
        <w:t>neordināru un tūlītēju liela apjoma monetāro institūciju pasākumu realizāciju situācijas stabilizācijai,</w:t>
      </w:r>
      <w:r w:rsidRPr="00601087">
        <w:rPr>
          <w:szCs w:val="24"/>
        </w:rPr>
        <w:t xml:space="preserve"> procentu likmju samazināšanās tendences un institūciju paziņojumus par iespējamiem papildu pasākumiem C</w:t>
      </w:r>
      <w:r>
        <w:rPr>
          <w:szCs w:val="24"/>
        </w:rPr>
        <w:t>ovid</w:t>
      </w:r>
      <w:r w:rsidRPr="00601087">
        <w:rPr>
          <w:szCs w:val="24"/>
        </w:rPr>
        <w:t>-19 uzliesmojuma negatīvas ietekmes uz globālo ekonomiku seku pārvarēšanai</w:t>
      </w:r>
      <w:r>
        <w:rPr>
          <w:szCs w:val="24"/>
        </w:rPr>
        <w:t xml:space="preserve">, </w:t>
      </w:r>
      <w:r w:rsidRPr="00601087">
        <w:rPr>
          <w:szCs w:val="24"/>
        </w:rPr>
        <w:t xml:space="preserve">prognozējams, ka uzsāktie ekonomikas stabilizēšanas un atbalsta pasākumi procentu likmes </w:t>
      </w:r>
      <w:r>
        <w:rPr>
          <w:szCs w:val="24"/>
        </w:rPr>
        <w:t xml:space="preserve">turpinās </w:t>
      </w:r>
      <w:r w:rsidRPr="00601087">
        <w:rPr>
          <w:szCs w:val="24"/>
        </w:rPr>
        <w:t>uzturē</w:t>
      </w:r>
      <w:r>
        <w:rPr>
          <w:szCs w:val="24"/>
        </w:rPr>
        <w:t>t</w:t>
      </w:r>
      <w:r w:rsidRPr="00601087">
        <w:rPr>
          <w:szCs w:val="24"/>
        </w:rPr>
        <w:t xml:space="preserve"> zemos līmeņos</w:t>
      </w:r>
      <w:r>
        <w:rPr>
          <w:szCs w:val="24"/>
        </w:rPr>
        <w:t xml:space="preserve"> vēl pārskatāmā nākotnē, ļaujot veikt resursu piesaisti ar īpaši labvēlīgiem nosacījumiem</w:t>
      </w:r>
      <w:r w:rsidRPr="00601087">
        <w:rPr>
          <w:szCs w:val="24"/>
        </w:rPr>
        <w:t xml:space="preserve">. </w:t>
      </w:r>
      <w:r w:rsidRPr="007D5C8C">
        <w:t xml:space="preserve">Aizņemšanos vidējā termiņā plānots nodrošināt galvenokārt ar publiskām ilgtermiņa etalona eiroobligāciju emisijām, atbilstoši Valsts parāda un naudas līdzekļu vadības stratēģijai </w:t>
      </w:r>
      <w:r>
        <w:t>uzturot</w:t>
      </w:r>
      <w:r w:rsidRPr="007D5C8C">
        <w:t xml:space="preserve"> iespēja</w:t>
      </w:r>
      <w:r>
        <w:t>mi</w:t>
      </w:r>
      <w:r w:rsidRPr="007D5C8C">
        <w:t xml:space="preserve"> liel</w:t>
      </w:r>
      <w:r>
        <w:t>u</w:t>
      </w:r>
      <w:r w:rsidRPr="007D5C8C">
        <w:t xml:space="preserve"> elastību aizņemšanās nosacījumu izvēlē</w:t>
      </w:r>
      <w:r>
        <w:t xml:space="preserve">, lai </w:t>
      </w:r>
      <w:r w:rsidRPr="00AB0E02">
        <w:t>fiksētu zemas valsts parāda apkalpošanas izmaksas ilgtermiņā</w:t>
      </w:r>
      <w:r w:rsidRPr="007D5C8C">
        <w:t>.</w:t>
      </w:r>
    </w:p>
    <w:p w14:paraId="4365C434" w14:textId="77E8DE51" w:rsidR="00F47A9F" w:rsidRPr="00FE7FE5" w:rsidRDefault="00C5770E" w:rsidP="00F47A9F">
      <w:pPr>
        <w:pStyle w:val="tabvirsr"/>
        <w:spacing w:before="240" w:after="120"/>
        <w:rPr>
          <w:rFonts w:ascii="Times New Roman" w:hAnsi="Times New Roman"/>
          <w:i/>
          <w:sz w:val="24"/>
          <w:szCs w:val="24"/>
          <w:lang w:val="lv-LV"/>
        </w:rPr>
      </w:pPr>
      <w:r>
        <w:rPr>
          <w:rFonts w:ascii="Times New Roman" w:hAnsi="Times New Roman"/>
          <w:i/>
          <w:sz w:val="24"/>
          <w:szCs w:val="24"/>
          <w:lang w:val="lv-LV"/>
        </w:rPr>
        <w:t>6.</w:t>
      </w:r>
      <w:r w:rsidR="00F47A9F" w:rsidRPr="00FE7FE5">
        <w:rPr>
          <w:rFonts w:ascii="Times New Roman" w:hAnsi="Times New Roman"/>
          <w:i/>
          <w:sz w:val="24"/>
          <w:szCs w:val="24"/>
          <w:lang w:val="lv-LV"/>
        </w:rPr>
        <w:t>5. att</w:t>
      </w:r>
      <w:r w:rsidR="00F47A9F">
        <w:rPr>
          <w:rFonts w:ascii="Times New Roman" w:hAnsi="Times New Roman"/>
          <w:i/>
          <w:sz w:val="24"/>
          <w:szCs w:val="24"/>
          <w:lang w:val="lv-LV"/>
        </w:rPr>
        <w:t>ēls</w:t>
      </w:r>
      <w:r w:rsidR="00F47A9F" w:rsidRPr="00FE7FE5">
        <w:rPr>
          <w:rFonts w:ascii="Times New Roman" w:hAnsi="Times New Roman"/>
          <w:i/>
          <w:sz w:val="24"/>
          <w:szCs w:val="24"/>
          <w:lang w:val="lv-LV"/>
        </w:rPr>
        <w:t xml:space="preserve"> </w:t>
      </w:r>
      <w:r w:rsidR="00F47A9F" w:rsidRPr="00F47A9F">
        <w:rPr>
          <w:rFonts w:ascii="Times New Roman" w:hAnsi="Times New Roman"/>
          <w:sz w:val="24"/>
          <w:szCs w:val="24"/>
          <w:lang w:val="lv-LV"/>
        </w:rPr>
        <w:t>Valsts parāda procentu izdevumu prognoze 2020. – 2023. gadam, milj.</w:t>
      </w:r>
      <w:r w:rsidR="00F47A9F" w:rsidRPr="00FE7FE5">
        <w:rPr>
          <w:rFonts w:ascii="Times New Roman" w:hAnsi="Times New Roman"/>
          <w:i/>
          <w:sz w:val="24"/>
          <w:szCs w:val="24"/>
          <w:lang w:val="lv-LV"/>
        </w:rPr>
        <w:t xml:space="preserve"> euro</w:t>
      </w:r>
    </w:p>
    <w:p w14:paraId="0860D10A" w14:textId="070A869B" w:rsidR="00F47A9F" w:rsidRDefault="00677B8A" w:rsidP="00F47A9F">
      <w:pPr>
        <w:pStyle w:val="tabvirsrturp"/>
        <w:rPr>
          <w:rFonts w:ascii="Times New Roman" w:hAnsi="Times New Roman"/>
          <w:sz w:val="20"/>
          <w:lang w:val="lv-LV"/>
        </w:rPr>
      </w:pPr>
      <w:r>
        <w:rPr>
          <w:rFonts w:ascii="Times New Roman" w:hAnsi="Times New Roman"/>
          <w:noProof/>
          <w:sz w:val="20"/>
          <w:lang w:val="lv-LV" w:eastAsia="lv-LV"/>
        </w:rPr>
        <w:drawing>
          <wp:inline distT="0" distB="0" distL="0" distR="0" wp14:anchorId="39DAAAFF" wp14:editId="14DEC571">
            <wp:extent cx="4594143" cy="2663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07187" cy="2670751"/>
                    </a:xfrm>
                    <a:prstGeom prst="rect">
                      <a:avLst/>
                    </a:prstGeom>
                    <a:noFill/>
                  </pic:spPr>
                </pic:pic>
              </a:graphicData>
            </a:graphic>
          </wp:inline>
        </w:drawing>
      </w:r>
    </w:p>
    <w:p w14:paraId="070E7001" w14:textId="77777777" w:rsidR="00F47A9F" w:rsidRPr="00197614" w:rsidRDefault="00F47A9F" w:rsidP="00F47A9F">
      <w:pPr>
        <w:pStyle w:val="teksts"/>
        <w:tabs>
          <w:tab w:val="left" w:pos="6237"/>
        </w:tabs>
        <w:spacing w:after="0"/>
        <w:rPr>
          <w:rFonts w:ascii="Times New Roman" w:hAnsi="Times New Roman"/>
          <w:i/>
          <w:sz w:val="18"/>
          <w:lang w:val="lv-LV"/>
        </w:rPr>
      </w:pPr>
      <w:r w:rsidRPr="00FE7FE5">
        <w:rPr>
          <w:rFonts w:ascii="Times New Roman" w:hAnsi="Times New Roman"/>
          <w:i/>
          <w:sz w:val="18"/>
          <w:lang w:val="lv-LV"/>
        </w:rPr>
        <w:t>* aprēķinos izmantoti valsts budžeta pieprasījumu 20</w:t>
      </w:r>
      <w:r>
        <w:rPr>
          <w:rFonts w:ascii="Times New Roman" w:hAnsi="Times New Roman"/>
          <w:i/>
          <w:sz w:val="18"/>
          <w:lang w:val="lv-LV"/>
        </w:rPr>
        <w:t>21</w:t>
      </w:r>
      <w:r w:rsidRPr="00FE7FE5">
        <w:rPr>
          <w:rFonts w:ascii="Times New Roman" w:hAnsi="Times New Roman"/>
          <w:i/>
          <w:sz w:val="18"/>
          <w:lang w:val="lv-LV"/>
        </w:rPr>
        <w:t>.</w:t>
      </w:r>
      <w:r>
        <w:rPr>
          <w:rFonts w:ascii="Times New Roman" w:hAnsi="Times New Roman"/>
          <w:i/>
          <w:sz w:val="18"/>
          <w:lang w:val="lv-LV"/>
        </w:rPr>
        <w:t xml:space="preserve"> – </w:t>
      </w:r>
      <w:r w:rsidRPr="00FE7FE5">
        <w:rPr>
          <w:rFonts w:ascii="Times New Roman" w:hAnsi="Times New Roman"/>
          <w:i/>
          <w:sz w:val="18"/>
          <w:lang w:val="lv-LV"/>
        </w:rPr>
        <w:t>202</w:t>
      </w:r>
      <w:r>
        <w:rPr>
          <w:rFonts w:ascii="Times New Roman" w:hAnsi="Times New Roman"/>
          <w:i/>
          <w:sz w:val="18"/>
          <w:lang w:val="lv-LV"/>
        </w:rPr>
        <w:t>3</w:t>
      </w:r>
      <w:r w:rsidRPr="00FE7FE5">
        <w:rPr>
          <w:rFonts w:ascii="Times New Roman" w:hAnsi="Times New Roman"/>
          <w:i/>
          <w:sz w:val="18"/>
          <w:lang w:val="lv-LV"/>
        </w:rPr>
        <w:t>. gadam sagatavošanai noteiktie ārvalstu valūtu</w:t>
      </w:r>
      <w:r w:rsidRPr="00197614">
        <w:rPr>
          <w:rFonts w:ascii="Times New Roman" w:hAnsi="Times New Roman"/>
          <w:i/>
          <w:sz w:val="18"/>
          <w:lang w:val="lv-LV"/>
        </w:rPr>
        <w:t xml:space="preserve"> maiņas kursi</w:t>
      </w:r>
      <w:r w:rsidRPr="00197614" w:rsidDel="00120C4D">
        <w:rPr>
          <w:i/>
          <w:sz w:val="18"/>
          <w:lang w:val="lv-LV"/>
        </w:rPr>
        <w:t xml:space="preserve"> </w:t>
      </w:r>
    </w:p>
    <w:p w14:paraId="4FEB8D23" w14:textId="77777777" w:rsidR="00F47A9F" w:rsidRPr="00197614" w:rsidRDefault="00F47A9F" w:rsidP="00F47A9F">
      <w:pPr>
        <w:pStyle w:val="teksts"/>
        <w:tabs>
          <w:tab w:val="left" w:pos="6237"/>
        </w:tabs>
        <w:spacing w:after="0"/>
        <w:rPr>
          <w:rFonts w:ascii="Times New Roman" w:hAnsi="Times New Roman"/>
          <w:i/>
          <w:sz w:val="18"/>
          <w:lang w:val="lv-LV"/>
        </w:rPr>
      </w:pPr>
      <w:r w:rsidRPr="00197614">
        <w:rPr>
          <w:rFonts w:ascii="Times New Roman" w:hAnsi="Times New Roman"/>
          <w:i/>
          <w:sz w:val="18"/>
          <w:lang w:val="lv-LV"/>
        </w:rPr>
        <w:t xml:space="preserve">** t.sk. procentu maksājumi kredītiestādēm no procentu maksājumiem piesaistītā atvasināto finanšu instrumentu rezultāta, procentu maksājumi par Valsts kases kontu atlikumiem un depozītiem, ja tiek piemērota negatīva procentu likme, procentu maksājumi valsts budžeta iestādēm, pašvaldībām un pārējiem ieguldītājiem par līdzekļu izvietošanu noguldījumos </w:t>
      </w:r>
      <w:r>
        <w:rPr>
          <w:rFonts w:ascii="Times New Roman" w:hAnsi="Times New Roman"/>
          <w:i/>
          <w:sz w:val="18"/>
          <w:lang w:val="lv-LV"/>
        </w:rPr>
        <w:t xml:space="preserve">un kontu atlikumos </w:t>
      </w:r>
      <w:r w:rsidRPr="00197614">
        <w:rPr>
          <w:rFonts w:ascii="Times New Roman" w:hAnsi="Times New Roman"/>
          <w:i/>
          <w:sz w:val="18"/>
          <w:lang w:val="lv-LV"/>
        </w:rPr>
        <w:t>Valsts kasē saskaņā ar noslēgtajiem līgumiem</w:t>
      </w:r>
    </w:p>
    <w:p w14:paraId="44FCF5A5" w14:textId="1C7399F5" w:rsidR="00902B54" w:rsidRDefault="004A0CB3" w:rsidP="00C5770E">
      <w:pPr>
        <w:pStyle w:val="Heading2"/>
        <w:spacing w:before="240" w:after="120"/>
        <w:ind w:firstLine="0"/>
        <w:jc w:val="center"/>
        <w:rPr>
          <w:rFonts w:ascii="Times New Roman" w:hAnsi="Times New Roman" w:cs="Times New Roman"/>
          <w:b/>
          <w:color w:val="auto"/>
          <w:sz w:val="36"/>
          <w:szCs w:val="36"/>
        </w:rPr>
      </w:pPr>
      <w:r w:rsidRPr="006E6D01">
        <w:rPr>
          <w:rFonts w:ascii="Times New Roman" w:hAnsi="Times New Roman" w:cs="Times New Roman"/>
          <w:b/>
          <w:color w:val="auto"/>
          <w:sz w:val="36"/>
          <w:szCs w:val="36"/>
        </w:rPr>
        <w:t xml:space="preserve">6.4. </w:t>
      </w:r>
      <w:r w:rsidR="00902B54" w:rsidRPr="006E6D01">
        <w:rPr>
          <w:rFonts w:ascii="Times New Roman" w:hAnsi="Times New Roman" w:cs="Times New Roman"/>
          <w:b/>
          <w:color w:val="auto"/>
          <w:sz w:val="36"/>
          <w:szCs w:val="36"/>
        </w:rPr>
        <w:t>Valsts galvojumu saistības</w:t>
      </w:r>
    </w:p>
    <w:p w14:paraId="6C2EC6EB" w14:textId="34C920D9" w:rsidR="00C5770E" w:rsidRDefault="00C5770E" w:rsidP="00C5770E">
      <w:pPr>
        <w:ind w:firstLine="720"/>
      </w:pPr>
      <w:r w:rsidRPr="00191386">
        <w:t>Kopējais valsts galvoto aizdevumu atlikums 20</w:t>
      </w:r>
      <w:r>
        <w:t>20</w:t>
      </w:r>
      <w:r w:rsidRPr="00191386">
        <w:t>.</w:t>
      </w:r>
      <w:r>
        <w:t xml:space="preserve"> </w:t>
      </w:r>
      <w:r w:rsidRPr="00191386">
        <w:t xml:space="preserve">gada </w:t>
      </w:r>
      <w:r>
        <w:t xml:space="preserve">augusta </w:t>
      </w:r>
      <w:r w:rsidRPr="00191386">
        <w:t xml:space="preserve">beigās bija </w:t>
      </w:r>
      <w:r>
        <w:t>483,9</w:t>
      </w:r>
      <w:r w:rsidRPr="00191386">
        <w:t xml:space="preserve"> milj. </w:t>
      </w:r>
      <w:r w:rsidRPr="007D652E">
        <w:rPr>
          <w:i/>
        </w:rPr>
        <w:t>euro</w:t>
      </w:r>
      <w:r>
        <w:t xml:space="preserve"> (t.sk. </w:t>
      </w:r>
      <w:r w:rsidRPr="007E62F0">
        <w:t>saistības, par kurām valsts galvojums sniegts portfeļgarantijas veidā</w:t>
      </w:r>
      <w:r>
        <w:t>)</w:t>
      </w:r>
      <w:r w:rsidRPr="00191386">
        <w:t xml:space="preserve">, kas ir par </w:t>
      </w:r>
      <w:r>
        <w:t>31,8</w:t>
      </w:r>
      <w:r w:rsidRPr="00191386">
        <w:t xml:space="preserve"> milj. </w:t>
      </w:r>
      <w:r w:rsidRPr="007D652E">
        <w:rPr>
          <w:i/>
        </w:rPr>
        <w:t>euro</w:t>
      </w:r>
      <w:r w:rsidRPr="00191386">
        <w:t xml:space="preserve"> </w:t>
      </w:r>
      <w:r>
        <w:t>mazāk</w:t>
      </w:r>
      <w:r w:rsidRPr="00191386">
        <w:t xml:space="preserve"> nekā 201</w:t>
      </w:r>
      <w:r>
        <w:t>9</w:t>
      </w:r>
      <w:r w:rsidRPr="00191386">
        <w:t>.</w:t>
      </w:r>
      <w:r>
        <w:t xml:space="preserve"> </w:t>
      </w:r>
      <w:r w:rsidRPr="00191386">
        <w:t>gada beigās.</w:t>
      </w:r>
      <w:r>
        <w:t xml:space="preserve"> 6.3. tabulā ir apkopota informācija par valsts galvoto aizdevumu pamatsummas atmaksām un procentu maksājumiem vidējā termiņā (skat. 6.3. tabulu).</w:t>
      </w:r>
    </w:p>
    <w:p w14:paraId="1AE8B9E5" w14:textId="77777777" w:rsidR="005A05B4" w:rsidRDefault="005A05B4" w:rsidP="0098149B">
      <w:pPr>
        <w:pStyle w:val="BodyTextIndent"/>
        <w:ind w:left="0" w:firstLine="0"/>
        <w:jc w:val="center"/>
        <w:rPr>
          <w:b/>
          <w:i/>
          <w:szCs w:val="24"/>
        </w:rPr>
      </w:pPr>
    </w:p>
    <w:p w14:paraId="2C6F5094" w14:textId="5CD60E20" w:rsidR="00C5770E" w:rsidRDefault="00C5770E" w:rsidP="0098149B">
      <w:pPr>
        <w:pStyle w:val="BodyTextIndent"/>
        <w:ind w:left="0" w:firstLine="0"/>
        <w:jc w:val="center"/>
        <w:rPr>
          <w:b/>
          <w:i/>
          <w:szCs w:val="24"/>
        </w:rPr>
      </w:pPr>
      <w:bookmarkStart w:id="0" w:name="_GoBack"/>
      <w:bookmarkEnd w:id="0"/>
      <w:r>
        <w:rPr>
          <w:b/>
          <w:i/>
          <w:szCs w:val="24"/>
        </w:rPr>
        <w:t>6.3</w:t>
      </w:r>
      <w:r w:rsidRPr="00DB3075">
        <w:rPr>
          <w:b/>
          <w:i/>
          <w:szCs w:val="24"/>
        </w:rPr>
        <w:t>.</w:t>
      </w:r>
      <w:r>
        <w:rPr>
          <w:b/>
          <w:i/>
          <w:szCs w:val="24"/>
        </w:rPr>
        <w:t xml:space="preserve"> </w:t>
      </w:r>
      <w:r w:rsidRPr="00DB3075">
        <w:rPr>
          <w:b/>
          <w:i/>
          <w:szCs w:val="24"/>
        </w:rPr>
        <w:t>tabula</w:t>
      </w:r>
      <w:r w:rsidRPr="00FF6EEB">
        <w:rPr>
          <w:b/>
          <w:i/>
          <w:szCs w:val="24"/>
        </w:rPr>
        <w:t xml:space="preserve"> </w:t>
      </w:r>
      <w:r w:rsidRPr="00C5770E">
        <w:rPr>
          <w:b/>
          <w:szCs w:val="24"/>
        </w:rPr>
        <w:t>Valsts galvoto aizdevumu saistības 2021.-2023.</w:t>
      </w:r>
      <w:r w:rsidR="0098783B">
        <w:rPr>
          <w:b/>
          <w:szCs w:val="24"/>
        </w:rPr>
        <w:t xml:space="preserve"> </w:t>
      </w:r>
      <w:r w:rsidRPr="00C5770E">
        <w:rPr>
          <w:b/>
          <w:szCs w:val="24"/>
        </w:rPr>
        <w:t>gadam, milj.</w:t>
      </w:r>
      <w:r w:rsidRPr="00FF6EEB">
        <w:rPr>
          <w:b/>
          <w:i/>
          <w:szCs w:val="24"/>
        </w:rPr>
        <w:t xml:space="preserve"> euro</w:t>
      </w:r>
      <w:r>
        <w:rPr>
          <w:b/>
          <w:i/>
          <w:szCs w:val="24"/>
        </w:rPr>
        <w:t>*</w:t>
      </w:r>
    </w:p>
    <w:tbl>
      <w:tblPr>
        <w:tblStyle w:val="TableGrid"/>
        <w:tblW w:w="0" w:type="auto"/>
        <w:tblLook w:val="04A0" w:firstRow="1" w:lastRow="0" w:firstColumn="1" w:lastColumn="0" w:noHBand="0" w:noVBand="1"/>
      </w:tblPr>
      <w:tblGrid>
        <w:gridCol w:w="4390"/>
        <w:gridCol w:w="1275"/>
        <w:gridCol w:w="1134"/>
        <w:gridCol w:w="1134"/>
        <w:gridCol w:w="1128"/>
      </w:tblGrid>
      <w:tr w:rsidR="0098149B" w:rsidRPr="0098149B" w14:paraId="1C20238E" w14:textId="77777777" w:rsidTr="000625AC">
        <w:tc>
          <w:tcPr>
            <w:tcW w:w="4390" w:type="dxa"/>
            <w:tcBorders>
              <w:bottom w:val="single" w:sz="4" w:space="0" w:color="auto"/>
            </w:tcBorders>
            <w:shd w:val="clear" w:color="auto" w:fill="D9D9D9" w:themeFill="background1" w:themeFillShade="D9"/>
            <w:vAlign w:val="center"/>
          </w:tcPr>
          <w:p w14:paraId="3FD9B6DA" w14:textId="1207B27C" w:rsidR="0098149B" w:rsidRPr="0098149B" w:rsidRDefault="0098149B" w:rsidP="0098149B">
            <w:pPr>
              <w:pStyle w:val="BodyTextIndent"/>
              <w:spacing w:after="0"/>
              <w:ind w:left="0" w:firstLine="0"/>
              <w:jc w:val="center"/>
              <w:rPr>
                <w:b/>
                <w:sz w:val="18"/>
              </w:rPr>
            </w:pPr>
            <w:r>
              <w:rPr>
                <w:b/>
                <w:sz w:val="18"/>
              </w:rPr>
              <w:lastRenderedPageBreak/>
              <w:t>Galvojuma saņēmējs</w:t>
            </w:r>
          </w:p>
        </w:tc>
        <w:tc>
          <w:tcPr>
            <w:tcW w:w="1275" w:type="dxa"/>
            <w:shd w:val="clear" w:color="auto" w:fill="D9D9D9" w:themeFill="background1" w:themeFillShade="D9"/>
            <w:vAlign w:val="center"/>
          </w:tcPr>
          <w:p w14:paraId="1E488FA1" w14:textId="06AAA69A" w:rsidR="0098149B" w:rsidRPr="0098149B" w:rsidRDefault="0098149B" w:rsidP="0098149B">
            <w:pPr>
              <w:pStyle w:val="BodyTextIndent"/>
              <w:spacing w:after="0"/>
              <w:ind w:left="0" w:firstLine="0"/>
              <w:jc w:val="center"/>
              <w:rPr>
                <w:b/>
                <w:sz w:val="18"/>
              </w:rPr>
            </w:pPr>
            <w:r w:rsidRPr="0098149B">
              <w:rPr>
                <w:b/>
                <w:sz w:val="18"/>
              </w:rPr>
              <w:t>Līguma summa</w:t>
            </w:r>
          </w:p>
        </w:tc>
        <w:tc>
          <w:tcPr>
            <w:tcW w:w="1134" w:type="dxa"/>
            <w:shd w:val="clear" w:color="auto" w:fill="D9D9D9" w:themeFill="background1" w:themeFillShade="D9"/>
            <w:vAlign w:val="center"/>
          </w:tcPr>
          <w:p w14:paraId="60BAE36F" w14:textId="52F31F69" w:rsidR="0098149B" w:rsidRPr="0098149B" w:rsidRDefault="0098149B" w:rsidP="0098149B">
            <w:pPr>
              <w:pStyle w:val="BodyTextIndent"/>
              <w:spacing w:after="0"/>
              <w:ind w:left="0" w:firstLine="0"/>
              <w:jc w:val="center"/>
              <w:rPr>
                <w:b/>
                <w:sz w:val="18"/>
              </w:rPr>
            </w:pPr>
            <w:r w:rsidRPr="0098149B">
              <w:rPr>
                <w:b/>
                <w:sz w:val="18"/>
              </w:rPr>
              <w:t>2021</w:t>
            </w:r>
          </w:p>
        </w:tc>
        <w:tc>
          <w:tcPr>
            <w:tcW w:w="1134" w:type="dxa"/>
            <w:shd w:val="clear" w:color="auto" w:fill="D9D9D9" w:themeFill="background1" w:themeFillShade="D9"/>
            <w:vAlign w:val="center"/>
          </w:tcPr>
          <w:p w14:paraId="7CB41241" w14:textId="7F075036" w:rsidR="0098149B" w:rsidRPr="0098149B" w:rsidRDefault="0098149B" w:rsidP="0098149B">
            <w:pPr>
              <w:pStyle w:val="BodyTextIndent"/>
              <w:spacing w:after="0"/>
              <w:ind w:left="0" w:firstLine="0"/>
              <w:jc w:val="center"/>
              <w:rPr>
                <w:b/>
                <w:sz w:val="18"/>
              </w:rPr>
            </w:pPr>
            <w:r w:rsidRPr="0098149B">
              <w:rPr>
                <w:b/>
                <w:sz w:val="18"/>
              </w:rPr>
              <w:t>2022</w:t>
            </w:r>
          </w:p>
        </w:tc>
        <w:tc>
          <w:tcPr>
            <w:tcW w:w="1128" w:type="dxa"/>
            <w:shd w:val="clear" w:color="auto" w:fill="D9D9D9" w:themeFill="background1" w:themeFillShade="D9"/>
            <w:vAlign w:val="center"/>
          </w:tcPr>
          <w:p w14:paraId="232D4E43" w14:textId="605442A2" w:rsidR="0098149B" w:rsidRPr="0098149B" w:rsidRDefault="0098149B" w:rsidP="0098149B">
            <w:pPr>
              <w:pStyle w:val="BodyTextIndent"/>
              <w:spacing w:after="0"/>
              <w:ind w:left="0" w:firstLine="0"/>
              <w:jc w:val="center"/>
              <w:rPr>
                <w:b/>
                <w:sz w:val="18"/>
              </w:rPr>
            </w:pPr>
            <w:r w:rsidRPr="0098149B">
              <w:rPr>
                <w:b/>
                <w:sz w:val="18"/>
              </w:rPr>
              <w:t>2023</w:t>
            </w:r>
          </w:p>
        </w:tc>
      </w:tr>
      <w:tr w:rsidR="0098149B" w:rsidRPr="0098149B" w14:paraId="26363BE0" w14:textId="77777777" w:rsidTr="0098149B">
        <w:tc>
          <w:tcPr>
            <w:tcW w:w="4390" w:type="dxa"/>
            <w:tcBorders>
              <w:top w:val="single" w:sz="4" w:space="0" w:color="auto"/>
              <w:left w:val="single" w:sz="4" w:space="0" w:color="auto"/>
              <w:bottom w:val="nil"/>
              <w:right w:val="single" w:sz="4" w:space="0" w:color="auto"/>
            </w:tcBorders>
          </w:tcPr>
          <w:p w14:paraId="1800AF71" w14:textId="326F0D3F" w:rsidR="0098149B" w:rsidRPr="0098149B" w:rsidRDefault="0098149B" w:rsidP="0098149B">
            <w:pPr>
              <w:pStyle w:val="BodyTextIndent"/>
              <w:spacing w:after="0"/>
              <w:ind w:left="0" w:firstLine="0"/>
              <w:jc w:val="center"/>
              <w:rPr>
                <w:sz w:val="18"/>
              </w:rPr>
            </w:pPr>
            <w:r>
              <w:rPr>
                <w:sz w:val="18"/>
              </w:rPr>
              <w:t>Latvijas Attīstības finanšu institūcija Altum (EIB)</w:t>
            </w:r>
          </w:p>
        </w:tc>
        <w:tc>
          <w:tcPr>
            <w:tcW w:w="1275" w:type="dxa"/>
            <w:vMerge w:val="restart"/>
            <w:tcBorders>
              <w:left w:val="single" w:sz="4" w:space="0" w:color="auto"/>
            </w:tcBorders>
            <w:vAlign w:val="center"/>
          </w:tcPr>
          <w:p w14:paraId="6D574602" w14:textId="6F60350C" w:rsidR="0098149B" w:rsidRPr="0098149B" w:rsidRDefault="0098149B" w:rsidP="0098149B">
            <w:pPr>
              <w:pStyle w:val="BodyTextIndent"/>
              <w:spacing w:after="0"/>
              <w:ind w:left="0" w:firstLine="0"/>
              <w:jc w:val="center"/>
              <w:rPr>
                <w:sz w:val="18"/>
              </w:rPr>
            </w:pPr>
            <w:r>
              <w:rPr>
                <w:sz w:val="18"/>
              </w:rPr>
              <w:t xml:space="preserve">100,000 </w:t>
            </w:r>
            <w:r w:rsidRPr="0098149B">
              <w:rPr>
                <w:i/>
                <w:sz w:val="18"/>
              </w:rPr>
              <w:t>euro</w:t>
            </w:r>
          </w:p>
        </w:tc>
        <w:tc>
          <w:tcPr>
            <w:tcW w:w="1134" w:type="dxa"/>
          </w:tcPr>
          <w:p w14:paraId="4825B143" w14:textId="77777777" w:rsidR="0098149B" w:rsidRPr="0098149B" w:rsidRDefault="0098149B" w:rsidP="0098149B">
            <w:pPr>
              <w:pStyle w:val="BodyTextIndent"/>
              <w:spacing w:after="0"/>
              <w:ind w:left="0" w:firstLine="0"/>
              <w:jc w:val="left"/>
              <w:rPr>
                <w:sz w:val="18"/>
              </w:rPr>
            </w:pPr>
          </w:p>
        </w:tc>
        <w:tc>
          <w:tcPr>
            <w:tcW w:w="1134" w:type="dxa"/>
          </w:tcPr>
          <w:p w14:paraId="690E3EF7" w14:textId="77777777" w:rsidR="0098149B" w:rsidRPr="0098149B" w:rsidRDefault="0098149B" w:rsidP="0098149B">
            <w:pPr>
              <w:pStyle w:val="BodyTextIndent"/>
              <w:spacing w:after="0"/>
              <w:ind w:left="0" w:firstLine="0"/>
              <w:jc w:val="left"/>
              <w:rPr>
                <w:sz w:val="18"/>
              </w:rPr>
            </w:pPr>
          </w:p>
        </w:tc>
        <w:tc>
          <w:tcPr>
            <w:tcW w:w="1128" w:type="dxa"/>
          </w:tcPr>
          <w:p w14:paraId="62926B96" w14:textId="77777777" w:rsidR="0098149B" w:rsidRPr="0098149B" w:rsidRDefault="0098149B" w:rsidP="0098149B">
            <w:pPr>
              <w:pStyle w:val="BodyTextIndent"/>
              <w:spacing w:after="0"/>
              <w:ind w:left="0" w:firstLine="0"/>
              <w:jc w:val="left"/>
              <w:rPr>
                <w:sz w:val="18"/>
              </w:rPr>
            </w:pPr>
          </w:p>
        </w:tc>
      </w:tr>
      <w:tr w:rsidR="0098149B" w:rsidRPr="0098149B" w14:paraId="03C680F1" w14:textId="77777777" w:rsidTr="0098149B">
        <w:tc>
          <w:tcPr>
            <w:tcW w:w="4390" w:type="dxa"/>
            <w:tcBorders>
              <w:top w:val="nil"/>
              <w:left w:val="single" w:sz="4" w:space="0" w:color="auto"/>
              <w:bottom w:val="nil"/>
              <w:right w:val="single" w:sz="4" w:space="0" w:color="auto"/>
            </w:tcBorders>
          </w:tcPr>
          <w:p w14:paraId="09A3C6D0" w14:textId="49136019" w:rsidR="0098149B" w:rsidRPr="00FB0A92" w:rsidRDefault="0098149B" w:rsidP="0098149B">
            <w:pPr>
              <w:pStyle w:val="BodyTextIndent"/>
              <w:spacing w:after="0"/>
              <w:ind w:left="0" w:firstLine="0"/>
              <w:jc w:val="left"/>
              <w:rPr>
                <w:sz w:val="18"/>
              </w:rPr>
            </w:pPr>
            <w:r w:rsidRPr="00FB0A92">
              <w:rPr>
                <w:sz w:val="18"/>
              </w:rPr>
              <w:t>Aizdevuma procenti</w:t>
            </w:r>
          </w:p>
        </w:tc>
        <w:tc>
          <w:tcPr>
            <w:tcW w:w="1275" w:type="dxa"/>
            <w:vMerge/>
            <w:tcBorders>
              <w:left w:val="single" w:sz="4" w:space="0" w:color="auto"/>
            </w:tcBorders>
          </w:tcPr>
          <w:p w14:paraId="6B0EC325" w14:textId="77777777" w:rsidR="0098149B" w:rsidRPr="0098149B" w:rsidRDefault="0098149B" w:rsidP="0098149B">
            <w:pPr>
              <w:pStyle w:val="BodyTextIndent"/>
              <w:spacing w:after="0"/>
              <w:ind w:left="0" w:firstLine="0"/>
              <w:jc w:val="left"/>
              <w:rPr>
                <w:sz w:val="18"/>
              </w:rPr>
            </w:pPr>
          </w:p>
        </w:tc>
        <w:tc>
          <w:tcPr>
            <w:tcW w:w="1134" w:type="dxa"/>
          </w:tcPr>
          <w:p w14:paraId="30615B61" w14:textId="2C3CB3F2" w:rsidR="0098149B" w:rsidRPr="0098149B" w:rsidRDefault="0098149B" w:rsidP="0098149B">
            <w:pPr>
              <w:pStyle w:val="BodyTextIndent"/>
              <w:spacing w:after="0"/>
              <w:ind w:left="0" w:firstLine="0"/>
              <w:jc w:val="right"/>
              <w:rPr>
                <w:sz w:val="18"/>
              </w:rPr>
            </w:pPr>
            <w:r>
              <w:rPr>
                <w:sz w:val="18"/>
              </w:rPr>
              <w:t xml:space="preserve">0,006 </w:t>
            </w:r>
            <w:r w:rsidRPr="0098149B">
              <w:rPr>
                <w:i/>
                <w:sz w:val="18"/>
              </w:rPr>
              <w:t>euro</w:t>
            </w:r>
          </w:p>
        </w:tc>
        <w:tc>
          <w:tcPr>
            <w:tcW w:w="1134" w:type="dxa"/>
          </w:tcPr>
          <w:p w14:paraId="21FB524F" w14:textId="22D436EF" w:rsidR="0098149B" w:rsidRPr="0098149B" w:rsidRDefault="0098149B" w:rsidP="0098149B">
            <w:pPr>
              <w:pStyle w:val="BodyTextIndent"/>
              <w:spacing w:after="0"/>
              <w:ind w:left="0" w:firstLine="0"/>
              <w:jc w:val="right"/>
              <w:rPr>
                <w:sz w:val="18"/>
              </w:rPr>
            </w:pPr>
            <w:r>
              <w:rPr>
                <w:sz w:val="18"/>
              </w:rPr>
              <w:t xml:space="preserve">0,001 </w:t>
            </w:r>
            <w:r w:rsidRPr="0098149B">
              <w:rPr>
                <w:i/>
                <w:sz w:val="18"/>
              </w:rPr>
              <w:t>euro</w:t>
            </w:r>
          </w:p>
        </w:tc>
        <w:tc>
          <w:tcPr>
            <w:tcW w:w="1128" w:type="dxa"/>
          </w:tcPr>
          <w:p w14:paraId="419171C6" w14:textId="0FBAB0AA" w:rsidR="0098149B" w:rsidRPr="0098149B" w:rsidRDefault="0098149B" w:rsidP="0098149B">
            <w:pPr>
              <w:pStyle w:val="BodyTextIndent"/>
              <w:spacing w:after="0"/>
              <w:ind w:left="0" w:firstLine="0"/>
              <w:jc w:val="right"/>
              <w:rPr>
                <w:sz w:val="18"/>
              </w:rPr>
            </w:pPr>
            <w:r>
              <w:rPr>
                <w:sz w:val="18"/>
              </w:rPr>
              <w:t xml:space="preserve">0,000 </w:t>
            </w:r>
            <w:r w:rsidRPr="0098149B">
              <w:rPr>
                <w:i/>
                <w:sz w:val="18"/>
              </w:rPr>
              <w:t>euro</w:t>
            </w:r>
          </w:p>
        </w:tc>
      </w:tr>
      <w:tr w:rsidR="0098149B" w:rsidRPr="0098149B" w14:paraId="33D218ED" w14:textId="77777777" w:rsidTr="00FB0A92">
        <w:tc>
          <w:tcPr>
            <w:tcW w:w="4390" w:type="dxa"/>
            <w:tcBorders>
              <w:top w:val="nil"/>
              <w:left w:val="single" w:sz="4" w:space="0" w:color="auto"/>
              <w:bottom w:val="single" w:sz="4" w:space="0" w:color="auto"/>
              <w:right w:val="single" w:sz="4" w:space="0" w:color="auto"/>
            </w:tcBorders>
          </w:tcPr>
          <w:p w14:paraId="714D4004" w14:textId="272D64FE" w:rsidR="0098149B" w:rsidRPr="00FB0A92" w:rsidRDefault="0098149B" w:rsidP="0098149B">
            <w:pPr>
              <w:pStyle w:val="BodyTextIndent"/>
              <w:spacing w:after="0"/>
              <w:ind w:left="0" w:firstLine="0"/>
              <w:jc w:val="left"/>
              <w:rPr>
                <w:sz w:val="18"/>
              </w:rPr>
            </w:pPr>
            <w:r w:rsidRPr="00FB0A92">
              <w:rPr>
                <w:sz w:val="18"/>
              </w:rPr>
              <w:t>Pamatsumma</w:t>
            </w:r>
          </w:p>
        </w:tc>
        <w:tc>
          <w:tcPr>
            <w:tcW w:w="1275" w:type="dxa"/>
            <w:vMerge/>
            <w:tcBorders>
              <w:left w:val="single" w:sz="4" w:space="0" w:color="auto"/>
            </w:tcBorders>
          </w:tcPr>
          <w:p w14:paraId="3B9DC893" w14:textId="77777777" w:rsidR="0098149B" w:rsidRPr="0098149B" w:rsidRDefault="0098149B" w:rsidP="0098149B">
            <w:pPr>
              <w:pStyle w:val="BodyTextIndent"/>
              <w:spacing w:after="0"/>
              <w:ind w:left="0" w:firstLine="0"/>
              <w:jc w:val="left"/>
              <w:rPr>
                <w:sz w:val="18"/>
              </w:rPr>
            </w:pPr>
          </w:p>
        </w:tc>
        <w:tc>
          <w:tcPr>
            <w:tcW w:w="1134" w:type="dxa"/>
          </w:tcPr>
          <w:p w14:paraId="2F247144" w14:textId="3AF5AAB8" w:rsidR="0098149B" w:rsidRPr="0098149B" w:rsidRDefault="0098149B" w:rsidP="0098149B">
            <w:pPr>
              <w:pStyle w:val="BodyTextIndent"/>
              <w:spacing w:after="0"/>
              <w:ind w:left="0" w:firstLine="0"/>
              <w:jc w:val="right"/>
              <w:rPr>
                <w:sz w:val="18"/>
              </w:rPr>
            </w:pPr>
            <w:r>
              <w:rPr>
                <w:sz w:val="18"/>
              </w:rPr>
              <w:t xml:space="preserve">5,556 </w:t>
            </w:r>
            <w:r w:rsidRPr="0098149B">
              <w:rPr>
                <w:i/>
                <w:sz w:val="18"/>
              </w:rPr>
              <w:t>euro</w:t>
            </w:r>
          </w:p>
        </w:tc>
        <w:tc>
          <w:tcPr>
            <w:tcW w:w="1134" w:type="dxa"/>
          </w:tcPr>
          <w:p w14:paraId="241A0A95" w14:textId="2AB63ED0" w:rsidR="0098149B" w:rsidRPr="0098149B" w:rsidRDefault="0098149B" w:rsidP="0098149B">
            <w:pPr>
              <w:pStyle w:val="BodyTextIndent"/>
              <w:spacing w:after="0"/>
              <w:ind w:left="0" w:firstLine="0"/>
              <w:jc w:val="right"/>
              <w:rPr>
                <w:sz w:val="18"/>
              </w:rPr>
            </w:pPr>
            <w:r>
              <w:rPr>
                <w:sz w:val="18"/>
              </w:rPr>
              <w:t xml:space="preserve">2,778 </w:t>
            </w:r>
            <w:r w:rsidRPr="0098149B">
              <w:rPr>
                <w:i/>
                <w:sz w:val="18"/>
              </w:rPr>
              <w:t>euro</w:t>
            </w:r>
          </w:p>
        </w:tc>
        <w:tc>
          <w:tcPr>
            <w:tcW w:w="1128" w:type="dxa"/>
          </w:tcPr>
          <w:p w14:paraId="1614B78B" w14:textId="5273010E" w:rsidR="0098149B" w:rsidRPr="0098149B" w:rsidRDefault="0098149B" w:rsidP="0098149B">
            <w:pPr>
              <w:pStyle w:val="BodyTextIndent"/>
              <w:spacing w:after="0"/>
              <w:ind w:left="0" w:firstLine="0"/>
              <w:jc w:val="right"/>
              <w:rPr>
                <w:sz w:val="18"/>
              </w:rPr>
            </w:pPr>
            <w:r>
              <w:rPr>
                <w:sz w:val="18"/>
              </w:rPr>
              <w:t xml:space="preserve">0,000 </w:t>
            </w:r>
            <w:r w:rsidRPr="0098149B">
              <w:rPr>
                <w:i/>
                <w:sz w:val="18"/>
              </w:rPr>
              <w:t>euro</w:t>
            </w:r>
          </w:p>
        </w:tc>
      </w:tr>
      <w:tr w:rsidR="00CD2710" w:rsidRPr="0098149B" w14:paraId="33DC8FD2" w14:textId="77777777" w:rsidTr="00FB0A92">
        <w:tc>
          <w:tcPr>
            <w:tcW w:w="4390" w:type="dxa"/>
            <w:tcBorders>
              <w:top w:val="single" w:sz="4" w:space="0" w:color="auto"/>
              <w:left w:val="single" w:sz="4" w:space="0" w:color="auto"/>
              <w:bottom w:val="nil"/>
              <w:right w:val="single" w:sz="4" w:space="0" w:color="auto"/>
            </w:tcBorders>
          </w:tcPr>
          <w:p w14:paraId="1E13163D" w14:textId="3868192B" w:rsidR="00CD2710" w:rsidRPr="0098149B" w:rsidRDefault="00CD2710" w:rsidP="00CD2710">
            <w:pPr>
              <w:pStyle w:val="BodyTextIndent"/>
              <w:spacing w:after="0"/>
              <w:ind w:left="0" w:firstLine="0"/>
              <w:jc w:val="center"/>
              <w:rPr>
                <w:sz w:val="18"/>
              </w:rPr>
            </w:pPr>
            <w:r>
              <w:rPr>
                <w:sz w:val="18"/>
              </w:rPr>
              <w:t>Latvijas Olimpiskā Komiteja (SEB banka)</w:t>
            </w:r>
          </w:p>
        </w:tc>
        <w:tc>
          <w:tcPr>
            <w:tcW w:w="1275" w:type="dxa"/>
            <w:vMerge w:val="restart"/>
            <w:tcBorders>
              <w:left w:val="single" w:sz="4" w:space="0" w:color="auto"/>
            </w:tcBorders>
            <w:vAlign w:val="center"/>
          </w:tcPr>
          <w:p w14:paraId="5D48E957" w14:textId="602DFC02" w:rsidR="00CD2710" w:rsidRPr="0098149B" w:rsidRDefault="00CD2710" w:rsidP="00CD2710">
            <w:pPr>
              <w:pStyle w:val="BodyTextIndent"/>
              <w:spacing w:after="0"/>
              <w:ind w:left="0" w:firstLine="0"/>
              <w:jc w:val="center"/>
              <w:rPr>
                <w:sz w:val="18"/>
              </w:rPr>
            </w:pPr>
            <w:r>
              <w:rPr>
                <w:sz w:val="18"/>
              </w:rPr>
              <w:t xml:space="preserve">6,545 </w:t>
            </w:r>
            <w:r w:rsidRPr="00CD2710">
              <w:rPr>
                <w:i/>
                <w:sz w:val="18"/>
              </w:rPr>
              <w:t>euro</w:t>
            </w:r>
          </w:p>
        </w:tc>
        <w:tc>
          <w:tcPr>
            <w:tcW w:w="1134" w:type="dxa"/>
          </w:tcPr>
          <w:p w14:paraId="512C9DE0" w14:textId="77777777" w:rsidR="00CD2710" w:rsidRPr="0098149B" w:rsidRDefault="00CD2710" w:rsidP="00CD2710">
            <w:pPr>
              <w:pStyle w:val="BodyTextIndent"/>
              <w:spacing w:after="0"/>
              <w:ind w:left="0" w:firstLine="0"/>
              <w:jc w:val="right"/>
              <w:rPr>
                <w:sz w:val="18"/>
              </w:rPr>
            </w:pPr>
          </w:p>
        </w:tc>
        <w:tc>
          <w:tcPr>
            <w:tcW w:w="1134" w:type="dxa"/>
          </w:tcPr>
          <w:p w14:paraId="37B16A19" w14:textId="77777777" w:rsidR="00CD2710" w:rsidRPr="0098149B" w:rsidRDefault="00CD2710" w:rsidP="00CD2710">
            <w:pPr>
              <w:pStyle w:val="BodyTextIndent"/>
              <w:spacing w:after="0"/>
              <w:ind w:left="0" w:firstLine="0"/>
              <w:jc w:val="right"/>
              <w:rPr>
                <w:sz w:val="18"/>
              </w:rPr>
            </w:pPr>
          </w:p>
        </w:tc>
        <w:tc>
          <w:tcPr>
            <w:tcW w:w="1128" w:type="dxa"/>
          </w:tcPr>
          <w:p w14:paraId="2C40251D" w14:textId="77777777" w:rsidR="00CD2710" w:rsidRPr="0098149B" w:rsidRDefault="00CD2710" w:rsidP="00CD2710">
            <w:pPr>
              <w:pStyle w:val="BodyTextIndent"/>
              <w:spacing w:after="0"/>
              <w:ind w:left="0" w:firstLine="0"/>
              <w:jc w:val="right"/>
              <w:rPr>
                <w:sz w:val="18"/>
              </w:rPr>
            </w:pPr>
          </w:p>
        </w:tc>
      </w:tr>
      <w:tr w:rsidR="00CD2710" w:rsidRPr="0098149B" w14:paraId="65D5144E" w14:textId="77777777" w:rsidTr="00FB0A92">
        <w:tc>
          <w:tcPr>
            <w:tcW w:w="4390" w:type="dxa"/>
            <w:tcBorders>
              <w:top w:val="nil"/>
              <w:left w:val="single" w:sz="4" w:space="0" w:color="auto"/>
              <w:bottom w:val="nil"/>
              <w:right w:val="single" w:sz="4" w:space="0" w:color="auto"/>
            </w:tcBorders>
          </w:tcPr>
          <w:p w14:paraId="2F862D4D" w14:textId="14559AE8" w:rsidR="00CD2710" w:rsidRPr="00FB0A92" w:rsidRDefault="00CD2710" w:rsidP="00CD2710">
            <w:pPr>
              <w:pStyle w:val="BodyTextIndent"/>
              <w:spacing w:after="0"/>
              <w:ind w:left="0" w:firstLine="0"/>
              <w:jc w:val="left"/>
              <w:rPr>
                <w:sz w:val="18"/>
              </w:rPr>
            </w:pPr>
            <w:r w:rsidRPr="00FB0A92">
              <w:rPr>
                <w:sz w:val="18"/>
              </w:rPr>
              <w:t>Aizdevuma procenti</w:t>
            </w:r>
          </w:p>
        </w:tc>
        <w:tc>
          <w:tcPr>
            <w:tcW w:w="1275" w:type="dxa"/>
            <w:vMerge/>
            <w:tcBorders>
              <w:left w:val="single" w:sz="4" w:space="0" w:color="auto"/>
            </w:tcBorders>
          </w:tcPr>
          <w:p w14:paraId="4984BDC9" w14:textId="77777777" w:rsidR="00CD2710" w:rsidRPr="0098149B" w:rsidRDefault="00CD2710" w:rsidP="00CD2710">
            <w:pPr>
              <w:pStyle w:val="BodyTextIndent"/>
              <w:spacing w:after="0"/>
              <w:ind w:left="0" w:firstLine="0"/>
              <w:jc w:val="left"/>
              <w:rPr>
                <w:sz w:val="18"/>
              </w:rPr>
            </w:pPr>
          </w:p>
        </w:tc>
        <w:tc>
          <w:tcPr>
            <w:tcW w:w="1134" w:type="dxa"/>
          </w:tcPr>
          <w:p w14:paraId="0471A78F" w14:textId="524C6776" w:rsidR="00CD2710" w:rsidRPr="0098149B" w:rsidRDefault="00CD2710" w:rsidP="00CD2710">
            <w:pPr>
              <w:pStyle w:val="BodyTextIndent"/>
              <w:spacing w:after="0"/>
              <w:ind w:left="0" w:firstLine="0"/>
              <w:jc w:val="right"/>
              <w:rPr>
                <w:sz w:val="18"/>
              </w:rPr>
            </w:pPr>
            <w:r>
              <w:rPr>
                <w:sz w:val="18"/>
              </w:rPr>
              <w:t xml:space="preserve">0,001 </w:t>
            </w:r>
            <w:r w:rsidRPr="00CD2710">
              <w:rPr>
                <w:i/>
                <w:sz w:val="18"/>
              </w:rPr>
              <w:t>euro</w:t>
            </w:r>
          </w:p>
        </w:tc>
        <w:tc>
          <w:tcPr>
            <w:tcW w:w="1134" w:type="dxa"/>
          </w:tcPr>
          <w:p w14:paraId="1735BCC5" w14:textId="255A01DB" w:rsidR="00CD2710" w:rsidRPr="0098149B" w:rsidRDefault="00CD2710" w:rsidP="00CD2710">
            <w:pPr>
              <w:pStyle w:val="BodyTextIndent"/>
              <w:spacing w:after="0"/>
              <w:ind w:left="0" w:firstLine="0"/>
              <w:jc w:val="right"/>
              <w:rPr>
                <w:sz w:val="18"/>
              </w:rPr>
            </w:pPr>
            <w:r>
              <w:rPr>
                <w:sz w:val="18"/>
              </w:rPr>
              <w:t xml:space="preserve">0,001 </w:t>
            </w:r>
            <w:r w:rsidRPr="00CD2710">
              <w:rPr>
                <w:i/>
                <w:sz w:val="18"/>
              </w:rPr>
              <w:t>euro</w:t>
            </w:r>
          </w:p>
        </w:tc>
        <w:tc>
          <w:tcPr>
            <w:tcW w:w="1128" w:type="dxa"/>
          </w:tcPr>
          <w:p w14:paraId="03977E4D" w14:textId="3A406256" w:rsidR="00CD2710" w:rsidRPr="0098149B" w:rsidRDefault="00CD2710" w:rsidP="00CD2710">
            <w:pPr>
              <w:pStyle w:val="BodyTextIndent"/>
              <w:spacing w:after="0"/>
              <w:ind w:left="0" w:firstLine="0"/>
              <w:jc w:val="right"/>
              <w:rPr>
                <w:sz w:val="18"/>
              </w:rPr>
            </w:pPr>
            <w:r>
              <w:rPr>
                <w:sz w:val="18"/>
              </w:rPr>
              <w:t xml:space="preserve">0,000 </w:t>
            </w:r>
            <w:r w:rsidRPr="00CD2710">
              <w:rPr>
                <w:i/>
                <w:sz w:val="18"/>
              </w:rPr>
              <w:t>euro</w:t>
            </w:r>
          </w:p>
        </w:tc>
      </w:tr>
      <w:tr w:rsidR="00CD2710" w:rsidRPr="0098149B" w14:paraId="4C69B13A" w14:textId="77777777" w:rsidTr="00FB0A92">
        <w:tc>
          <w:tcPr>
            <w:tcW w:w="4390" w:type="dxa"/>
            <w:tcBorders>
              <w:top w:val="nil"/>
              <w:left w:val="single" w:sz="4" w:space="0" w:color="auto"/>
              <w:bottom w:val="single" w:sz="4" w:space="0" w:color="auto"/>
              <w:right w:val="single" w:sz="4" w:space="0" w:color="auto"/>
            </w:tcBorders>
          </w:tcPr>
          <w:p w14:paraId="3A78E75A" w14:textId="332480E9" w:rsidR="00CD2710" w:rsidRPr="00FB0A92" w:rsidRDefault="00CD2710" w:rsidP="00CD2710">
            <w:pPr>
              <w:pStyle w:val="BodyTextIndent"/>
              <w:spacing w:after="0"/>
              <w:ind w:left="0" w:firstLine="0"/>
              <w:jc w:val="left"/>
              <w:rPr>
                <w:sz w:val="18"/>
              </w:rPr>
            </w:pPr>
            <w:r w:rsidRPr="00FB0A92">
              <w:rPr>
                <w:sz w:val="18"/>
              </w:rPr>
              <w:t>Pamatsumma</w:t>
            </w:r>
          </w:p>
        </w:tc>
        <w:tc>
          <w:tcPr>
            <w:tcW w:w="1275" w:type="dxa"/>
            <w:vMerge/>
            <w:tcBorders>
              <w:left w:val="single" w:sz="4" w:space="0" w:color="auto"/>
            </w:tcBorders>
          </w:tcPr>
          <w:p w14:paraId="4B503A91" w14:textId="77777777" w:rsidR="00CD2710" w:rsidRPr="0098149B" w:rsidRDefault="00CD2710" w:rsidP="00CD2710">
            <w:pPr>
              <w:pStyle w:val="BodyTextIndent"/>
              <w:spacing w:after="0"/>
              <w:ind w:left="0" w:firstLine="0"/>
              <w:jc w:val="left"/>
              <w:rPr>
                <w:sz w:val="18"/>
              </w:rPr>
            </w:pPr>
          </w:p>
        </w:tc>
        <w:tc>
          <w:tcPr>
            <w:tcW w:w="1134" w:type="dxa"/>
          </w:tcPr>
          <w:p w14:paraId="5FE3A278" w14:textId="675A0425" w:rsidR="00CD2710" w:rsidRPr="0098149B" w:rsidRDefault="00CD2710" w:rsidP="00CD2710">
            <w:pPr>
              <w:pStyle w:val="BodyTextIndent"/>
              <w:spacing w:after="0"/>
              <w:ind w:left="0" w:firstLine="0"/>
              <w:jc w:val="right"/>
              <w:rPr>
                <w:sz w:val="18"/>
              </w:rPr>
            </w:pPr>
            <w:r>
              <w:rPr>
                <w:sz w:val="18"/>
              </w:rPr>
              <w:t xml:space="preserve">0,385 </w:t>
            </w:r>
            <w:r w:rsidRPr="00CD2710">
              <w:rPr>
                <w:i/>
                <w:sz w:val="18"/>
              </w:rPr>
              <w:t>euro</w:t>
            </w:r>
          </w:p>
        </w:tc>
        <w:tc>
          <w:tcPr>
            <w:tcW w:w="1134" w:type="dxa"/>
          </w:tcPr>
          <w:p w14:paraId="3ADCAE9C" w14:textId="46D6671B" w:rsidR="00CD2710" w:rsidRPr="0098149B" w:rsidRDefault="00CD2710" w:rsidP="00CD2710">
            <w:pPr>
              <w:pStyle w:val="BodyTextIndent"/>
              <w:spacing w:after="0"/>
              <w:ind w:left="0" w:firstLine="0"/>
              <w:jc w:val="right"/>
              <w:rPr>
                <w:sz w:val="18"/>
              </w:rPr>
            </w:pPr>
            <w:r>
              <w:rPr>
                <w:sz w:val="18"/>
              </w:rPr>
              <w:t xml:space="preserve">0,385 </w:t>
            </w:r>
            <w:r w:rsidRPr="00CD2710">
              <w:rPr>
                <w:i/>
                <w:sz w:val="18"/>
              </w:rPr>
              <w:t>euro</w:t>
            </w:r>
          </w:p>
        </w:tc>
        <w:tc>
          <w:tcPr>
            <w:tcW w:w="1128" w:type="dxa"/>
          </w:tcPr>
          <w:p w14:paraId="3F23686B" w14:textId="1915E6DC" w:rsidR="00CD2710" w:rsidRPr="0098149B" w:rsidRDefault="00CD2710" w:rsidP="00CD2710">
            <w:pPr>
              <w:pStyle w:val="BodyTextIndent"/>
              <w:spacing w:after="0"/>
              <w:ind w:left="0" w:firstLine="0"/>
              <w:jc w:val="right"/>
              <w:rPr>
                <w:sz w:val="18"/>
              </w:rPr>
            </w:pPr>
            <w:r>
              <w:rPr>
                <w:sz w:val="18"/>
              </w:rPr>
              <w:t xml:space="preserve">0,385 </w:t>
            </w:r>
            <w:r w:rsidRPr="00CD2710">
              <w:rPr>
                <w:i/>
                <w:sz w:val="18"/>
              </w:rPr>
              <w:t>euro</w:t>
            </w:r>
          </w:p>
        </w:tc>
      </w:tr>
      <w:tr w:rsidR="00CD2710" w:rsidRPr="0098149B" w14:paraId="0973E176" w14:textId="77777777" w:rsidTr="00FB0A92">
        <w:tc>
          <w:tcPr>
            <w:tcW w:w="4390" w:type="dxa"/>
            <w:tcBorders>
              <w:top w:val="single" w:sz="4" w:space="0" w:color="auto"/>
              <w:left w:val="single" w:sz="4" w:space="0" w:color="auto"/>
              <w:bottom w:val="nil"/>
              <w:right w:val="single" w:sz="4" w:space="0" w:color="auto"/>
            </w:tcBorders>
          </w:tcPr>
          <w:p w14:paraId="0DC0EE8B" w14:textId="506D7B8C" w:rsidR="00CD2710" w:rsidRPr="0098149B" w:rsidRDefault="00CD2710" w:rsidP="00CD2710">
            <w:pPr>
              <w:pStyle w:val="BodyTextIndent"/>
              <w:spacing w:after="0"/>
              <w:ind w:left="0" w:firstLine="0"/>
              <w:jc w:val="center"/>
              <w:rPr>
                <w:sz w:val="18"/>
              </w:rPr>
            </w:pPr>
            <w:r>
              <w:rPr>
                <w:sz w:val="18"/>
              </w:rPr>
              <w:t>Latvijas Olimpiskā Komiteja (SEB banka)</w:t>
            </w:r>
          </w:p>
        </w:tc>
        <w:tc>
          <w:tcPr>
            <w:tcW w:w="1275" w:type="dxa"/>
            <w:vMerge w:val="restart"/>
            <w:tcBorders>
              <w:left w:val="single" w:sz="4" w:space="0" w:color="auto"/>
            </w:tcBorders>
            <w:vAlign w:val="center"/>
          </w:tcPr>
          <w:p w14:paraId="3D8BF043" w14:textId="6011574F" w:rsidR="00CD2710" w:rsidRPr="0098149B" w:rsidRDefault="00CD2710" w:rsidP="00CD2710">
            <w:pPr>
              <w:pStyle w:val="BodyTextIndent"/>
              <w:spacing w:after="0"/>
              <w:ind w:left="0" w:firstLine="0"/>
              <w:jc w:val="center"/>
              <w:rPr>
                <w:sz w:val="18"/>
              </w:rPr>
            </w:pPr>
            <w:r>
              <w:rPr>
                <w:sz w:val="18"/>
              </w:rPr>
              <w:t xml:space="preserve">14,936 </w:t>
            </w:r>
            <w:r w:rsidRPr="00CD2710">
              <w:rPr>
                <w:i/>
                <w:sz w:val="18"/>
              </w:rPr>
              <w:t>euro</w:t>
            </w:r>
          </w:p>
        </w:tc>
        <w:tc>
          <w:tcPr>
            <w:tcW w:w="1134" w:type="dxa"/>
          </w:tcPr>
          <w:p w14:paraId="3C8D02CC" w14:textId="77777777" w:rsidR="00CD2710" w:rsidRPr="0098149B" w:rsidRDefault="00CD2710" w:rsidP="00CD2710">
            <w:pPr>
              <w:pStyle w:val="BodyTextIndent"/>
              <w:spacing w:after="0"/>
              <w:ind w:left="0" w:firstLine="0"/>
              <w:jc w:val="left"/>
              <w:rPr>
                <w:sz w:val="18"/>
              </w:rPr>
            </w:pPr>
          </w:p>
        </w:tc>
        <w:tc>
          <w:tcPr>
            <w:tcW w:w="1134" w:type="dxa"/>
          </w:tcPr>
          <w:p w14:paraId="08B11864" w14:textId="77777777" w:rsidR="00CD2710" w:rsidRPr="0098149B" w:rsidRDefault="00CD2710" w:rsidP="00CD2710">
            <w:pPr>
              <w:pStyle w:val="BodyTextIndent"/>
              <w:spacing w:after="0"/>
              <w:ind w:left="0" w:firstLine="0"/>
              <w:jc w:val="left"/>
              <w:rPr>
                <w:sz w:val="18"/>
              </w:rPr>
            </w:pPr>
          </w:p>
        </w:tc>
        <w:tc>
          <w:tcPr>
            <w:tcW w:w="1128" w:type="dxa"/>
          </w:tcPr>
          <w:p w14:paraId="0D01645C" w14:textId="77777777" w:rsidR="00CD2710" w:rsidRPr="0098149B" w:rsidRDefault="00CD2710" w:rsidP="00CD2710">
            <w:pPr>
              <w:pStyle w:val="BodyTextIndent"/>
              <w:spacing w:after="0"/>
              <w:ind w:left="0" w:firstLine="0"/>
              <w:jc w:val="left"/>
              <w:rPr>
                <w:sz w:val="18"/>
              </w:rPr>
            </w:pPr>
          </w:p>
        </w:tc>
      </w:tr>
      <w:tr w:rsidR="00CD2710" w:rsidRPr="0098149B" w14:paraId="2C7DF0D4" w14:textId="77777777" w:rsidTr="00FB0A92">
        <w:tc>
          <w:tcPr>
            <w:tcW w:w="4390" w:type="dxa"/>
            <w:tcBorders>
              <w:top w:val="nil"/>
              <w:left w:val="single" w:sz="4" w:space="0" w:color="auto"/>
              <w:bottom w:val="nil"/>
              <w:right w:val="single" w:sz="4" w:space="0" w:color="auto"/>
            </w:tcBorders>
          </w:tcPr>
          <w:p w14:paraId="4705733E" w14:textId="13298A72" w:rsidR="00CD2710" w:rsidRPr="00FB0A92" w:rsidRDefault="00CD2710" w:rsidP="00CD2710">
            <w:pPr>
              <w:pStyle w:val="BodyTextIndent"/>
              <w:spacing w:after="0"/>
              <w:ind w:left="0" w:firstLine="0"/>
              <w:jc w:val="left"/>
              <w:rPr>
                <w:sz w:val="18"/>
              </w:rPr>
            </w:pPr>
            <w:r w:rsidRPr="00FB0A92">
              <w:rPr>
                <w:sz w:val="18"/>
              </w:rPr>
              <w:t>Aizdevuma procenti</w:t>
            </w:r>
          </w:p>
        </w:tc>
        <w:tc>
          <w:tcPr>
            <w:tcW w:w="1275" w:type="dxa"/>
            <w:vMerge/>
            <w:tcBorders>
              <w:left w:val="single" w:sz="4" w:space="0" w:color="auto"/>
            </w:tcBorders>
          </w:tcPr>
          <w:p w14:paraId="3722EA64" w14:textId="77777777" w:rsidR="00CD2710" w:rsidRPr="0098149B" w:rsidRDefault="00CD2710" w:rsidP="00CD2710">
            <w:pPr>
              <w:pStyle w:val="BodyTextIndent"/>
              <w:spacing w:after="0"/>
              <w:ind w:left="0" w:firstLine="0"/>
              <w:jc w:val="left"/>
              <w:rPr>
                <w:sz w:val="18"/>
              </w:rPr>
            </w:pPr>
          </w:p>
        </w:tc>
        <w:tc>
          <w:tcPr>
            <w:tcW w:w="1134" w:type="dxa"/>
          </w:tcPr>
          <w:p w14:paraId="5186C223" w14:textId="0149B790" w:rsidR="00CD2710" w:rsidRPr="0098149B" w:rsidRDefault="00CD2710" w:rsidP="00CD2710">
            <w:pPr>
              <w:pStyle w:val="BodyTextIndent"/>
              <w:spacing w:after="0"/>
              <w:ind w:left="0" w:firstLine="0"/>
              <w:jc w:val="right"/>
              <w:rPr>
                <w:sz w:val="18"/>
              </w:rPr>
            </w:pPr>
            <w:r>
              <w:rPr>
                <w:sz w:val="18"/>
              </w:rPr>
              <w:t xml:space="preserve">0,072 </w:t>
            </w:r>
            <w:r w:rsidRPr="00CD2710">
              <w:rPr>
                <w:i/>
                <w:sz w:val="18"/>
              </w:rPr>
              <w:t>euro</w:t>
            </w:r>
          </w:p>
        </w:tc>
        <w:tc>
          <w:tcPr>
            <w:tcW w:w="1134" w:type="dxa"/>
          </w:tcPr>
          <w:p w14:paraId="39D2A151" w14:textId="566AC9B9" w:rsidR="00CD2710" w:rsidRPr="0098149B" w:rsidRDefault="00CD2710" w:rsidP="00CD2710">
            <w:pPr>
              <w:pStyle w:val="BodyTextIndent"/>
              <w:spacing w:after="0"/>
              <w:ind w:left="0" w:firstLine="0"/>
              <w:jc w:val="right"/>
              <w:rPr>
                <w:sz w:val="18"/>
              </w:rPr>
            </w:pPr>
            <w:r>
              <w:rPr>
                <w:sz w:val="18"/>
              </w:rPr>
              <w:t xml:space="preserve">0,052 </w:t>
            </w:r>
            <w:r w:rsidRPr="00CD2710">
              <w:rPr>
                <w:i/>
                <w:sz w:val="18"/>
              </w:rPr>
              <w:t>euro</w:t>
            </w:r>
          </w:p>
        </w:tc>
        <w:tc>
          <w:tcPr>
            <w:tcW w:w="1128" w:type="dxa"/>
          </w:tcPr>
          <w:p w14:paraId="608369C7" w14:textId="5D798784" w:rsidR="00CD2710" w:rsidRPr="0098149B" w:rsidRDefault="00CD2710" w:rsidP="00CD2710">
            <w:pPr>
              <w:pStyle w:val="BodyTextIndent"/>
              <w:spacing w:after="0"/>
              <w:ind w:left="0" w:firstLine="0"/>
              <w:jc w:val="right"/>
              <w:rPr>
                <w:sz w:val="18"/>
              </w:rPr>
            </w:pPr>
            <w:r>
              <w:rPr>
                <w:sz w:val="18"/>
              </w:rPr>
              <w:t xml:space="preserve">0,034 </w:t>
            </w:r>
            <w:r w:rsidRPr="00CD2710">
              <w:rPr>
                <w:i/>
                <w:sz w:val="18"/>
              </w:rPr>
              <w:t>euro</w:t>
            </w:r>
          </w:p>
        </w:tc>
      </w:tr>
      <w:tr w:rsidR="00CD2710" w:rsidRPr="0098149B" w14:paraId="5BFB95FA" w14:textId="77777777" w:rsidTr="00FB0A92">
        <w:tc>
          <w:tcPr>
            <w:tcW w:w="4390" w:type="dxa"/>
            <w:tcBorders>
              <w:top w:val="nil"/>
              <w:left w:val="single" w:sz="4" w:space="0" w:color="auto"/>
              <w:bottom w:val="single" w:sz="4" w:space="0" w:color="auto"/>
              <w:right w:val="single" w:sz="4" w:space="0" w:color="auto"/>
            </w:tcBorders>
          </w:tcPr>
          <w:p w14:paraId="768CC051" w14:textId="3BB0F00F" w:rsidR="00CD2710" w:rsidRPr="00FB0A92" w:rsidRDefault="00CD2710" w:rsidP="00CD2710">
            <w:pPr>
              <w:pStyle w:val="BodyTextIndent"/>
              <w:spacing w:after="0"/>
              <w:ind w:left="0" w:firstLine="0"/>
              <w:jc w:val="left"/>
              <w:rPr>
                <w:sz w:val="18"/>
              </w:rPr>
            </w:pPr>
            <w:r w:rsidRPr="00FB0A92">
              <w:rPr>
                <w:sz w:val="18"/>
              </w:rPr>
              <w:t>Pamatsumma</w:t>
            </w:r>
          </w:p>
        </w:tc>
        <w:tc>
          <w:tcPr>
            <w:tcW w:w="1275" w:type="dxa"/>
            <w:vMerge/>
            <w:tcBorders>
              <w:left w:val="single" w:sz="4" w:space="0" w:color="auto"/>
            </w:tcBorders>
          </w:tcPr>
          <w:p w14:paraId="10BAD253" w14:textId="77777777" w:rsidR="00CD2710" w:rsidRPr="0098149B" w:rsidRDefault="00CD2710" w:rsidP="00CD2710">
            <w:pPr>
              <w:pStyle w:val="BodyTextIndent"/>
              <w:spacing w:after="0"/>
              <w:ind w:left="0" w:firstLine="0"/>
              <w:jc w:val="left"/>
              <w:rPr>
                <w:sz w:val="18"/>
              </w:rPr>
            </w:pPr>
          </w:p>
        </w:tc>
        <w:tc>
          <w:tcPr>
            <w:tcW w:w="1134" w:type="dxa"/>
          </w:tcPr>
          <w:p w14:paraId="6A236708" w14:textId="5CC3DE0C" w:rsidR="00CD2710" w:rsidRPr="0098149B" w:rsidRDefault="00CD2710" w:rsidP="00CD2710">
            <w:pPr>
              <w:pStyle w:val="BodyTextIndent"/>
              <w:spacing w:after="0"/>
              <w:ind w:left="0" w:firstLine="0"/>
              <w:jc w:val="right"/>
              <w:rPr>
                <w:sz w:val="18"/>
              </w:rPr>
            </w:pPr>
            <w:r>
              <w:rPr>
                <w:sz w:val="18"/>
              </w:rPr>
              <w:t xml:space="preserve">1,938 </w:t>
            </w:r>
            <w:r w:rsidRPr="00CD2710">
              <w:rPr>
                <w:i/>
                <w:sz w:val="18"/>
              </w:rPr>
              <w:t>euro</w:t>
            </w:r>
          </w:p>
        </w:tc>
        <w:tc>
          <w:tcPr>
            <w:tcW w:w="1134" w:type="dxa"/>
          </w:tcPr>
          <w:p w14:paraId="6B34968A" w14:textId="4B6069CC" w:rsidR="00CD2710" w:rsidRPr="0098149B" w:rsidRDefault="00CD2710" w:rsidP="00CD2710">
            <w:pPr>
              <w:pStyle w:val="BodyTextIndent"/>
              <w:spacing w:after="0"/>
              <w:ind w:left="0" w:firstLine="0"/>
              <w:jc w:val="right"/>
              <w:rPr>
                <w:sz w:val="18"/>
              </w:rPr>
            </w:pPr>
            <w:r>
              <w:rPr>
                <w:sz w:val="18"/>
              </w:rPr>
              <w:t xml:space="preserve">1,814 </w:t>
            </w:r>
            <w:r w:rsidRPr="00CD2710">
              <w:rPr>
                <w:i/>
                <w:sz w:val="18"/>
              </w:rPr>
              <w:t>euro</w:t>
            </w:r>
          </w:p>
        </w:tc>
        <w:tc>
          <w:tcPr>
            <w:tcW w:w="1128" w:type="dxa"/>
          </w:tcPr>
          <w:p w14:paraId="5B8016E7" w14:textId="662AD93A" w:rsidR="00CD2710" w:rsidRPr="0098149B" w:rsidRDefault="00CD2710" w:rsidP="00CD2710">
            <w:pPr>
              <w:pStyle w:val="BodyTextIndent"/>
              <w:spacing w:after="0"/>
              <w:ind w:left="0" w:firstLine="0"/>
              <w:jc w:val="right"/>
              <w:rPr>
                <w:sz w:val="18"/>
              </w:rPr>
            </w:pPr>
            <w:r>
              <w:rPr>
                <w:sz w:val="18"/>
              </w:rPr>
              <w:t xml:space="preserve">1,689 </w:t>
            </w:r>
            <w:r w:rsidRPr="00CD2710">
              <w:rPr>
                <w:i/>
                <w:sz w:val="18"/>
              </w:rPr>
              <w:t>euro</w:t>
            </w:r>
          </w:p>
        </w:tc>
      </w:tr>
      <w:tr w:rsidR="00AD3455" w:rsidRPr="0098149B" w14:paraId="79B3EA9B" w14:textId="77777777" w:rsidTr="00FB0A92">
        <w:tc>
          <w:tcPr>
            <w:tcW w:w="4390" w:type="dxa"/>
            <w:tcBorders>
              <w:top w:val="single" w:sz="4" w:space="0" w:color="auto"/>
              <w:left w:val="single" w:sz="4" w:space="0" w:color="auto"/>
              <w:bottom w:val="nil"/>
              <w:right w:val="single" w:sz="4" w:space="0" w:color="auto"/>
            </w:tcBorders>
          </w:tcPr>
          <w:p w14:paraId="5DB56D89" w14:textId="7A0425AA" w:rsidR="00AD3455" w:rsidRPr="0098149B" w:rsidRDefault="00AD3455" w:rsidP="00AD3455">
            <w:pPr>
              <w:pStyle w:val="BodyTextIndent"/>
              <w:spacing w:after="0"/>
              <w:ind w:left="0" w:firstLine="0"/>
              <w:jc w:val="center"/>
              <w:rPr>
                <w:sz w:val="18"/>
              </w:rPr>
            </w:pPr>
            <w:r>
              <w:rPr>
                <w:sz w:val="18"/>
              </w:rPr>
              <w:t>Rojas ostas pārvalde (Nordea Bank Finland Plc. Latvijas filiāle</w:t>
            </w:r>
          </w:p>
        </w:tc>
        <w:tc>
          <w:tcPr>
            <w:tcW w:w="1275" w:type="dxa"/>
            <w:vMerge w:val="restart"/>
            <w:tcBorders>
              <w:left w:val="single" w:sz="4" w:space="0" w:color="auto"/>
            </w:tcBorders>
            <w:vAlign w:val="center"/>
          </w:tcPr>
          <w:p w14:paraId="1438192F" w14:textId="1BCB6E6E" w:rsidR="00AD3455" w:rsidRPr="0098149B" w:rsidRDefault="00AD3455" w:rsidP="00AD3455">
            <w:pPr>
              <w:pStyle w:val="BodyTextIndent"/>
              <w:spacing w:after="0"/>
              <w:ind w:left="0" w:firstLine="0"/>
              <w:jc w:val="center"/>
              <w:rPr>
                <w:sz w:val="18"/>
              </w:rPr>
            </w:pPr>
            <w:r>
              <w:rPr>
                <w:sz w:val="18"/>
              </w:rPr>
              <w:t xml:space="preserve">0,725 </w:t>
            </w:r>
            <w:r w:rsidRPr="00AD3455">
              <w:rPr>
                <w:i/>
                <w:sz w:val="18"/>
              </w:rPr>
              <w:t>euro</w:t>
            </w:r>
          </w:p>
        </w:tc>
        <w:tc>
          <w:tcPr>
            <w:tcW w:w="1134" w:type="dxa"/>
          </w:tcPr>
          <w:p w14:paraId="472ACF94" w14:textId="77777777" w:rsidR="00AD3455" w:rsidRPr="0098149B" w:rsidRDefault="00AD3455" w:rsidP="00CD2710">
            <w:pPr>
              <w:pStyle w:val="BodyTextIndent"/>
              <w:spacing w:after="0"/>
              <w:ind w:left="0" w:firstLine="0"/>
              <w:jc w:val="left"/>
              <w:rPr>
                <w:sz w:val="18"/>
              </w:rPr>
            </w:pPr>
          </w:p>
        </w:tc>
        <w:tc>
          <w:tcPr>
            <w:tcW w:w="1134" w:type="dxa"/>
          </w:tcPr>
          <w:p w14:paraId="506A40C0" w14:textId="77777777" w:rsidR="00AD3455" w:rsidRPr="0098149B" w:rsidRDefault="00AD3455" w:rsidP="00CD2710">
            <w:pPr>
              <w:pStyle w:val="BodyTextIndent"/>
              <w:spacing w:after="0"/>
              <w:ind w:left="0" w:firstLine="0"/>
              <w:jc w:val="left"/>
              <w:rPr>
                <w:sz w:val="18"/>
              </w:rPr>
            </w:pPr>
          </w:p>
        </w:tc>
        <w:tc>
          <w:tcPr>
            <w:tcW w:w="1128" w:type="dxa"/>
          </w:tcPr>
          <w:p w14:paraId="1742D361" w14:textId="77777777" w:rsidR="00AD3455" w:rsidRPr="0098149B" w:rsidRDefault="00AD3455" w:rsidP="00CD2710">
            <w:pPr>
              <w:pStyle w:val="BodyTextIndent"/>
              <w:spacing w:after="0"/>
              <w:ind w:left="0" w:firstLine="0"/>
              <w:jc w:val="left"/>
              <w:rPr>
                <w:sz w:val="18"/>
              </w:rPr>
            </w:pPr>
          </w:p>
        </w:tc>
      </w:tr>
      <w:tr w:rsidR="00AD3455" w:rsidRPr="0098149B" w14:paraId="2232B211" w14:textId="77777777" w:rsidTr="00FB0A92">
        <w:tc>
          <w:tcPr>
            <w:tcW w:w="4390" w:type="dxa"/>
            <w:tcBorders>
              <w:top w:val="nil"/>
              <w:left w:val="single" w:sz="4" w:space="0" w:color="auto"/>
              <w:bottom w:val="nil"/>
              <w:right w:val="single" w:sz="4" w:space="0" w:color="auto"/>
            </w:tcBorders>
          </w:tcPr>
          <w:p w14:paraId="063C2942" w14:textId="2C74B247" w:rsidR="00AD3455" w:rsidRPr="00007727" w:rsidRDefault="00AD3455" w:rsidP="00AD3455">
            <w:pPr>
              <w:pStyle w:val="BodyTextIndent"/>
              <w:spacing w:after="0"/>
              <w:ind w:left="0" w:firstLine="0"/>
              <w:jc w:val="left"/>
              <w:rPr>
                <w:sz w:val="18"/>
              </w:rPr>
            </w:pPr>
            <w:r w:rsidRPr="00007727">
              <w:rPr>
                <w:sz w:val="18"/>
              </w:rPr>
              <w:t>Aizdevuma procenti</w:t>
            </w:r>
          </w:p>
        </w:tc>
        <w:tc>
          <w:tcPr>
            <w:tcW w:w="1275" w:type="dxa"/>
            <w:vMerge/>
            <w:tcBorders>
              <w:left w:val="single" w:sz="4" w:space="0" w:color="auto"/>
            </w:tcBorders>
          </w:tcPr>
          <w:p w14:paraId="4D0780A6" w14:textId="77777777" w:rsidR="00AD3455" w:rsidRPr="0098149B" w:rsidRDefault="00AD3455" w:rsidP="00AD3455">
            <w:pPr>
              <w:pStyle w:val="BodyTextIndent"/>
              <w:spacing w:after="0"/>
              <w:ind w:left="0" w:firstLine="0"/>
              <w:jc w:val="left"/>
              <w:rPr>
                <w:sz w:val="18"/>
              </w:rPr>
            </w:pPr>
          </w:p>
        </w:tc>
        <w:tc>
          <w:tcPr>
            <w:tcW w:w="1134" w:type="dxa"/>
          </w:tcPr>
          <w:p w14:paraId="33DF3892" w14:textId="61384D26" w:rsidR="00AD3455" w:rsidRPr="0098149B" w:rsidRDefault="00AD3455" w:rsidP="00AD3455">
            <w:pPr>
              <w:pStyle w:val="BodyTextIndent"/>
              <w:spacing w:after="0"/>
              <w:ind w:left="0" w:firstLine="0"/>
              <w:jc w:val="right"/>
              <w:rPr>
                <w:sz w:val="18"/>
              </w:rPr>
            </w:pPr>
            <w:r>
              <w:rPr>
                <w:sz w:val="18"/>
              </w:rPr>
              <w:t xml:space="preserve">0,000 </w:t>
            </w:r>
            <w:r w:rsidRPr="00AD3455">
              <w:rPr>
                <w:i/>
                <w:sz w:val="18"/>
              </w:rPr>
              <w:t>euro</w:t>
            </w:r>
          </w:p>
        </w:tc>
        <w:tc>
          <w:tcPr>
            <w:tcW w:w="1134" w:type="dxa"/>
          </w:tcPr>
          <w:p w14:paraId="158A11D5" w14:textId="069FED4F" w:rsidR="00AD3455" w:rsidRPr="0098149B" w:rsidRDefault="00AD3455" w:rsidP="00AD3455">
            <w:pPr>
              <w:pStyle w:val="BodyTextIndent"/>
              <w:spacing w:after="0"/>
              <w:ind w:left="0" w:firstLine="0"/>
              <w:jc w:val="right"/>
              <w:rPr>
                <w:sz w:val="18"/>
              </w:rPr>
            </w:pPr>
            <w:r>
              <w:rPr>
                <w:sz w:val="18"/>
              </w:rPr>
              <w:t xml:space="preserve">0,000 </w:t>
            </w:r>
            <w:r w:rsidRPr="00AD3455">
              <w:rPr>
                <w:i/>
                <w:sz w:val="18"/>
              </w:rPr>
              <w:t>euro</w:t>
            </w:r>
          </w:p>
        </w:tc>
        <w:tc>
          <w:tcPr>
            <w:tcW w:w="1128" w:type="dxa"/>
          </w:tcPr>
          <w:p w14:paraId="6CDAD538" w14:textId="0FC13AB5" w:rsidR="00AD3455" w:rsidRPr="0098149B" w:rsidRDefault="00AD3455" w:rsidP="00AD3455">
            <w:pPr>
              <w:pStyle w:val="BodyTextIndent"/>
              <w:spacing w:after="0"/>
              <w:ind w:left="0" w:firstLine="0"/>
              <w:jc w:val="right"/>
              <w:rPr>
                <w:sz w:val="18"/>
              </w:rPr>
            </w:pPr>
            <w:r>
              <w:rPr>
                <w:sz w:val="18"/>
              </w:rPr>
              <w:t xml:space="preserve">0,000 </w:t>
            </w:r>
            <w:r w:rsidRPr="00AD3455">
              <w:rPr>
                <w:i/>
                <w:sz w:val="18"/>
              </w:rPr>
              <w:t>euro</w:t>
            </w:r>
          </w:p>
        </w:tc>
      </w:tr>
      <w:tr w:rsidR="00AD3455" w:rsidRPr="0098149B" w14:paraId="7BF44531" w14:textId="77777777" w:rsidTr="00FB0A92">
        <w:tc>
          <w:tcPr>
            <w:tcW w:w="4390" w:type="dxa"/>
            <w:tcBorders>
              <w:top w:val="nil"/>
              <w:left w:val="single" w:sz="4" w:space="0" w:color="auto"/>
              <w:bottom w:val="single" w:sz="4" w:space="0" w:color="auto"/>
              <w:right w:val="single" w:sz="4" w:space="0" w:color="auto"/>
            </w:tcBorders>
          </w:tcPr>
          <w:p w14:paraId="5E797299" w14:textId="13E81B59" w:rsidR="00AD3455" w:rsidRPr="00007727" w:rsidRDefault="00AD3455" w:rsidP="00AD3455">
            <w:pPr>
              <w:pStyle w:val="BodyTextIndent"/>
              <w:spacing w:after="0"/>
              <w:ind w:left="0" w:firstLine="0"/>
              <w:jc w:val="left"/>
              <w:rPr>
                <w:sz w:val="18"/>
              </w:rPr>
            </w:pPr>
            <w:r w:rsidRPr="00007727">
              <w:rPr>
                <w:sz w:val="18"/>
              </w:rPr>
              <w:t>Pamatsumma</w:t>
            </w:r>
          </w:p>
        </w:tc>
        <w:tc>
          <w:tcPr>
            <w:tcW w:w="1275" w:type="dxa"/>
            <w:vMerge/>
            <w:tcBorders>
              <w:left w:val="single" w:sz="4" w:space="0" w:color="auto"/>
            </w:tcBorders>
          </w:tcPr>
          <w:p w14:paraId="742E3A09" w14:textId="77777777" w:rsidR="00AD3455" w:rsidRPr="0098149B" w:rsidRDefault="00AD3455" w:rsidP="00AD3455">
            <w:pPr>
              <w:pStyle w:val="BodyTextIndent"/>
              <w:spacing w:after="0"/>
              <w:ind w:left="0" w:firstLine="0"/>
              <w:jc w:val="left"/>
              <w:rPr>
                <w:sz w:val="18"/>
              </w:rPr>
            </w:pPr>
          </w:p>
        </w:tc>
        <w:tc>
          <w:tcPr>
            <w:tcW w:w="1134" w:type="dxa"/>
          </w:tcPr>
          <w:p w14:paraId="2C755F09" w14:textId="3F52DF27" w:rsidR="00AD3455" w:rsidRPr="0098149B" w:rsidRDefault="00AD3455" w:rsidP="00AD3455">
            <w:pPr>
              <w:pStyle w:val="BodyTextIndent"/>
              <w:spacing w:after="0"/>
              <w:ind w:left="0" w:firstLine="0"/>
              <w:jc w:val="right"/>
              <w:rPr>
                <w:sz w:val="18"/>
              </w:rPr>
            </w:pPr>
            <w:r>
              <w:rPr>
                <w:sz w:val="18"/>
              </w:rPr>
              <w:t xml:space="preserve">0,058 </w:t>
            </w:r>
            <w:r w:rsidRPr="00AD3455">
              <w:rPr>
                <w:i/>
                <w:sz w:val="18"/>
              </w:rPr>
              <w:t>euro</w:t>
            </w:r>
          </w:p>
        </w:tc>
        <w:tc>
          <w:tcPr>
            <w:tcW w:w="1134" w:type="dxa"/>
          </w:tcPr>
          <w:p w14:paraId="2DCBA82C" w14:textId="054395E2" w:rsidR="00AD3455" w:rsidRPr="0098149B" w:rsidRDefault="00AD3455" w:rsidP="00AD3455">
            <w:pPr>
              <w:pStyle w:val="BodyTextIndent"/>
              <w:spacing w:after="0"/>
              <w:ind w:left="0" w:firstLine="0"/>
              <w:jc w:val="right"/>
              <w:rPr>
                <w:sz w:val="18"/>
              </w:rPr>
            </w:pPr>
            <w:r>
              <w:rPr>
                <w:sz w:val="18"/>
              </w:rPr>
              <w:t xml:space="preserve">0,058 </w:t>
            </w:r>
            <w:r w:rsidRPr="00AD3455">
              <w:rPr>
                <w:i/>
                <w:sz w:val="18"/>
              </w:rPr>
              <w:t>euro</w:t>
            </w:r>
          </w:p>
        </w:tc>
        <w:tc>
          <w:tcPr>
            <w:tcW w:w="1128" w:type="dxa"/>
          </w:tcPr>
          <w:p w14:paraId="78FF79E5" w14:textId="6990B83E" w:rsidR="00AD3455" w:rsidRPr="0098149B" w:rsidRDefault="00AD3455" w:rsidP="00AD3455">
            <w:pPr>
              <w:pStyle w:val="BodyTextIndent"/>
              <w:spacing w:after="0"/>
              <w:ind w:left="0" w:firstLine="0"/>
              <w:jc w:val="right"/>
              <w:rPr>
                <w:sz w:val="18"/>
              </w:rPr>
            </w:pPr>
            <w:r>
              <w:rPr>
                <w:sz w:val="18"/>
              </w:rPr>
              <w:t xml:space="preserve">0,000 </w:t>
            </w:r>
            <w:r w:rsidRPr="00AD3455">
              <w:rPr>
                <w:i/>
                <w:sz w:val="18"/>
              </w:rPr>
              <w:t>euro</w:t>
            </w:r>
          </w:p>
        </w:tc>
      </w:tr>
      <w:tr w:rsidR="00442A59" w:rsidRPr="0098149B" w14:paraId="6C140FE9" w14:textId="77777777" w:rsidTr="00FB0A92">
        <w:tc>
          <w:tcPr>
            <w:tcW w:w="4390" w:type="dxa"/>
            <w:tcBorders>
              <w:top w:val="single" w:sz="4" w:space="0" w:color="auto"/>
              <w:left w:val="single" w:sz="4" w:space="0" w:color="auto"/>
              <w:bottom w:val="nil"/>
              <w:right w:val="single" w:sz="4" w:space="0" w:color="auto"/>
            </w:tcBorders>
          </w:tcPr>
          <w:p w14:paraId="650F6481" w14:textId="7CA4C2E0" w:rsidR="00442A59" w:rsidRPr="0098149B" w:rsidRDefault="00442A59" w:rsidP="00442A59">
            <w:pPr>
              <w:pStyle w:val="BodyTextIndent"/>
              <w:spacing w:after="0"/>
              <w:ind w:left="0" w:firstLine="0"/>
              <w:jc w:val="center"/>
              <w:rPr>
                <w:sz w:val="18"/>
              </w:rPr>
            </w:pPr>
            <w:r>
              <w:rPr>
                <w:sz w:val="18"/>
              </w:rPr>
              <w:t>VAS “Valsts nekustamie īpašumi” (Swedbank)</w:t>
            </w:r>
          </w:p>
        </w:tc>
        <w:tc>
          <w:tcPr>
            <w:tcW w:w="1275" w:type="dxa"/>
            <w:vMerge w:val="restart"/>
            <w:tcBorders>
              <w:left w:val="single" w:sz="4" w:space="0" w:color="auto"/>
            </w:tcBorders>
            <w:vAlign w:val="center"/>
          </w:tcPr>
          <w:p w14:paraId="1A8FA4DF" w14:textId="5524D28E" w:rsidR="00442A59" w:rsidRPr="0098149B" w:rsidRDefault="00442A59" w:rsidP="00442A59">
            <w:pPr>
              <w:pStyle w:val="BodyTextIndent"/>
              <w:spacing w:after="0"/>
              <w:ind w:left="0" w:firstLine="0"/>
              <w:jc w:val="center"/>
              <w:rPr>
                <w:sz w:val="18"/>
              </w:rPr>
            </w:pPr>
            <w:r>
              <w:rPr>
                <w:sz w:val="18"/>
              </w:rPr>
              <w:t xml:space="preserve">14,229 </w:t>
            </w:r>
            <w:r w:rsidRPr="00442A59">
              <w:rPr>
                <w:i/>
                <w:sz w:val="18"/>
              </w:rPr>
              <w:t>euro</w:t>
            </w:r>
          </w:p>
        </w:tc>
        <w:tc>
          <w:tcPr>
            <w:tcW w:w="1134" w:type="dxa"/>
          </w:tcPr>
          <w:p w14:paraId="13B4CA18" w14:textId="77777777" w:rsidR="00442A59" w:rsidRPr="0098149B" w:rsidRDefault="00442A59" w:rsidP="00AD3455">
            <w:pPr>
              <w:pStyle w:val="BodyTextIndent"/>
              <w:spacing w:after="0"/>
              <w:ind w:left="0" w:firstLine="0"/>
              <w:jc w:val="left"/>
              <w:rPr>
                <w:sz w:val="18"/>
              </w:rPr>
            </w:pPr>
          </w:p>
        </w:tc>
        <w:tc>
          <w:tcPr>
            <w:tcW w:w="1134" w:type="dxa"/>
          </w:tcPr>
          <w:p w14:paraId="19B9AE59" w14:textId="77777777" w:rsidR="00442A59" w:rsidRPr="0098149B" w:rsidRDefault="00442A59" w:rsidP="00AD3455">
            <w:pPr>
              <w:pStyle w:val="BodyTextIndent"/>
              <w:spacing w:after="0"/>
              <w:ind w:left="0" w:firstLine="0"/>
              <w:jc w:val="left"/>
              <w:rPr>
                <w:sz w:val="18"/>
              </w:rPr>
            </w:pPr>
          </w:p>
        </w:tc>
        <w:tc>
          <w:tcPr>
            <w:tcW w:w="1128" w:type="dxa"/>
          </w:tcPr>
          <w:p w14:paraId="03624595" w14:textId="77777777" w:rsidR="00442A59" w:rsidRPr="0098149B" w:rsidRDefault="00442A59" w:rsidP="00AD3455">
            <w:pPr>
              <w:pStyle w:val="BodyTextIndent"/>
              <w:spacing w:after="0"/>
              <w:ind w:left="0" w:firstLine="0"/>
              <w:jc w:val="left"/>
              <w:rPr>
                <w:sz w:val="18"/>
              </w:rPr>
            </w:pPr>
          </w:p>
        </w:tc>
      </w:tr>
      <w:tr w:rsidR="00442A59" w:rsidRPr="0098149B" w14:paraId="7EB5CFFB" w14:textId="77777777" w:rsidTr="00FB0A92">
        <w:tc>
          <w:tcPr>
            <w:tcW w:w="4390" w:type="dxa"/>
            <w:tcBorders>
              <w:top w:val="nil"/>
              <w:left w:val="single" w:sz="4" w:space="0" w:color="auto"/>
              <w:bottom w:val="nil"/>
              <w:right w:val="single" w:sz="4" w:space="0" w:color="auto"/>
            </w:tcBorders>
          </w:tcPr>
          <w:p w14:paraId="58B352FB" w14:textId="6A7C580C" w:rsidR="00442A59" w:rsidRPr="00007727" w:rsidRDefault="00442A59" w:rsidP="00442A59">
            <w:pPr>
              <w:pStyle w:val="BodyTextIndent"/>
              <w:spacing w:after="0"/>
              <w:ind w:left="0" w:firstLine="0"/>
              <w:jc w:val="left"/>
              <w:rPr>
                <w:sz w:val="18"/>
              </w:rPr>
            </w:pPr>
            <w:r w:rsidRPr="00007727">
              <w:rPr>
                <w:sz w:val="18"/>
              </w:rPr>
              <w:t>Aizdevuma procenti</w:t>
            </w:r>
          </w:p>
        </w:tc>
        <w:tc>
          <w:tcPr>
            <w:tcW w:w="1275" w:type="dxa"/>
            <w:vMerge/>
            <w:tcBorders>
              <w:left w:val="single" w:sz="4" w:space="0" w:color="auto"/>
            </w:tcBorders>
          </w:tcPr>
          <w:p w14:paraId="72835267" w14:textId="77777777" w:rsidR="00442A59" w:rsidRPr="0098149B" w:rsidRDefault="00442A59" w:rsidP="00442A59">
            <w:pPr>
              <w:pStyle w:val="BodyTextIndent"/>
              <w:spacing w:after="0"/>
              <w:ind w:left="0" w:firstLine="0"/>
              <w:jc w:val="left"/>
              <w:rPr>
                <w:sz w:val="18"/>
              </w:rPr>
            </w:pPr>
          </w:p>
        </w:tc>
        <w:tc>
          <w:tcPr>
            <w:tcW w:w="1134" w:type="dxa"/>
          </w:tcPr>
          <w:p w14:paraId="32FD36D9" w14:textId="684C48CB" w:rsidR="00442A59" w:rsidRPr="0098149B" w:rsidRDefault="008D7A6F" w:rsidP="00442A59">
            <w:pPr>
              <w:pStyle w:val="BodyTextIndent"/>
              <w:spacing w:after="0"/>
              <w:ind w:left="0" w:firstLine="0"/>
              <w:jc w:val="right"/>
              <w:rPr>
                <w:sz w:val="18"/>
              </w:rPr>
            </w:pPr>
            <w:r>
              <w:rPr>
                <w:sz w:val="18"/>
              </w:rPr>
              <w:t xml:space="preserve">0,068 </w:t>
            </w:r>
            <w:r w:rsidRPr="008D7A6F">
              <w:rPr>
                <w:i/>
                <w:sz w:val="18"/>
              </w:rPr>
              <w:t>euro</w:t>
            </w:r>
          </w:p>
        </w:tc>
        <w:tc>
          <w:tcPr>
            <w:tcW w:w="1134" w:type="dxa"/>
          </w:tcPr>
          <w:p w14:paraId="372DFF5F" w14:textId="692A21F1" w:rsidR="00442A59" w:rsidRPr="0098149B" w:rsidRDefault="008D7A6F" w:rsidP="00442A59">
            <w:pPr>
              <w:pStyle w:val="BodyTextIndent"/>
              <w:spacing w:after="0"/>
              <w:ind w:left="0" w:firstLine="0"/>
              <w:jc w:val="right"/>
              <w:rPr>
                <w:sz w:val="18"/>
              </w:rPr>
            </w:pPr>
            <w:r>
              <w:rPr>
                <w:sz w:val="18"/>
              </w:rPr>
              <w:t xml:space="preserve">0,065 </w:t>
            </w:r>
            <w:r w:rsidRPr="008D7A6F">
              <w:rPr>
                <w:i/>
                <w:sz w:val="18"/>
              </w:rPr>
              <w:t>euro</w:t>
            </w:r>
          </w:p>
        </w:tc>
        <w:tc>
          <w:tcPr>
            <w:tcW w:w="1128" w:type="dxa"/>
          </w:tcPr>
          <w:p w14:paraId="7AAA9F7F" w14:textId="11D63D32" w:rsidR="00442A59" w:rsidRPr="0098149B" w:rsidRDefault="008D7A6F" w:rsidP="00442A59">
            <w:pPr>
              <w:pStyle w:val="BodyTextIndent"/>
              <w:spacing w:after="0"/>
              <w:ind w:left="0" w:firstLine="0"/>
              <w:jc w:val="right"/>
              <w:rPr>
                <w:sz w:val="18"/>
              </w:rPr>
            </w:pPr>
            <w:r>
              <w:rPr>
                <w:sz w:val="18"/>
              </w:rPr>
              <w:t xml:space="preserve">0,062 </w:t>
            </w:r>
            <w:r w:rsidRPr="008D7A6F">
              <w:rPr>
                <w:i/>
                <w:sz w:val="18"/>
              </w:rPr>
              <w:t>euro</w:t>
            </w:r>
          </w:p>
        </w:tc>
      </w:tr>
      <w:tr w:rsidR="00442A59" w:rsidRPr="0098149B" w14:paraId="570B3798" w14:textId="77777777" w:rsidTr="00FB0A92">
        <w:tc>
          <w:tcPr>
            <w:tcW w:w="4390" w:type="dxa"/>
            <w:tcBorders>
              <w:top w:val="nil"/>
              <w:left w:val="single" w:sz="4" w:space="0" w:color="auto"/>
              <w:bottom w:val="single" w:sz="4" w:space="0" w:color="auto"/>
              <w:right w:val="single" w:sz="4" w:space="0" w:color="auto"/>
            </w:tcBorders>
          </w:tcPr>
          <w:p w14:paraId="1FF8D256" w14:textId="3F4AA1CC" w:rsidR="00442A59" w:rsidRPr="00007727" w:rsidRDefault="00442A59" w:rsidP="00442A59">
            <w:pPr>
              <w:pStyle w:val="BodyTextIndent"/>
              <w:spacing w:after="0"/>
              <w:ind w:left="0" w:firstLine="0"/>
              <w:jc w:val="left"/>
              <w:rPr>
                <w:sz w:val="18"/>
              </w:rPr>
            </w:pPr>
            <w:r w:rsidRPr="00007727">
              <w:rPr>
                <w:sz w:val="18"/>
              </w:rPr>
              <w:t>Pamatsumma</w:t>
            </w:r>
          </w:p>
        </w:tc>
        <w:tc>
          <w:tcPr>
            <w:tcW w:w="1275" w:type="dxa"/>
            <w:vMerge/>
            <w:tcBorders>
              <w:left w:val="single" w:sz="4" w:space="0" w:color="auto"/>
            </w:tcBorders>
          </w:tcPr>
          <w:p w14:paraId="27A9F45A" w14:textId="77777777" w:rsidR="00442A59" w:rsidRPr="0098149B" w:rsidRDefault="00442A59" w:rsidP="00442A59">
            <w:pPr>
              <w:pStyle w:val="BodyTextIndent"/>
              <w:spacing w:after="0"/>
              <w:ind w:left="0" w:firstLine="0"/>
              <w:jc w:val="left"/>
              <w:rPr>
                <w:sz w:val="18"/>
              </w:rPr>
            </w:pPr>
          </w:p>
        </w:tc>
        <w:tc>
          <w:tcPr>
            <w:tcW w:w="1134" w:type="dxa"/>
          </w:tcPr>
          <w:p w14:paraId="3E0FE2A2" w14:textId="72C988B2" w:rsidR="00442A59" w:rsidRPr="0098149B" w:rsidRDefault="008D7A6F" w:rsidP="00442A59">
            <w:pPr>
              <w:pStyle w:val="BodyTextIndent"/>
              <w:spacing w:after="0"/>
              <w:ind w:left="0" w:firstLine="0"/>
              <w:jc w:val="right"/>
              <w:rPr>
                <w:sz w:val="18"/>
              </w:rPr>
            </w:pPr>
            <w:r>
              <w:rPr>
                <w:sz w:val="18"/>
              </w:rPr>
              <w:t xml:space="preserve">0,430 </w:t>
            </w:r>
            <w:r w:rsidRPr="008D7A6F">
              <w:rPr>
                <w:i/>
                <w:sz w:val="18"/>
              </w:rPr>
              <w:t>euro</w:t>
            </w:r>
          </w:p>
        </w:tc>
        <w:tc>
          <w:tcPr>
            <w:tcW w:w="1134" w:type="dxa"/>
          </w:tcPr>
          <w:p w14:paraId="027634B3" w14:textId="5A84FF77" w:rsidR="00442A59" w:rsidRPr="0098149B" w:rsidRDefault="008D7A6F" w:rsidP="00442A59">
            <w:pPr>
              <w:pStyle w:val="BodyTextIndent"/>
              <w:spacing w:after="0"/>
              <w:ind w:left="0" w:firstLine="0"/>
              <w:jc w:val="right"/>
              <w:rPr>
                <w:sz w:val="18"/>
              </w:rPr>
            </w:pPr>
            <w:r>
              <w:rPr>
                <w:sz w:val="18"/>
              </w:rPr>
              <w:t xml:space="preserve">0,433 </w:t>
            </w:r>
            <w:r w:rsidRPr="008D7A6F">
              <w:rPr>
                <w:i/>
                <w:sz w:val="18"/>
              </w:rPr>
              <w:t>euro</w:t>
            </w:r>
          </w:p>
        </w:tc>
        <w:tc>
          <w:tcPr>
            <w:tcW w:w="1128" w:type="dxa"/>
          </w:tcPr>
          <w:p w14:paraId="0BD07452" w14:textId="05658137" w:rsidR="00442A59" w:rsidRPr="0098149B" w:rsidRDefault="008D7A6F" w:rsidP="00442A59">
            <w:pPr>
              <w:pStyle w:val="BodyTextIndent"/>
              <w:spacing w:after="0"/>
              <w:ind w:left="0" w:firstLine="0"/>
              <w:jc w:val="right"/>
              <w:rPr>
                <w:sz w:val="18"/>
              </w:rPr>
            </w:pPr>
            <w:r>
              <w:rPr>
                <w:sz w:val="18"/>
              </w:rPr>
              <w:t xml:space="preserve">0,435 </w:t>
            </w:r>
            <w:r w:rsidRPr="008D7A6F">
              <w:rPr>
                <w:i/>
                <w:sz w:val="18"/>
              </w:rPr>
              <w:t>euro</w:t>
            </w:r>
          </w:p>
        </w:tc>
      </w:tr>
      <w:tr w:rsidR="008D7A6F" w:rsidRPr="0098149B" w14:paraId="400BB27B" w14:textId="77777777" w:rsidTr="002E0B9E">
        <w:tc>
          <w:tcPr>
            <w:tcW w:w="9061" w:type="dxa"/>
            <w:gridSpan w:val="5"/>
          </w:tcPr>
          <w:p w14:paraId="7774346A" w14:textId="0E0D9314" w:rsidR="008D7A6F" w:rsidRPr="008D7A6F" w:rsidRDefault="008D7A6F" w:rsidP="008D7A6F">
            <w:pPr>
              <w:pStyle w:val="BodyTextIndent"/>
              <w:spacing w:after="0"/>
              <w:ind w:left="0" w:firstLine="0"/>
              <w:jc w:val="center"/>
              <w:rPr>
                <w:b/>
                <w:sz w:val="18"/>
              </w:rPr>
            </w:pPr>
            <w:r>
              <w:rPr>
                <w:b/>
                <w:sz w:val="18"/>
              </w:rPr>
              <w:t>Valsts galvotās ārstniecības iestāžu saistības</w:t>
            </w:r>
          </w:p>
        </w:tc>
      </w:tr>
      <w:tr w:rsidR="008D7A6F" w:rsidRPr="0098149B" w14:paraId="3B7EE94C" w14:textId="77777777" w:rsidTr="00FB0A92">
        <w:tc>
          <w:tcPr>
            <w:tcW w:w="4390" w:type="dxa"/>
            <w:tcBorders>
              <w:top w:val="single" w:sz="4" w:space="0" w:color="auto"/>
              <w:left w:val="single" w:sz="4" w:space="0" w:color="auto"/>
              <w:bottom w:val="nil"/>
              <w:right w:val="single" w:sz="4" w:space="0" w:color="auto"/>
            </w:tcBorders>
          </w:tcPr>
          <w:p w14:paraId="5ED4ADB0" w14:textId="77777777" w:rsidR="008D7A6F" w:rsidRDefault="008D7A6F" w:rsidP="008D7A6F">
            <w:pPr>
              <w:pStyle w:val="BodyTextIndent"/>
              <w:spacing w:after="0"/>
              <w:ind w:left="0" w:firstLine="0"/>
              <w:jc w:val="center"/>
              <w:rPr>
                <w:sz w:val="18"/>
              </w:rPr>
            </w:pPr>
            <w:r>
              <w:rPr>
                <w:sz w:val="18"/>
              </w:rPr>
              <w:t>Bērnu klīniskās universitātes slimnīca VSIA</w:t>
            </w:r>
          </w:p>
          <w:p w14:paraId="1BCAE8C9" w14:textId="58DE2F98" w:rsidR="008D7A6F" w:rsidRPr="0098149B" w:rsidRDefault="008D7A6F" w:rsidP="008D7A6F">
            <w:pPr>
              <w:pStyle w:val="BodyTextIndent"/>
              <w:spacing w:after="0"/>
              <w:ind w:left="0" w:firstLine="0"/>
              <w:jc w:val="center"/>
              <w:rPr>
                <w:sz w:val="18"/>
              </w:rPr>
            </w:pPr>
            <w:r>
              <w:rPr>
                <w:sz w:val="18"/>
              </w:rPr>
              <w:t>(FMS Wertmanagement AOR)</w:t>
            </w:r>
          </w:p>
        </w:tc>
        <w:tc>
          <w:tcPr>
            <w:tcW w:w="1275" w:type="dxa"/>
            <w:vMerge w:val="restart"/>
            <w:tcBorders>
              <w:left w:val="single" w:sz="4" w:space="0" w:color="auto"/>
            </w:tcBorders>
            <w:vAlign w:val="center"/>
          </w:tcPr>
          <w:p w14:paraId="5251212A" w14:textId="734576AF" w:rsidR="008D7A6F" w:rsidRPr="0098149B" w:rsidRDefault="008D7A6F" w:rsidP="008D7A6F">
            <w:pPr>
              <w:pStyle w:val="BodyTextIndent"/>
              <w:spacing w:after="0"/>
              <w:ind w:left="0" w:firstLine="0"/>
              <w:jc w:val="center"/>
              <w:rPr>
                <w:sz w:val="18"/>
              </w:rPr>
            </w:pPr>
            <w:r>
              <w:rPr>
                <w:sz w:val="18"/>
              </w:rPr>
              <w:t xml:space="preserve">26,110 </w:t>
            </w:r>
            <w:r w:rsidRPr="008D7A6F">
              <w:rPr>
                <w:i/>
                <w:sz w:val="18"/>
              </w:rPr>
              <w:t>euro</w:t>
            </w:r>
          </w:p>
        </w:tc>
        <w:tc>
          <w:tcPr>
            <w:tcW w:w="1134" w:type="dxa"/>
          </w:tcPr>
          <w:p w14:paraId="0D72204D" w14:textId="77777777" w:rsidR="008D7A6F" w:rsidRPr="0098149B" w:rsidRDefault="008D7A6F" w:rsidP="00442A59">
            <w:pPr>
              <w:pStyle w:val="BodyTextIndent"/>
              <w:spacing w:after="0"/>
              <w:ind w:left="0" w:firstLine="0"/>
              <w:jc w:val="left"/>
              <w:rPr>
                <w:sz w:val="18"/>
              </w:rPr>
            </w:pPr>
          </w:p>
        </w:tc>
        <w:tc>
          <w:tcPr>
            <w:tcW w:w="1134" w:type="dxa"/>
          </w:tcPr>
          <w:p w14:paraId="6E4DEDDB" w14:textId="77777777" w:rsidR="008D7A6F" w:rsidRPr="0098149B" w:rsidRDefault="008D7A6F" w:rsidP="00442A59">
            <w:pPr>
              <w:pStyle w:val="BodyTextIndent"/>
              <w:spacing w:after="0"/>
              <w:ind w:left="0" w:firstLine="0"/>
              <w:jc w:val="left"/>
              <w:rPr>
                <w:sz w:val="18"/>
              </w:rPr>
            </w:pPr>
          </w:p>
        </w:tc>
        <w:tc>
          <w:tcPr>
            <w:tcW w:w="1128" w:type="dxa"/>
          </w:tcPr>
          <w:p w14:paraId="3EAADA21" w14:textId="77777777" w:rsidR="008D7A6F" w:rsidRPr="0098149B" w:rsidRDefault="008D7A6F" w:rsidP="00442A59">
            <w:pPr>
              <w:pStyle w:val="BodyTextIndent"/>
              <w:spacing w:after="0"/>
              <w:ind w:left="0" w:firstLine="0"/>
              <w:jc w:val="left"/>
              <w:rPr>
                <w:sz w:val="18"/>
              </w:rPr>
            </w:pPr>
          </w:p>
        </w:tc>
      </w:tr>
      <w:tr w:rsidR="008D7A6F" w:rsidRPr="0098149B" w14:paraId="3C6467A1" w14:textId="77777777" w:rsidTr="00FB0A92">
        <w:tc>
          <w:tcPr>
            <w:tcW w:w="4390" w:type="dxa"/>
            <w:tcBorders>
              <w:top w:val="nil"/>
              <w:left w:val="single" w:sz="4" w:space="0" w:color="auto"/>
              <w:bottom w:val="nil"/>
              <w:right w:val="single" w:sz="4" w:space="0" w:color="auto"/>
            </w:tcBorders>
          </w:tcPr>
          <w:p w14:paraId="0EC8E320" w14:textId="1498C874" w:rsidR="008D7A6F" w:rsidRPr="00007727" w:rsidRDefault="008D7A6F" w:rsidP="008D7A6F">
            <w:pPr>
              <w:pStyle w:val="BodyTextIndent"/>
              <w:spacing w:after="0"/>
              <w:ind w:left="0" w:firstLine="0"/>
              <w:jc w:val="left"/>
              <w:rPr>
                <w:sz w:val="18"/>
              </w:rPr>
            </w:pPr>
            <w:r w:rsidRPr="00007727">
              <w:rPr>
                <w:sz w:val="18"/>
              </w:rPr>
              <w:t>Aizdevuma procenti</w:t>
            </w:r>
          </w:p>
        </w:tc>
        <w:tc>
          <w:tcPr>
            <w:tcW w:w="1275" w:type="dxa"/>
            <w:vMerge/>
            <w:tcBorders>
              <w:left w:val="single" w:sz="4" w:space="0" w:color="auto"/>
            </w:tcBorders>
          </w:tcPr>
          <w:p w14:paraId="4BBE0649" w14:textId="77777777" w:rsidR="008D7A6F" w:rsidRPr="0098149B" w:rsidRDefault="008D7A6F" w:rsidP="008D7A6F">
            <w:pPr>
              <w:pStyle w:val="BodyTextIndent"/>
              <w:spacing w:after="0"/>
              <w:ind w:left="0" w:firstLine="0"/>
              <w:jc w:val="left"/>
              <w:rPr>
                <w:sz w:val="18"/>
              </w:rPr>
            </w:pPr>
          </w:p>
        </w:tc>
        <w:tc>
          <w:tcPr>
            <w:tcW w:w="1134" w:type="dxa"/>
          </w:tcPr>
          <w:p w14:paraId="5403F92F" w14:textId="6F081DC4" w:rsidR="008D7A6F" w:rsidRPr="008D7A6F" w:rsidRDefault="008D7A6F" w:rsidP="008D7A6F">
            <w:pPr>
              <w:pStyle w:val="BodyTextIndent"/>
              <w:spacing w:after="0"/>
              <w:ind w:left="0" w:firstLine="0"/>
              <w:jc w:val="right"/>
              <w:rPr>
                <w:sz w:val="18"/>
              </w:rPr>
            </w:pPr>
            <w:r>
              <w:rPr>
                <w:sz w:val="18"/>
              </w:rPr>
              <w:t xml:space="preserve">0,018 </w:t>
            </w:r>
            <w:r w:rsidRPr="008D7A6F">
              <w:rPr>
                <w:i/>
                <w:sz w:val="18"/>
              </w:rPr>
              <w:t>euro</w:t>
            </w:r>
          </w:p>
        </w:tc>
        <w:tc>
          <w:tcPr>
            <w:tcW w:w="1134" w:type="dxa"/>
          </w:tcPr>
          <w:p w14:paraId="377B51AC" w14:textId="36BF8A49" w:rsidR="008D7A6F" w:rsidRPr="008D7A6F" w:rsidRDefault="008D7A6F" w:rsidP="008D7A6F">
            <w:pPr>
              <w:pStyle w:val="BodyTextIndent"/>
              <w:spacing w:after="0"/>
              <w:ind w:left="0" w:firstLine="0"/>
              <w:jc w:val="right"/>
              <w:rPr>
                <w:sz w:val="18"/>
              </w:rPr>
            </w:pPr>
            <w:r>
              <w:rPr>
                <w:sz w:val="18"/>
              </w:rPr>
              <w:t xml:space="preserve">0,017 </w:t>
            </w:r>
            <w:r w:rsidRPr="008D7A6F">
              <w:rPr>
                <w:i/>
                <w:sz w:val="18"/>
              </w:rPr>
              <w:t>euro</w:t>
            </w:r>
          </w:p>
        </w:tc>
        <w:tc>
          <w:tcPr>
            <w:tcW w:w="1128" w:type="dxa"/>
          </w:tcPr>
          <w:p w14:paraId="10F905E9" w14:textId="01029806" w:rsidR="008D7A6F" w:rsidRPr="008D7A6F" w:rsidRDefault="008D7A6F" w:rsidP="008D7A6F">
            <w:pPr>
              <w:pStyle w:val="BodyTextIndent"/>
              <w:spacing w:after="0"/>
              <w:ind w:left="0" w:firstLine="0"/>
              <w:jc w:val="right"/>
              <w:rPr>
                <w:sz w:val="18"/>
              </w:rPr>
            </w:pPr>
            <w:r>
              <w:rPr>
                <w:sz w:val="18"/>
              </w:rPr>
              <w:t xml:space="preserve">0,016 </w:t>
            </w:r>
            <w:r w:rsidRPr="008D7A6F">
              <w:rPr>
                <w:i/>
                <w:sz w:val="18"/>
              </w:rPr>
              <w:t>euro</w:t>
            </w:r>
          </w:p>
        </w:tc>
      </w:tr>
      <w:tr w:rsidR="008D7A6F" w:rsidRPr="0098149B" w14:paraId="56D5957D" w14:textId="77777777" w:rsidTr="00FB0A92">
        <w:tc>
          <w:tcPr>
            <w:tcW w:w="4390" w:type="dxa"/>
            <w:tcBorders>
              <w:top w:val="nil"/>
              <w:left w:val="single" w:sz="4" w:space="0" w:color="auto"/>
              <w:bottom w:val="single" w:sz="4" w:space="0" w:color="auto"/>
              <w:right w:val="single" w:sz="4" w:space="0" w:color="auto"/>
            </w:tcBorders>
          </w:tcPr>
          <w:p w14:paraId="398B0A78" w14:textId="444ED418" w:rsidR="008D7A6F" w:rsidRPr="00007727" w:rsidRDefault="008D7A6F" w:rsidP="008D7A6F">
            <w:pPr>
              <w:pStyle w:val="BodyTextIndent"/>
              <w:spacing w:after="0"/>
              <w:ind w:left="0" w:firstLine="0"/>
              <w:jc w:val="left"/>
              <w:rPr>
                <w:sz w:val="18"/>
              </w:rPr>
            </w:pPr>
            <w:r w:rsidRPr="00007727">
              <w:rPr>
                <w:sz w:val="18"/>
              </w:rPr>
              <w:t>Pamatsumma</w:t>
            </w:r>
          </w:p>
        </w:tc>
        <w:tc>
          <w:tcPr>
            <w:tcW w:w="1275" w:type="dxa"/>
            <w:vMerge/>
            <w:tcBorders>
              <w:left w:val="single" w:sz="4" w:space="0" w:color="auto"/>
            </w:tcBorders>
          </w:tcPr>
          <w:p w14:paraId="261D7231" w14:textId="77777777" w:rsidR="008D7A6F" w:rsidRPr="0098149B" w:rsidRDefault="008D7A6F" w:rsidP="008D7A6F">
            <w:pPr>
              <w:pStyle w:val="BodyTextIndent"/>
              <w:spacing w:after="0"/>
              <w:ind w:left="0" w:firstLine="0"/>
              <w:jc w:val="left"/>
              <w:rPr>
                <w:sz w:val="18"/>
              </w:rPr>
            </w:pPr>
          </w:p>
        </w:tc>
        <w:tc>
          <w:tcPr>
            <w:tcW w:w="1134" w:type="dxa"/>
          </w:tcPr>
          <w:p w14:paraId="52B2780C" w14:textId="5641C1A1" w:rsidR="008D7A6F" w:rsidRPr="008D7A6F" w:rsidRDefault="008D7A6F" w:rsidP="008D7A6F">
            <w:pPr>
              <w:pStyle w:val="BodyTextIndent"/>
              <w:spacing w:after="0"/>
              <w:ind w:left="0" w:firstLine="0"/>
              <w:jc w:val="right"/>
              <w:rPr>
                <w:sz w:val="18"/>
              </w:rPr>
            </w:pPr>
            <w:r>
              <w:rPr>
                <w:sz w:val="18"/>
              </w:rPr>
              <w:t xml:space="preserve">0,870 </w:t>
            </w:r>
            <w:r w:rsidRPr="008D7A6F">
              <w:rPr>
                <w:i/>
                <w:sz w:val="18"/>
              </w:rPr>
              <w:t>euro</w:t>
            </w:r>
          </w:p>
        </w:tc>
        <w:tc>
          <w:tcPr>
            <w:tcW w:w="1134" w:type="dxa"/>
          </w:tcPr>
          <w:p w14:paraId="23B451AF" w14:textId="51B4BBE0" w:rsidR="008D7A6F" w:rsidRPr="008D7A6F" w:rsidRDefault="008D7A6F" w:rsidP="008D7A6F">
            <w:pPr>
              <w:pStyle w:val="BodyTextIndent"/>
              <w:spacing w:after="0"/>
              <w:ind w:left="0" w:firstLine="0"/>
              <w:jc w:val="right"/>
              <w:rPr>
                <w:sz w:val="18"/>
              </w:rPr>
            </w:pPr>
            <w:r>
              <w:rPr>
                <w:sz w:val="18"/>
              </w:rPr>
              <w:t xml:space="preserve">0,870 </w:t>
            </w:r>
            <w:r w:rsidRPr="008D7A6F">
              <w:rPr>
                <w:i/>
                <w:sz w:val="18"/>
              </w:rPr>
              <w:t>euro</w:t>
            </w:r>
          </w:p>
        </w:tc>
        <w:tc>
          <w:tcPr>
            <w:tcW w:w="1128" w:type="dxa"/>
          </w:tcPr>
          <w:p w14:paraId="57AE5A93" w14:textId="36CD2761" w:rsidR="008D7A6F" w:rsidRPr="008D7A6F" w:rsidRDefault="008D7A6F" w:rsidP="008D7A6F">
            <w:pPr>
              <w:pStyle w:val="BodyTextIndent"/>
              <w:spacing w:after="0"/>
              <w:ind w:left="0" w:firstLine="0"/>
              <w:jc w:val="right"/>
              <w:rPr>
                <w:sz w:val="18"/>
              </w:rPr>
            </w:pPr>
            <w:r>
              <w:rPr>
                <w:sz w:val="18"/>
              </w:rPr>
              <w:t xml:space="preserve">0,870 </w:t>
            </w:r>
            <w:r w:rsidRPr="008D7A6F">
              <w:rPr>
                <w:i/>
                <w:sz w:val="18"/>
              </w:rPr>
              <w:t>euro</w:t>
            </w:r>
          </w:p>
        </w:tc>
      </w:tr>
      <w:tr w:rsidR="00FB0A92" w:rsidRPr="0098149B" w14:paraId="01F54DF0" w14:textId="77777777" w:rsidTr="00FB0A92">
        <w:tc>
          <w:tcPr>
            <w:tcW w:w="4390" w:type="dxa"/>
            <w:tcBorders>
              <w:top w:val="single" w:sz="4" w:space="0" w:color="auto"/>
              <w:left w:val="single" w:sz="4" w:space="0" w:color="auto"/>
              <w:bottom w:val="nil"/>
              <w:right w:val="single" w:sz="4" w:space="0" w:color="auto"/>
            </w:tcBorders>
          </w:tcPr>
          <w:p w14:paraId="70DE8090" w14:textId="77777777" w:rsidR="00FB0A92" w:rsidRDefault="00FB0A92" w:rsidP="00FB0A92">
            <w:pPr>
              <w:pStyle w:val="BodyTextIndent"/>
              <w:spacing w:after="0"/>
              <w:ind w:left="0" w:firstLine="0"/>
              <w:jc w:val="center"/>
              <w:rPr>
                <w:sz w:val="18"/>
              </w:rPr>
            </w:pPr>
            <w:r>
              <w:rPr>
                <w:sz w:val="18"/>
              </w:rPr>
              <w:t>Daugavpils psihoneiroloģiskā slimnīca VSIA</w:t>
            </w:r>
          </w:p>
          <w:p w14:paraId="5AD4BF50" w14:textId="3BF7BC36" w:rsidR="00FB0A92" w:rsidRPr="0098149B" w:rsidRDefault="00FB0A92" w:rsidP="00FB0A92">
            <w:pPr>
              <w:pStyle w:val="BodyTextIndent"/>
              <w:spacing w:after="0"/>
              <w:ind w:left="0" w:firstLine="0"/>
              <w:jc w:val="center"/>
              <w:rPr>
                <w:sz w:val="18"/>
              </w:rPr>
            </w:pPr>
            <w:r>
              <w:rPr>
                <w:sz w:val="18"/>
              </w:rPr>
              <w:t>(FMS Wertmanagement AOR)</w:t>
            </w:r>
          </w:p>
        </w:tc>
        <w:tc>
          <w:tcPr>
            <w:tcW w:w="1275" w:type="dxa"/>
            <w:vMerge w:val="restart"/>
            <w:tcBorders>
              <w:left w:val="single" w:sz="4" w:space="0" w:color="auto"/>
            </w:tcBorders>
            <w:vAlign w:val="center"/>
          </w:tcPr>
          <w:p w14:paraId="2EBC5746" w14:textId="0426ECCC" w:rsidR="00FB0A92" w:rsidRPr="0098149B" w:rsidRDefault="00FB0A92" w:rsidP="00FB0A92">
            <w:pPr>
              <w:pStyle w:val="BodyTextIndent"/>
              <w:spacing w:after="0"/>
              <w:ind w:left="0" w:firstLine="0"/>
              <w:jc w:val="center"/>
              <w:rPr>
                <w:sz w:val="18"/>
              </w:rPr>
            </w:pPr>
            <w:r>
              <w:rPr>
                <w:sz w:val="18"/>
              </w:rPr>
              <w:t xml:space="preserve">14,707 </w:t>
            </w:r>
            <w:r w:rsidRPr="00FB0A92">
              <w:rPr>
                <w:i/>
                <w:sz w:val="18"/>
              </w:rPr>
              <w:t>euro</w:t>
            </w:r>
          </w:p>
        </w:tc>
        <w:tc>
          <w:tcPr>
            <w:tcW w:w="1134" w:type="dxa"/>
          </w:tcPr>
          <w:p w14:paraId="0A6CF1E6" w14:textId="77777777" w:rsidR="00FB0A92" w:rsidRPr="0098149B" w:rsidRDefault="00FB0A92" w:rsidP="008D7A6F">
            <w:pPr>
              <w:pStyle w:val="BodyTextIndent"/>
              <w:spacing w:after="0"/>
              <w:ind w:left="0" w:firstLine="0"/>
              <w:jc w:val="left"/>
              <w:rPr>
                <w:sz w:val="18"/>
              </w:rPr>
            </w:pPr>
          </w:p>
        </w:tc>
        <w:tc>
          <w:tcPr>
            <w:tcW w:w="1134" w:type="dxa"/>
          </w:tcPr>
          <w:p w14:paraId="1088B363" w14:textId="77777777" w:rsidR="00FB0A92" w:rsidRPr="0098149B" w:rsidRDefault="00FB0A92" w:rsidP="008D7A6F">
            <w:pPr>
              <w:pStyle w:val="BodyTextIndent"/>
              <w:spacing w:after="0"/>
              <w:ind w:left="0" w:firstLine="0"/>
              <w:jc w:val="left"/>
              <w:rPr>
                <w:sz w:val="18"/>
              </w:rPr>
            </w:pPr>
          </w:p>
        </w:tc>
        <w:tc>
          <w:tcPr>
            <w:tcW w:w="1128" w:type="dxa"/>
          </w:tcPr>
          <w:p w14:paraId="6756A498" w14:textId="77777777" w:rsidR="00FB0A92" w:rsidRPr="0098149B" w:rsidRDefault="00FB0A92" w:rsidP="008D7A6F">
            <w:pPr>
              <w:pStyle w:val="BodyTextIndent"/>
              <w:spacing w:after="0"/>
              <w:ind w:left="0" w:firstLine="0"/>
              <w:jc w:val="left"/>
              <w:rPr>
                <w:sz w:val="18"/>
              </w:rPr>
            </w:pPr>
          </w:p>
        </w:tc>
      </w:tr>
      <w:tr w:rsidR="00FB0A92" w:rsidRPr="0098149B" w14:paraId="3019C83E" w14:textId="77777777" w:rsidTr="00FB0A92">
        <w:tc>
          <w:tcPr>
            <w:tcW w:w="4390" w:type="dxa"/>
            <w:tcBorders>
              <w:top w:val="nil"/>
              <w:left w:val="single" w:sz="4" w:space="0" w:color="auto"/>
              <w:bottom w:val="nil"/>
              <w:right w:val="single" w:sz="4" w:space="0" w:color="auto"/>
            </w:tcBorders>
          </w:tcPr>
          <w:p w14:paraId="3ABBA72F" w14:textId="2BBCA0FD" w:rsidR="00FB0A92" w:rsidRPr="00007727" w:rsidRDefault="00FB0A92" w:rsidP="00FB0A92">
            <w:pPr>
              <w:pStyle w:val="BodyTextIndent"/>
              <w:spacing w:after="0"/>
              <w:ind w:left="0" w:firstLine="0"/>
              <w:jc w:val="left"/>
              <w:rPr>
                <w:sz w:val="18"/>
              </w:rPr>
            </w:pPr>
            <w:r w:rsidRPr="00007727">
              <w:rPr>
                <w:sz w:val="18"/>
              </w:rPr>
              <w:t>Aizdevuma procenti</w:t>
            </w:r>
          </w:p>
        </w:tc>
        <w:tc>
          <w:tcPr>
            <w:tcW w:w="1275" w:type="dxa"/>
            <w:vMerge/>
            <w:tcBorders>
              <w:left w:val="single" w:sz="4" w:space="0" w:color="auto"/>
            </w:tcBorders>
          </w:tcPr>
          <w:p w14:paraId="4C099C5A" w14:textId="77777777" w:rsidR="00FB0A92" w:rsidRPr="0098149B" w:rsidRDefault="00FB0A92" w:rsidP="00FB0A92">
            <w:pPr>
              <w:pStyle w:val="BodyTextIndent"/>
              <w:spacing w:after="0"/>
              <w:ind w:left="0" w:firstLine="0"/>
              <w:jc w:val="left"/>
              <w:rPr>
                <w:sz w:val="18"/>
              </w:rPr>
            </w:pPr>
          </w:p>
        </w:tc>
        <w:tc>
          <w:tcPr>
            <w:tcW w:w="1134" w:type="dxa"/>
          </w:tcPr>
          <w:p w14:paraId="27C01737" w14:textId="0EC27C1D" w:rsidR="00FB0A92" w:rsidRPr="0098149B" w:rsidRDefault="00FB0A92" w:rsidP="00FB0A92">
            <w:pPr>
              <w:pStyle w:val="BodyTextIndent"/>
              <w:spacing w:after="0"/>
              <w:ind w:left="0" w:firstLine="0"/>
              <w:jc w:val="right"/>
              <w:rPr>
                <w:sz w:val="18"/>
              </w:rPr>
            </w:pPr>
            <w:r>
              <w:rPr>
                <w:sz w:val="18"/>
              </w:rPr>
              <w:t xml:space="preserve">0,010 </w:t>
            </w:r>
            <w:r w:rsidRPr="00FB0A92">
              <w:rPr>
                <w:i/>
                <w:sz w:val="18"/>
              </w:rPr>
              <w:t>euro</w:t>
            </w:r>
          </w:p>
        </w:tc>
        <w:tc>
          <w:tcPr>
            <w:tcW w:w="1134" w:type="dxa"/>
          </w:tcPr>
          <w:p w14:paraId="0F476FC0" w14:textId="2E65A27C" w:rsidR="00FB0A92" w:rsidRPr="0098149B" w:rsidRDefault="00FB0A92" w:rsidP="00FB0A92">
            <w:pPr>
              <w:pStyle w:val="BodyTextIndent"/>
              <w:spacing w:after="0"/>
              <w:ind w:left="0" w:firstLine="0"/>
              <w:jc w:val="right"/>
              <w:rPr>
                <w:sz w:val="18"/>
              </w:rPr>
            </w:pPr>
            <w:r>
              <w:rPr>
                <w:sz w:val="18"/>
              </w:rPr>
              <w:t xml:space="preserve">0,009 </w:t>
            </w:r>
            <w:r w:rsidRPr="00FB0A92">
              <w:rPr>
                <w:i/>
                <w:sz w:val="18"/>
              </w:rPr>
              <w:t>euro</w:t>
            </w:r>
          </w:p>
        </w:tc>
        <w:tc>
          <w:tcPr>
            <w:tcW w:w="1128" w:type="dxa"/>
          </w:tcPr>
          <w:p w14:paraId="4296D943" w14:textId="1596CE90" w:rsidR="00FB0A92" w:rsidRPr="0098149B" w:rsidRDefault="00FB0A92" w:rsidP="00FB0A92">
            <w:pPr>
              <w:pStyle w:val="BodyTextIndent"/>
              <w:spacing w:after="0"/>
              <w:ind w:left="0" w:firstLine="0"/>
              <w:jc w:val="right"/>
              <w:rPr>
                <w:sz w:val="18"/>
              </w:rPr>
            </w:pPr>
            <w:r>
              <w:rPr>
                <w:sz w:val="18"/>
              </w:rPr>
              <w:t xml:space="preserve">0,009 </w:t>
            </w:r>
            <w:r w:rsidRPr="00FB0A92">
              <w:rPr>
                <w:i/>
                <w:sz w:val="18"/>
              </w:rPr>
              <w:t>euro</w:t>
            </w:r>
          </w:p>
        </w:tc>
      </w:tr>
      <w:tr w:rsidR="00FB0A92" w:rsidRPr="0098149B" w14:paraId="380CBC5E" w14:textId="77777777" w:rsidTr="00584DAF">
        <w:tc>
          <w:tcPr>
            <w:tcW w:w="4390" w:type="dxa"/>
            <w:tcBorders>
              <w:top w:val="nil"/>
              <w:left w:val="single" w:sz="4" w:space="0" w:color="auto"/>
              <w:bottom w:val="single" w:sz="4" w:space="0" w:color="auto"/>
              <w:right w:val="single" w:sz="4" w:space="0" w:color="auto"/>
            </w:tcBorders>
          </w:tcPr>
          <w:p w14:paraId="173718F0" w14:textId="7E78E731" w:rsidR="00FB0A92" w:rsidRPr="00007727" w:rsidRDefault="00FB0A92" w:rsidP="00FB0A92">
            <w:pPr>
              <w:pStyle w:val="BodyTextIndent"/>
              <w:spacing w:after="0"/>
              <w:ind w:left="0" w:firstLine="0"/>
              <w:jc w:val="left"/>
              <w:rPr>
                <w:sz w:val="18"/>
              </w:rPr>
            </w:pPr>
            <w:r w:rsidRPr="00007727">
              <w:rPr>
                <w:sz w:val="18"/>
              </w:rPr>
              <w:t>Pamatsumma</w:t>
            </w:r>
          </w:p>
        </w:tc>
        <w:tc>
          <w:tcPr>
            <w:tcW w:w="1275" w:type="dxa"/>
            <w:vMerge/>
            <w:tcBorders>
              <w:left w:val="single" w:sz="4" w:space="0" w:color="auto"/>
            </w:tcBorders>
          </w:tcPr>
          <w:p w14:paraId="37C47552" w14:textId="77777777" w:rsidR="00FB0A92" w:rsidRPr="0098149B" w:rsidRDefault="00FB0A92" w:rsidP="00FB0A92">
            <w:pPr>
              <w:pStyle w:val="BodyTextIndent"/>
              <w:spacing w:after="0"/>
              <w:ind w:left="0" w:firstLine="0"/>
              <w:jc w:val="left"/>
              <w:rPr>
                <w:sz w:val="18"/>
              </w:rPr>
            </w:pPr>
          </w:p>
        </w:tc>
        <w:tc>
          <w:tcPr>
            <w:tcW w:w="1134" w:type="dxa"/>
          </w:tcPr>
          <w:p w14:paraId="06D5A53B" w14:textId="716AC90A" w:rsidR="00FB0A92" w:rsidRPr="0098149B" w:rsidRDefault="00FB0A92" w:rsidP="00FB0A92">
            <w:pPr>
              <w:pStyle w:val="BodyTextIndent"/>
              <w:spacing w:after="0"/>
              <w:ind w:left="0" w:firstLine="0"/>
              <w:jc w:val="right"/>
              <w:rPr>
                <w:sz w:val="18"/>
              </w:rPr>
            </w:pPr>
            <w:r>
              <w:rPr>
                <w:sz w:val="18"/>
              </w:rPr>
              <w:t xml:space="preserve">0,490 </w:t>
            </w:r>
            <w:r w:rsidRPr="00FB0A92">
              <w:rPr>
                <w:i/>
                <w:sz w:val="18"/>
              </w:rPr>
              <w:t>euro</w:t>
            </w:r>
          </w:p>
        </w:tc>
        <w:tc>
          <w:tcPr>
            <w:tcW w:w="1134" w:type="dxa"/>
          </w:tcPr>
          <w:p w14:paraId="4D308520" w14:textId="0C8EDDCA" w:rsidR="00FB0A92" w:rsidRPr="0098149B" w:rsidRDefault="00FB0A92" w:rsidP="00FB0A92">
            <w:pPr>
              <w:pStyle w:val="BodyTextIndent"/>
              <w:spacing w:after="0"/>
              <w:ind w:left="0" w:firstLine="0"/>
              <w:jc w:val="right"/>
              <w:rPr>
                <w:sz w:val="18"/>
              </w:rPr>
            </w:pPr>
            <w:r>
              <w:rPr>
                <w:sz w:val="18"/>
              </w:rPr>
              <w:t xml:space="preserve">0,490 </w:t>
            </w:r>
            <w:r w:rsidRPr="00FB0A92">
              <w:rPr>
                <w:i/>
                <w:sz w:val="18"/>
              </w:rPr>
              <w:t>euro</w:t>
            </w:r>
          </w:p>
        </w:tc>
        <w:tc>
          <w:tcPr>
            <w:tcW w:w="1128" w:type="dxa"/>
          </w:tcPr>
          <w:p w14:paraId="596FFB68" w14:textId="60721B08" w:rsidR="00FB0A92" w:rsidRPr="0098149B" w:rsidRDefault="00FB0A92" w:rsidP="00FB0A92">
            <w:pPr>
              <w:pStyle w:val="BodyTextIndent"/>
              <w:spacing w:after="0"/>
              <w:ind w:left="0" w:firstLine="0"/>
              <w:jc w:val="right"/>
              <w:rPr>
                <w:sz w:val="18"/>
              </w:rPr>
            </w:pPr>
            <w:r>
              <w:rPr>
                <w:sz w:val="18"/>
              </w:rPr>
              <w:t xml:space="preserve">0,490 </w:t>
            </w:r>
            <w:r w:rsidRPr="00FB0A92">
              <w:rPr>
                <w:i/>
                <w:sz w:val="18"/>
              </w:rPr>
              <w:t>euro</w:t>
            </w:r>
          </w:p>
        </w:tc>
      </w:tr>
      <w:tr w:rsidR="00007727" w:rsidRPr="0098149B" w14:paraId="61B8B317" w14:textId="77777777" w:rsidTr="00584DAF">
        <w:tc>
          <w:tcPr>
            <w:tcW w:w="4390" w:type="dxa"/>
            <w:tcBorders>
              <w:top w:val="single" w:sz="4" w:space="0" w:color="auto"/>
              <w:left w:val="single" w:sz="4" w:space="0" w:color="auto"/>
              <w:bottom w:val="nil"/>
              <w:right w:val="single" w:sz="4" w:space="0" w:color="auto"/>
            </w:tcBorders>
          </w:tcPr>
          <w:p w14:paraId="06578C7A" w14:textId="77777777" w:rsidR="00007727" w:rsidRDefault="00007727" w:rsidP="00007727">
            <w:pPr>
              <w:pStyle w:val="BodyTextIndent"/>
              <w:spacing w:after="0"/>
              <w:ind w:left="0" w:firstLine="0"/>
              <w:jc w:val="center"/>
              <w:rPr>
                <w:sz w:val="18"/>
              </w:rPr>
            </w:pPr>
            <w:r>
              <w:rPr>
                <w:sz w:val="18"/>
              </w:rPr>
              <w:t>Slimnīca Ģintermuiža VSIA</w:t>
            </w:r>
          </w:p>
          <w:p w14:paraId="5BA33817" w14:textId="461DCFBD" w:rsidR="00007727" w:rsidRPr="0098149B" w:rsidRDefault="00007727" w:rsidP="00007727">
            <w:pPr>
              <w:pStyle w:val="BodyTextIndent"/>
              <w:spacing w:after="0"/>
              <w:ind w:left="0" w:firstLine="0"/>
              <w:jc w:val="center"/>
              <w:rPr>
                <w:sz w:val="18"/>
              </w:rPr>
            </w:pPr>
            <w:r>
              <w:rPr>
                <w:sz w:val="18"/>
              </w:rPr>
              <w:t>(FMS Wertmanagement AOR)</w:t>
            </w:r>
          </w:p>
        </w:tc>
        <w:tc>
          <w:tcPr>
            <w:tcW w:w="1275" w:type="dxa"/>
            <w:vMerge w:val="restart"/>
            <w:tcBorders>
              <w:left w:val="single" w:sz="4" w:space="0" w:color="auto"/>
            </w:tcBorders>
            <w:vAlign w:val="center"/>
          </w:tcPr>
          <w:p w14:paraId="1FABB14F" w14:textId="7FD45FB3" w:rsidR="00007727" w:rsidRPr="0098149B" w:rsidRDefault="00007727" w:rsidP="00007727">
            <w:pPr>
              <w:pStyle w:val="BodyTextIndent"/>
              <w:spacing w:after="0"/>
              <w:ind w:left="0" w:firstLine="0"/>
              <w:jc w:val="center"/>
              <w:rPr>
                <w:sz w:val="18"/>
              </w:rPr>
            </w:pPr>
            <w:r>
              <w:rPr>
                <w:sz w:val="18"/>
              </w:rPr>
              <w:t xml:space="preserve">14,879 </w:t>
            </w:r>
            <w:r w:rsidRPr="00007727">
              <w:rPr>
                <w:i/>
                <w:sz w:val="18"/>
              </w:rPr>
              <w:t>euro</w:t>
            </w:r>
          </w:p>
        </w:tc>
        <w:tc>
          <w:tcPr>
            <w:tcW w:w="1134" w:type="dxa"/>
          </w:tcPr>
          <w:p w14:paraId="18BDED35" w14:textId="77777777" w:rsidR="00007727" w:rsidRPr="0098149B" w:rsidRDefault="00007727" w:rsidP="00FB0A92">
            <w:pPr>
              <w:pStyle w:val="BodyTextIndent"/>
              <w:spacing w:after="0"/>
              <w:ind w:left="0" w:firstLine="0"/>
              <w:jc w:val="left"/>
              <w:rPr>
                <w:sz w:val="18"/>
              </w:rPr>
            </w:pPr>
          </w:p>
        </w:tc>
        <w:tc>
          <w:tcPr>
            <w:tcW w:w="1134" w:type="dxa"/>
          </w:tcPr>
          <w:p w14:paraId="4941C4FF" w14:textId="77777777" w:rsidR="00007727" w:rsidRPr="0098149B" w:rsidRDefault="00007727" w:rsidP="00FB0A92">
            <w:pPr>
              <w:pStyle w:val="BodyTextIndent"/>
              <w:spacing w:after="0"/>
              <w:ind w:left="0" w:firstLine="0"/>
              <w:jc w:val="left"/>
              <w:rPr>
                <w:sz w:val="18"/>
              </w:rPr>
            </w:pPr>
          </w:p>
        </w:tc>
        <w:tc>
          <w:tcPr>
            <w:tcW w:w="1128" w:type="dxa"/>
          </w:tcPr>
          <w:p w14:paraId="7B2F540F" w14:textId="77777777" w:rsidR="00007727" w:rsidRPr="0098149B" w:rsidRDefault="00007727" w:rsidP="00FB0A92">
            <w:pPr>
              <w:pStyle w:val="BodyTextIndent"/>
              <w:spacing w:after="0"/>
              <w:ind w:left="0" w:firstLine="0"/>
              <w:jc w:val="left"/>
              <w:rPr>
                <w:sz w:val="18"/>
              </w:rPr>
            </w:pPr>
          </w:p>
        </w:tc>
      </w:tr>
      <w:tr w:rsidR="00007727" w:rsidRPr="0098149B" w14:paraId="62EDEFAD" w14:textId="77777777" w:rsidTr="00584DAF">
        <w:tc>
          <w:tcPr>
            <w:tcW w:w="4390" w:type="dxa"/>
            <w:tcBorders>
              <w:top w:val="nil"/>
              <w:left w:val="single" w:sz="4" w:space="0" w:color="auto"/>
              <w:bottom w:val="nil"/>
              <w:right w:val="single" w:sz="4" w:space="0" w:color="auto"/>
            </w:tcBorders>
          </w:tcPr>
          <w:p w14:paraId="05BB6C13" w14:textId="0F2DFF1B" w:rsidR="00007727" w:rsidRPr="0098149B" w:rsidRDefault="00007727" w:rsidP="00007727">
            <w:pPr>
              <w:pStyle w:val="BodyTextIndent"/>
              <w:spacing w:after="0"/>
              <w:ind w:left="0" w:firstLine="0"/>
              <w:jc w:val="left"/>
              <w:rPr>
                <w:sz w:val="18"/>
              </w:rPr>
            </w:pPr>
            <w:r w:rsidRPr="00007727">
              <w:rPr>
                <w:sz w:val="18"/>
              </w:rPr>
              <w:t>Aizdevuma procenti</w:t>
            </w:r>
          </w:p>
        </w:tc>
        <w:tc>
          <w:tcPr>
            <w:tcW w:w="1275" w:type="dxa"/>
            <w:vMerge/>
            <w:tcBorders>
              <w:left w:val="single" w:sz="4" w:space="0" w:color="auto"/>
            </w:tcBorders>
          </w:tcPr>
          <w:p w14:paraId="022DCBE7" w14:textId="77777777" w:rsidR="00007727" w:rsidRPr="0098149B" w:rsidRDefault="00007727" w:rsidP="00007727">
            <w:pPr>
              <w:pStyle w:val="BodyTextIndent"/>
              <w:spacing w:after="0"/>
              <w:ind w:left="0" w:firstLine="0"/>
              <w:jc w:val="left"/>
              <w:rPr>
                <w:sz w:val="18"/>
              </w:rPr>
            </w:pPr>
          </w:p>
        </w:tc>
        <w:tc>
          <w:tcPr>
            <w:tcW w:w="1134" w:type="dxa"/>
          </w:tcPr>
          <w:p w14:paraId="31F41CD5" w14:textId="51C01132" w:rsidR="00007727" w:rsidRPr="0098149B" w:rsidRDefault="00007727" w:rsidP="00007727">
            <w:pPr>
              <w:pStyle w:val="BodyTextIndent"/>
              <w:spacing w:after="0"/>
              <w:ind w:left="0" w:firstLine="0"/>
              <w:jc w:val="right"/>
              <w:rPr>
                <w:sz w:val="18"/>
              </w:rPr>
            </w:pPr>
            <w:r>
              <w:rPr>
                <w:sz w:val="18"/>
              </w:rPr>
              <w:t xml:space="preserve">0,009 </w:t>
            </w:r>
            <w:r w:rsidRPr="00007727">
              <w:rPr>
                <w:i/>
                <w:sz w:val="18"/>
              </w:rPr>
              <w:t>euro</w:t>
            </w:r>
          </w:p>
        </w:tc>
        <w:tc>
          <w:tcPr>
            <w:tcW w:w="1134" w:type="dxa"/>
          </w:tcPr>
          <w:p w14:paraId="7D02EEE5" w14:textId="500619FD" w:rsidR="00007727" w:rsidRPr="0098149B" w:rsidRDefault="00007727" w:rsidP="00007727">
            <w:pPr>
              <w:pStyle w:val="BodyTextIndent"/>
              <w:spacing w:after="0"/>
              <w:ind w:left="0" w:firstLine="0"/>
              <w:jc w:val="right"/>
              <w:rPr>
                <w:sz w:val="18"/>
              </w:rPr>
            </w:pPr>
            <w:r>
              <w:rPr>
                <w:sz w:val="18"/>
              </w:rPr>
              <w:t xml:space="preserve">0,008 </w:t>
            </w:r>
            <w:r w:rsidRPr="00007727">
              <w:rPr>
                <w:i/>
                <w:sz w:val="18"/>
              </w:rPr>
              <w:t>euro</w:t>
            </w:r>
          </w:p>
        </w:tc>
        <w:tc>
          <w:tcPr>
            <w:tcW w:w="1128" w:type="dxa"/>
          </w:tcPr>
          <w:p w14:paraId="7493BE06" w14:textId="042CFD87" w:rsidR="00007727" w:rsidRPr="0098149B" w:rsidRDefault="00007727" w:rsidP="00007727">
            <w:pPr>
              <w:pStyle w:val="BodyTextIndent"/>
              <w:spacing w:after="0"/>
              <w:ind w:left="0" w:firstLine="0"/>
              <w:jc w:val="right"/>
              <w:rPr>
                <w:sz w:val="18"/>
              </w:rPr>
            </w:pPr>
            <w:r>
              <w:rPr>
                <w:sz w:val="18"/>
              </w:rPr>
              <w:t xml:space="preserve">0,008 </w:t>
            </w:r>
            <w:r w:rsidRPr="00007727">
              <w:rPr>
                <w:i/>
                <w:sz w:val="18"/>
              </w:rPr>
              <w:t>euro</w:t>
            </w:r>
          </w:p>
        </w:tc>
      </w:tr>
      <w:tr w:rsidR="00007727" w:rsidRPr="0098149B" w14:paraId="7C000784" w14:textId="77777777" w:rsidTr="00584DAF">
        <w:tc>
          <w:tcPr>
            <w:tcW w:w="4390" w:type="dxa"/>
            <w:tcBorders>
              <w:top w:val="nil"/>
              <w:left w:val="single" w:sz="4" w:space="0" w:color="auto"/>
              <w:bottom w:val="single" w:sz="4" w:space="0" w:color="auto"/>
              <w:right w:val="single" w:sz="4" w:space="0" w:color="auto"/>
            </w:tcBorders>
          </w:tcPr>
          <w:p w14:paraId="5D10B7A8" w14:textId="72A055B2" w:rsidR="00007727" w:rsidRPr="0098149B" w:rsidRDefault="00007727" w:rsidP="00007727">
            <w:pPr>
              <w:pStyle w:val="BodyTextIndent"/>
              <w:spacing w:after="0"/>
              <w:ind w:left="0" w:firstLine="0"/>
              <w:jc w:val="left"/>
              <w:rPr>
                <w:sz w:val="18"/>
              </w:rPr>
            </w:pPr>
            <w:r w:rsidRPr="00007727">
              <w:rPr>
                <w:sz w:val="18"/>
              </w:rPr>
              <w:t>Pamatsumma</w:t>
            </w:r>
          </w:p>
        </w:tc>
        <w:tc>
          <w:tcPr>
            <w:tcW w:w="1275" w:type="dxa"/>
            <w:vMerge/>
            <w:tcBorders>
              <w:left w:val="single" w:sz="4" w:space="0" w:color="auto"/>
            </w:tcBorders>
          </w:tcPr>
          <w:p w14:paraId="656292E1" w14:textId="77777777" w:rsidR="00007727" w:rsidRPr="0098149B" w:rsidRDefault="00007727" w:rsidP="00007727">
            <w:pPr>
              <w:pStyle w:val="BodyTextIndent"/>
              <w:spacing w:after="0"/>
              <w:ind w:left="0" w:firstLine="0"/>
              <w:jc w:val="left"/>
              <w:rPr>
                <w:sz w:val="18"/>
              </w:rPr>
            </w:pPr>
          </w:p>
        </w:tc>
        <w:tc>
          <w:tcPr>
            <w:tcW w:w="1134" w:type="dxa"/>
          </w:tcPr>
          <w:p w14:paraId="11A99C54" w14:textId="45A170AA" w:rsidR="00007727" w:rsidRPr="0098149B" w:rsidRDefault="00007727" w:rsidP="00007727">
            <w:pPr>
              <w:pStyle w:val="BodyTextIndent"/>
              <w:spacing w:after="0"/>
              <w:ind w:left="0" w:firstLine="0"/>
              <w:jc w:val="right"/>
              <w:rPr>
                <w:sz w:val="18"/>
              </w:rPr>
            </w:pPr>
            <w:r>
              <w:rPr>
                <w:sz w:val="18"/>
              </w:rPr>
              <w:t xml:space="preserve">0,428 </w:t>
            </w:r>
            <w:r w:rsidRPr="00007727">
              <w:rPr>
                <w:i/>
                <w:sz w:val="18"/>
              </w:rPr>
              <w:t>euro</w:t>
            </w:r>
          </w:p>
        </w:tc>
        <w:tc>
          <w:tcPr>
            <w:tcW w:w="1134" w:type="dxa"/>
          </w:tcPr>
          <w:p w14:paraId="32DF0D25" w14:textId="752F35DB" w:rsidR="00007727" w:rsidRPr="0098149B" w:rsidRDefault="00007727" w:rsidP="00007727">
            <w:pPr>
              <w:pStyle w:val="BodyTextIndent"/>
              <w:spacing w:after="0"/>
              <w:ind w:left="0" w:firstLine="0"/>
              <w:jc w:val="right"/>
              <w:rPr>
                <w:sz w:val="18"/>
              </w:rPr>
            </w:pPr>
            <w:r>
              <w:rPr>
                <w:sz w:val="18"/>
              </w:rPr>
              <w:t xml:space="preserve">0,428 </w:t>
            </w:r>
            <w:r w:rsidRPr="00007727">
              <w:rPr>
                <w:i/>
                <w:sz w:val="18"/>
              </w:rPr>
              <w:t>euro</w:t>
            </w:r>
          </w:p>
        </w:tc>
        <w:tc>
          <w:tcPr>
            <w:tcW w:w="1128" w:type="dxa"/>
          </w:tcPr>
          <w:p w14:paraId="32081AFC" w14:textId="6DC7B7FD" w:rsidR="00007727" w:rsidRPr="0098149B" w:rsidRDefault="00007727" w:rsidP="00007727">
            <w:pPr>
              <w:pStyle w:val="BodyTextIndent"/>
              <w:spacing w:after="0"/>
              <w:ind w:left="0" w:firstLine="0"/>
              <w:jc w:val="right"/>
              <w:rPr>
                <w:sz w:val="18"/>
              </w:rPr>
            </w:pPr>
            <w:r>
              <w:rPr>
                <w:sz w:val="18"/>
              </w:rPr>
              <w:t xml:space="preserve">0,428 </w:t>
            </w:r>
            <w:r w:rsidRPr="00007727">
              <w:rPr>
                <w:i/>
                <w:sz w:val="18"/>
              </w:rPr>
              <w:t>euro</w:t>
            </w:r>
          </w:p>
        </w:tc>
      </w:tr>
      <w:tr w:rsidR="00584DAF" w:rsidRPr="0098149B" w14:paraId="41E20037" w14:textId="77777777" w:rsidTr="00584DAF">
        <w:tc>
          <w:tcPr>
            <w:tcW w:w="4390" w:type="dxa"/>
            <w:tcBorders>
              <w:top w:val="single" w:sz="4" w:space="0" w:color="auto"/>
              <w:left w:val="single" w:sz="4" w:space="0" w:color="auto"/>
              <w:bottom w:val="nil"/>
              <w:right w:val="single" w:sz="4" w:space="0" w:color="auto"/>
            </w:tcBorders>
          </w:tcPr>
          <w:p w14:paraId="02283CD8" w14:textId="77777777" w:rsidR="00584DAF" w:rsidRDefault="00584DAF" w:rsidP="00584DAF">
            <w:pPr>
              <w:pStyle w:val="BodyTextIndent"/>
              <w:spacing w:after="0"/>
              <w:ind w:left="0" w:firstLine="0"/>
              <w:jc w:val="center"/>
              <w:rPr>
                <w:sz w:val="18"/>
              </w:rPr>
            </w:pPr>
            <w:r>
              <w:rPr>
                <w:sz w:val="18"/>
              </w:rPr>
              <w:t>Paula Stradiņa klīniskā universitātes slimnīca</w:t>
            </w:r>
          </w:p>
          <w:p w14:paraId="282D4838" w14:textId="33D64D53" w:rsidR="00584DAF" w:rsidRPr="0098149B" w:rsidRDefault="00584DAF" w:rsidP="00584DAF">
            <w:pPr>
              <w:pStyle w:val="BodyTextIndent"/>
              <w:spacing w:after="0"/>
              <w:ind w:left="0" w:firstLine="0"/>
              <w:jc w:val="center"/>
              <w:rPr>
                <w:sz w:val="18"/>
              </w:rPr>
            </w:pPr>
            <w:r>
              <w:rPr>
                <w:sz w:val="18"/>
              </w:rPr>
              <w:t>(FMS Wertmanagement AOR)</w:t>
            </w:r>
          </w:p>
        </w:tc>
        <w:tc>
          <w:tcPr>
            <w:tcW w:w="1275" w:type="dxa"/>
            <w:vMerge w:val="restart"/>
            <w:tcBorders>
              <w:left w:val="single" w:sz="4" w:space="0" w:color="auto"/>
            </w:tcBorders>
            <w:vAlign w:val="center"/>
          </w:tcPr>
          <w:p w14:paraId="6C384A28" w14:textId="663C44B8" w:rsidR="00584DAF" w:rsidRPr="0098149B" w:rsidRDefault="00584DAF" w:rsidP="00584DAF">
            <w:pPr>
              <w:pStyle w:val="BodyTextIndent"/>
              <w:spacing w:after="0"/>
              <w:ind w:left="0" w:firstLine="0"/>
              <w:jc w:val="center"/>
              <w:rPr>
                <w:sz w:val="18"/>
              </w:rPr>
            </w:pPr>
            <w:r>
              <w:rPr>
                <w:sz w:val="18"/>
              </w:rPr>
              <w:t xml:space="preserve">66,021 </w:t>
            </w:r>
            <w:r w:rsidRPr="00584DAF">
              <w:rPr>
                <w:i/>
                <w:sz w:val="18"/>
              </w:rPr>
              <w:t>euro</w:t>
            </w:r>
          </w:p>
        </w:tc>
        <w:tc>
          <w:tcPr>
            <w:tcW w:w="1134" w:type="dxa"/>
          </w:tcPr>
          <w:p w14:paraId="4681DB1D" w14:textId="77777777" w:rsidR="00584DAF" w:rsidRPr="0098149B" w:rsidRDefault="00584DAF" w:rsidP="00007727">
            <w:pPr>
              <w:pStyle w:val="BodyTextIndent"/>
              <w:spacing w:after="0"/>
              <w:ind w:left="0" w:firstLine="0"/>
              <w:jc w:val="left"/>
              <w:rPr>
                <w:sz w:val="18"/>
              </w:rPr>
            </w:pPr>
          </w:p>
        </w:tc>
        <w:tc>
          <w:tcPr>
            <w:tcW w:w="1134" w:type="dxa"/>
          </w:tcPr>
          <w:p w14:paraId="7EBFC7AA" w14:textId="77777777" w:rsidR="00584DAF" w:rsidRPr="0098149B" w:rsidRDefault="00584DAF" w:rsidP="00007727">
            <w:pPr>
              <w:pStyle w:val="BodyTextIndent"/>
              <w:spacing w:after="0"/>
              <w:ind w:left="0" w:firstLine="0"/>
              <w:jc w:val="left"/>
              <w:rPr>
                <w:sz w:val="18"/>
              </w:rPr>
            </w:pPr>
          </w:p>
        </w:tc>
        <w:tc>
          <w:tcPr>
            <w:tcW w:w="1128" w:type="dxa"/>
          </w:tcPr>
          <w:p w14:paraId="1E5BC6B0" w14:textId="77777777" w:rsidR="00584DAF" w:rsidRPr="0098149B" w:rsidRDefault="00584DAF" w:rsidP="00007727">
            <w:pPr>
              <w:pStyle w:val="BodyTextIndent"/>
              <w:spacing w:after="0"/>
              <w:ind w:left="0" w:firstLine="0"/>
              <w:jc w:val="left"/>
              <w:rPr>
                <w:sz w:val="18"/>
              </w:rPr>
            </w:pPr>
          </w:p>
        </w:tc>
      </w:tr>
      <w:tr w:rsidR="00584DAF" w:rsidRPr="0098149B" w14:paraId="76F3CA17" w14:textId="77777777" w:rsidTr="00584DAF">
        <w:tc>
          <w:tcPr>
            <w:tcW w:w="4390" w:type="dxa"/>
            <w:tcBorders>
              <w:top w:val="nil"/>
              <w:left w:val="single" w:sz="4" w:space="0" w:color="auto"/>
              <w:bottom w:val="nil"/>
              <w:right w:val="single" w:sz="4" w:space="0" w:color="auto"/>
            </w:tcBorders>
          </w:tcPr>
          <w:p w14:paraId="01199366" w14:textId="78966103" w:rsidR="00584DAF" w:rsidRPr="0098149B" w:rsidRDefault="00584DAF" w:rsidP="00584DAF">
            <w:pPr>
              <w:pStyle w:val="BodyTextIndent"/>
              <w:spacing w:after="0"/>
              <w:ind w:left="0" w:firstLine="0"/>
              <w:jc w:val="left"/>
              <w:rPr>
                <w:sz w:val="18"/>
              </w:rPr>
            </w:pPr>
            <w:r w:rsidRPr="00007727">
              <w:rPr>
                <w:sz w:val="18"/>
              </w:rPr>
              <w:t>Aizdevuma procenti</w:t>
            </w:r>
          </w:p>
        </w:tc>
        <w:tc>
          <w:tcPr>
            <w:tcW w:w="1275" w:type="dxa"/>
            <w:vMerge/>
            <w:tcBorders>
              <w:left w:val="single" w:sz="4" w:space="0" w:color="auto"/>
            </w:tcBorders>
          </w:tcPr>
          <w:p w14:paraId="4D385452" w14:textId="77777777" w:rsidR="00584DAF" w:rsidRPr="0098149B" w:rsidRDefault="00584DAF" w:rsidP="00584DAF">
            <w:pPr>
              <w:pStyle w:val="BodyTextIndent"/>
              <w:spacing w:after="0"/>
              <w:ind w:left="0" w:firstLine="0"/>
              <w:jc w:val="left"/>
              <w:rPr>
                <w:sz w:val="18"/>
              </w:rPr>
            </w:pPr>
          </w:p>
        </w:tc>
        <w:tc>
          <w:tcPr>
            <w:tcW w:w="1134" w:type="dxa"/>
          </w:tcPr>
          <w:p w14:paraId="0507A456" w14:textId="4B7C8B23" w:rsidR="00584DAF" w:rsidRPr="0098149B" w:rsidRDefault="00584DAF" w:rsidP="00584DAF">
            <w:pPr>
              <w:pStyle w:val="BodyTextIndent"/>
              <w:spacing w:after="0"/>
              <w:ind w:left="0" w:firstLine="0"/>
              <w:jc w:val="right"/>
              <w:rPr>
                <w:sz w:val="18"/>
              </w:rPr>
            </w:pPr>
            <w:r>
              <w:rPr>
                <w:sz w:val="18"/>
              </w:rPr>
              <w:t xml:space="preserve">0,049 </w:t>
            </w:r>
            <w:r w:rsidRPr="00584DAF">
              <w:rPr>
                <w:i/>
                <w:sz w:val="18"/>
              </w:rPr>
              <w:t>euro</w:t>
            </w:r>
          </w:p>
        </w:tc>
        <w:tc>
          <w:tcPr>
            <w:tcW w:w="1134" w:type="dxa"/>
          </w:tcPr>
          <w:p w14:paraId="11382E51" w14:textId="5475AF68" w:rsidR="00584DAF" w:rsidRPr="0098149B" w:rsidRDefault="00584DAF" w:rsidP="00584DAF">
            <w:pPr>
              <w:pStyle w:val="BodyTextIndent"/>
              <w:spacing w:after="0"/>
              <w:ind w:left="0" w:firstLine="0"/>
              <w:jc w:val="right"/>
              <w:rPr>
                <w:sz w:val="18"/>
              </w:rPr>
            </w:pPr>
            <w:r>
              <w:rPr>
                <w:sz w:val="18"/>
              </w:rPr>
              <w:t xml:space="preserve">0,047 </w:t>
            </w:r>
            <w:r w:rsidRPr="00584DAF">
              <w:rPr>
                <w:i/>
                <w:sz w:val="18"/>
              </w:rPr>
              <w:t>euro</w:t>
            </w:r>
          </w:p>
        </w:tc>
        <w:tc>
          <w:tcPr>
            <w:tcW w:w="1128" w:type="dxa"/>
          </w:tcPr>
          <w:p w14:paraId="3355A04F" w14:textId="3D3BCD73" w:rsidR="00584DAF" w:rsidRPr="0098149B" w:rsidRDefault="00584DAF" w:rsidP="00584DAF">
            <w:pPr>
              <w:pStyle w:val="BodyTextIndent"/>
              <w:spacing w:after="0"/>
              <w:ind w:left="0" w:firstLine="0"/>
              <w:jc w:val="right"/>
              <w:rPr>
                <w:sz w:val="18"/>
              </w:rPr>
            </w:pPr>
            <w:r>
              <w:rPr>
                <w:sz w:val="18"/>
              </w:rPr>
              <w:t xml:space="preserve">0,044 </w:t>
            </w:r>
            <w:r w:rsidRPr="00584DAF">
              <w:rPr>
                <w:i/>
                <w:sz w:val="18"/>
              </w:rPr>
              <w:t>euro</w:t>
            </w:r>
          </w:p>
        </w:tc>
      </w:tr>
      <w:tr w:rsidR="00584DAF" w:rsidRPr="0098149B" w14:paraId="3027AB9A" w14:textId="77777777" w:rsidTr="00AE381A">
        <w:tc>
          <w:tcPr>
            <w:tcW w:w="4390" w:type="dxa"/>
            <w:tcBorders>
              <w:top w:val="nil"/>
              <w:left w:val="single" w:sz="4" w:space="0" w:color="auto"/>
              <w:bottom w:val="single" w:sz="4" w:space="0" w:color="auto"/>
              <w:right w:val="single" w:sz="4" w:space="0" w:color="auto"/>
            </w:tcBorders>
          </w:tcPr>
          <w:p w14:paraId="019CDAEE" w14:textId="3C14A9C6" w:rsidR="00584DAF" w:rsidRPr="0098149B" w:rsidRDefault="00584DAF" w:rsidP="00584DAF">
            <w:pPr>
              <w:pStyle w:val="BodyTextIndent"/>
              <w:spacing w:after="0"/>
              <w:ind w:left="0" w:firstLine="0"/>
              <w:jc w:val="left"/>
              <w:rPr>
                <w:sz w:val="18"/>
              </w:rPr>
            </w:pPr>
            <w:r w:rsidRPr="00007727">
              <w:rPr>
                <w:sz w:val="18"/>
              </w:rPr>
              <w:t>Pamatsumma</w:t>
            </w:r>
          </w:p>
        </w:tc>
        <w:tc>
          <w:tcPr>
            <w:tcW w:w="1275" w:type="dxa"/>
            <w:vMerge/>
            <w:tcBorders>
              <w:left w:val="single" w:sz="4" w:space="0" w:color="auto"/>
              <w:bottom w:val="single" w:sz="4" w:space="0" w:color="auto"/>
            </w:tcBorders>
          </w:tcPr>
          <w:p w14:paraId="798798A0" w14:textId="77777777" w:rsidR="00584DAF" w:rsidRPr="0098149B" w:rsidRDefault="00584DAF" w:rsidP="00584DAF">
            <w:pPr>
              <w:pStyle w:val="BodyTextIndent"/>
              <w:spacing w:after="0"/>
              <w:ind w:left="0" w:firstLine="0"/>
              <w:jc w:val="left"/>
              <w:rPr>
                <w:sz w:val="18"/>
              </w:rPr>
            </w:pPr>
          </w:p>
        </w:tc>
        <w:tc>
          <w:tcPr>
            <w:tcW w:w="1134" w:type="dxa"/>
            <w:tcBorders>
              <w:bottom w:val="single" w:sz="4" w:space="0" w:color="auto"/>
            </w:tcBorders>
          </w:tcPr>
          <w:p w14:paraId="61F72CDB" w14:textId="5983F3C0" w:rsidR="00584DAF" w:rsidRPr="0098149B" w:rsidRDefault="00584DAF" w:rsidP="00584DAF">
            <w:pPr>
              <w:pStyle w:val="BodyTextIndent"/>
              <w:spacing w:after="0"/>
              <w:ind w:left="0" w:firstLine="0"/>
              <w:jc w:val="right"/>
              <w:rPr>
                <w:sz w:val="18"/>
              </w:rPr>
            </w:pPr>
            <w:r>
              <w:rPr>
                <w:sz w:val="18"/>
              </w:rPr>
              <w:t xml:space="preserve">2,130 </w:t>
            </w:r>
            <w:r w:rsidRPr="00584DAF">
              <w:rPr>
                <w:i/>
                <w:sz w:val="18"/>
              </w:rPr>
              <w:t>euro</w:t>
            </w:r>
          </w:p>
        </w:tc>
        <w:tc>
          <w:tcPr>
            <w:tcW w:w="1134" w:type="dxa"/>
            <w:tcBorders>
              <w:bottom w:val="single" w:sz="4" w:space="0" w:color="auto"/>
            </w:tcBorders>
          </w:tcPr>
          <w:p w14:paraId="6280C72A" w14:textId="5529185A" w:rsidR="00584DAF" w:rsidRPr="0098149B" w:rsidRDefault="00584DAF" w:rsidP="00584DAF">
            <w:pPr>
              <w:pStyle w:val="BodyTextIndent"/>
              <w:spacing w:after="0"/>
              <w:ind w:left="0" w:firstLine="0"/>
              <w:jc w:val="right"/>
              <w:rPr>
                <w:sz w:val="18"/>
              </w:rPr>
            </w:pPr>
            <w:r>
              <w:rPr>
                <w:sz w:val="18"/>
              </w:rPr>
              <w:t xml:space="preserve">2,130 </w:t>
            </w:r>
            <w:r w:rsidRPr="00584DAF">
              <w:rPr>
                <w:i/>
                <w:sz w:val="18"/>
              </w:rPr>
              <w:t>euro</w:t>
            </w:r>
          </w:p>
        </w:tc>
        <w:tc>
          <w:tcPr>
            <w:tcW w:w="1128" w:type="dxa"/>
            <w:tcBorders>
              <w:bottom w:val="single" w:sz="4" w:space="0" w:color="auto"/>
            </w:tcBorders>
          </w:tcPr>
          <w:p w14:paraId="01658EE6" w14:textId="13B781EC" w:rsidR="00584DAF" w:rsidRPr="0098149B" w:rsidRDefault="00584DAF" w:rsidP="00584DAF">
            <w:pPr>
              <w:pStyle w:val="BodyTextIndent"/>
              <w:spacing w:after="0"/>
              <w:ind w:left="0" w:firstLine="0"/>
              <w:jc w:val="right"/>
              <w:rPr>
                <w:sz w:val="18"/>
              </w:rPr>
            </w:pPr>
            <w:r>
              <w:rPr>
                <w:sz w:val="18"/>
              </w:rPr>
              <w:t xml:space="preserve">2,130 </w:t>
            </w:r>
            <w:r w:rsidRPr="00584DAF">
              <w:rPr>
                <w:i/>
                <w:sz w:val="18"/>
              </w:rPr>
              <w:t>euro</w:t>
            </w:r>
          </w:p>
        </w:tc>
      </w:tr>
      <w:tr w:rsidR="00446F70" w:rsidRPr="0098149B" w14:paraId="012EBB31" w14:textId="77777777" w:rsidTr="00446F70">
        <w:tc>
          <w:tcPr>
            <w:tcW w:w="4390" w:type="dxa"/>
            <w:tcBorders>
              <w:top w:val="single" w:sz="4" w:space="0" w:color="auto"/>
            </w:tcBorders>
          </w:tcPr>
          <w:p w14:paraId="7D43C00A" w14:textId="77777777" w:rsidR="00446F70" w:rsidRDefault="00446F70" w:rsidP="00446F70">
            <w:pPr>
              <w:pStyle w:val="BodyTextIndent"/>
              <w:spacing w:after="0"/>
              <w:ind w:left="0" w:firstLine="0"/>
              <w:jc w:val="center"/>
              <w:rPr>
                <w:sz w:val="18"/>
              </w:rPr>
            </w:pPr>
            <w:r>
              <w:rPr>
                <w:sz w:val="18"/>
              </w:rPr>
              <w:t>Rīgas Austrumu klīniskā universitātes slimnīca VSIA</w:t>
            </w:r>
          </w:p>
          <w:p w14:paraId="7CEF0690" w14:textId="19123CF4" w:rsidR="00446F70" w:rsidRPr="0098149B" w:rsidRDefault="00446F70" w:rsidP="00446F70">
            <w:pPr>
              <w:pStyle w:val="BodyTextIndent"/>
              <w:spacing w:after="0"/>
              <w:ind w:left="0" w:firstLine="0"/>
              <w:jc w:val="center"/>
              <w:rPr>
                <w:sz w:val="18"/>
              </w:rPr>
            </w:pPr>
            <w:r>
              <w:rPr>
                <w:sz w:val="18"/>
              </w:rPr>
              <w:t>(FMS Wertmanagement AOR)</w:t>
            </w:r>
          </w:p>
        </w:tc>
        <w:tc>
          <w:tcPr>
            <w:tcW w:w="1275" w:type="dxa"/>
            <w:vMerge w:val="restart"/>
            <w:vAlign w:val="center"/>
          </w:tcPr>
          <w:p w14:paraId="78DBC2EC" w14:textId="1D1D64BF" w:rsidR="00446F70" w:rsidRPr="0098149B" w:rsidRDefault="00446F70" w:rsidP="00446F70">
            <w:pPr>
              <w:pStyle w:val="BodyTextIndent"/>
              <w:spacing w:after="0"/>
              <w:ind w:left="0" w:firstLine="0"/>
              <w:jc w:val="center"/>
              <w:rPr>
                <w:sz w:val="18"/>
              </w:rPr>
            </w:pPr>
            <w:r>
              <w:rPr>
                <w:sz w:val="18"/>
              </w:rPr>
              <w:t xml:space="preserve">55,571 </w:t>
            </w:r>
            <w:r w:rsidRPr="00446F70">
              <w:rPr>
                <w:i/>
                <w:sz w:val="18"/>
              </w:rPr>
              <w:t>euro</w:t>
            </w:r>
          </w:p>
        </w:tc>
        <w:tc>
          <w:tcPr>
            <w:tcW w:w="1134" w:type="dxa"/>
          </w:tcPr>
          <w:p w14:paraId="21D1E307" w14:textId="77777777" w:rsidR="00446F70" w:rsidRPr="0098149B" w:rsidRDefault="00446F70" w:rsidP="00584DAF">
            <w:pPr>
              <w:pStyle w:val="BodyTextIndent"/>
              <w:spacing w:after="0"/>
              <w:ind w:left="0" w:firstLine="0"/>
              <w:jc w:val="left"/>
              <w:rPr>
                <w:sz w:val="18"/>
              </w:rPr>
            </w:pPr>
          </w:p>
        </w:tc>
        <w:tc>
          <w:tcPr>
            <w:tcW w:w="1134" w:type="dxa"/>
          </w:tcPr>
          <w:p w14:paraId="0BFF50CC" w14:textId="77777777" w:rsidR="00446F70" w:rsidRPr="0098149B" w:rsidRDefault="00446F70" w:rsidP="00584DAF">
            <w:pPr>
              <w:pStyle w:val="BodyTextIndent"/>
              <w:spacing w:after="0"/>
              <w:ind w:left="0" w:firstLine="0"/>
              <w:jc w:val="left"/>
              <w:rPr>
                <w:sz w:val="18"/>
              </w:rPr>
            </w:pPr>
          </w:p>
        </w:tc>
        <w:tc>
          <w:tcPr>
            <w:tcW w:w="1128" w:type="dxa"/>
          </w:tcPr>
          <w:p w14:paraId="5CCB6000" w14:textId="77777777" w:rsidR="00446F70" w:rsidRPr="0098149B" w:rsidRDefault="00446F70" w:rsidP="00584DAF">
            <w:pPr>
              <w:pStyle w:val="BodyTextIndent"/>
              <w:spacing w:after="0"/>
              <w:ind w:left="0" w:firstLine="0"/>
              <w:jc w:val="left"/>
              <w:rPr>
                <w:sz w:val="18"/>
              </w:rPr>
            </w:pPr>
          </w:p>
        </w:tc>
      </w:tr>
      <w:tr w:rsidR="00446F70" w:rsidRPr="0098149B" w14:paraId="47BEF073" w14:textId="77777777" w:rsidTr="0098149B">
        <w:tc>
          <w:tcPr>
            <w:tcW w:w="4390" w:type="dxa"/>
          </w:tcPr>
          <w:p w14:paraId="78CFFC72" w14:textId="07824AD7" w:rsidR="00446F70" w:rsidRPr="0098149B" w:rsidRDefault="00446F70" w:rsidP="00446F70">
            <w:pPr>
              <w:pStyle w:val="BodyTextIndent"/>
              <w:spacing w:after="0"/>
              <w:ind w:left="0" w:firstLine="0"/>
              <w:jc w:val="left"/>
              <w:rPr>
                <w:sz w:val="18"/>
              </w:rPr>
            </w:pPr>
            <w:r w:rsidRPr="00007727">
              <w:rPr>
                <w:sz w:val="18"/>
              </w:rPr>
              <w:t>Aizdevuma procenti</w:t>
            </w:r>
          </w:p>
        </w:tc>
        <w:tc>
          <w:tcPr>
            <w:tcW w:w="1275" w:type="dxa"/>
            <w:vMerge/>
          </w:tcPr>
          <w:p w14:paraId="5E14A3B7" w14:textId="77777777" w:rsidR="00446F70" w:rsidRPr="0098149B" w:rsidRDefault="00446F70" w:rsidP="00446F70">
            <w:pPr>
              <w:pStyle w:val="BodyTextIndent"/>
              <w:spacing w:after="0"/>
              <w:ind w:left="0" w:firstLine="0"/>
              <w:jc w:val="left"/>
              <w:rPr>
                <w:sz w:val="18"/>
              </w:rPr>
            </w:pPr>
          </w:p>
        </w:tc>
        <w:tc>
          <w:tcPr>
            <w:tcW w:w="1134" w:type="dxa"/>
          </w:tcPr>
          <w:p w14:paraId="58D98410" w14:textId="4C25FD42" w:rsidR="00446F70" w:rsidRPr="0098149B" w:rsidRDefault="00446F70" w:rsidP="00446F70">
            <w:pPr>
              <w:pStyle w:val="BodyTextIndent"/>
              <w:spacing w:after="0"/>
              <w:ind w:left="0" w:firstLine="0"/>
              <w:jc w:val="right"/>
              <w:rPr>
                <w:sz w:val="18"/>
              </w:rPr>
            </w:pPr>
            <w:r>
              <w:rPr>
                <w:sz w:val="18"/>
              </w:rPr>
              <w:t xml:space="preserve">0,047 </w:t>
            </w:r>
            <w:r w:rsidRPr="00446F70">
              <w:rPr>
                <w:i/>
                <w:sz w:val="18"/>
              </w:rPr>
              <w:t>euro</w:t>
            </w:r>
          </w:p>
        </w:tc>
        <w:tc>
          <w:tcPr>
            <w:tcW w:w="1134" w:type="dxa"/>
          </w:tcPr>
          <w:p w14:paraId="2BAC38D3" w14:textId="0BCE62E5" w:rsidR="00446F70" w:rsidRPr="0098149B" w:rsidRDefault="00446F70" w:rsidP="00446F70">
            <w:pPr>
              <w:pStyle w:val="BodyTextIndent"/>
              <w:spacing w:after="0"/>
              <w:ind w:left="0" w:firstLine="0"/>
              <w:jc w:val="right"/>
              <w:rPr>
                <w:sz w:val="18"/>
              </w:rPr>
            </w:pPr>
            <w:r>
              <w:rPr>
                <w:sz w:val="18"/>
              </w:rPr>
              <w:t xml:space="preserve">0,046 </w:t>
            </w:r>
            <w:r w:rsidRPr="00446F70">
              <w:rPr>
                <w:i/>
                <w:sz w:val="18"/>
              </w:rPr>
              <w:t>euro</w:t>
            </w:r>
          </w:p>
        </w:tc>
        <w:tc>
          <w:tcPr>
            <w:tcW w:w="1128" w:type="dxa"/>
          </w:tcPr>
          <w:p w14:paraId="090CB66C" w14:textId="650371C3" w:rsidR="00446F70" w:rsidRPr="0098149B" w:rsidRDefault="00446F70" w:rsidP="00446F70">
            <w:pPr>
              <w:pStyle w:val="BodyTextIndent"/>
              <w:spacing w:after="0"/>
              <w:ind w:left="0" w:firstLine="0"/>
              <w:jc w:val="right"/>
              <w:rPr>
                <w:sz w:val="18"/>
              </w:rPr>
            </w:pPr>
            <w:r>
              <w:rPr>
                <w:sz w:val="18"/>
              </w:rPr>
              <w:t xml:space="preserve">0,044 </w:t>
            </w:r>
            <w:r w:rsidRPr="00446F70">
              <w:rPr>
                <w:i/>
                <w:sz w:val="18"/>
              </w:rPr>
              <w:t>euro</w:t>
            </w:r>
          </w:p>
        </w:tc>
      </w:tr>
      <w:tr w:rsidR="00446F70" w:rsidRPr="0098149B" w14:paraId="0D9B68C5" w14:textId="77777777" w:rsidTr="00AE381A">
        <w:tc>
          <w:tcPr>
            <w:tcW w:w="4390" w:type="dxa"/>
            <w:tcBorders>
              <w:bottom w:val="single" w:sz="4" w:space="0" w:color="auto"/>
            </w:tcBorders>
          </w:tcPr>
          <w:p w14:paraId="1683D074" w14:textId="2C7DD4A0" w:rsidR="00446F70" w:rsidRPr="0098149B" w:rsidRDefault="00446F70" w:rsidP="00446F70">
            <w:pPr>
              <w:pStyle w:val="BodyTextIndent"/>
              <w:spacing w:after="0"/>
              <w:ind w:left="0" w:firstLine="0"/>
              <w:jc w:val="left"/>
              <w:rPr>
                <w:sz w:val="18"/>
              </w:rPr>
            </w:pPr>
            <w:r w:rsidRPr="00007727">
              <w:rPr>
                <w:sz w:val="18"/>
              </w:rPr>
              <w:t>Pamatsumma</w:t>
            </w:r>
          </w:p>
        </w:tc>
        <w:tc>
          <w:tcPr>
            <w:tcW w:w="1275" w:type="dxa"/>
            <w:vMerge/>
            <w:tcBorders>
              <w:bottom w:val="single" w:sz="4" w:space="0" w:color="auto"/>
            </w:tcBorders>
          </w:tcPr>
          <w:p w14:paraId="59E0B3A0" w14:textId="77777777" w:rsidR="00446F70" w:rsidRPr="0098149B" w:rsidRDefault="00446F70" w:rsidP="00446F70">
            <w:pPr>
              <w:pStyle w:val="BodyTextIndent"/>
              <w:spacing w:after="0"/>
              <w:ind w:left="0" w:firstLine="0"/>
              <w:jc w:val="left"/>
              <w:rPr>
                <w:sz w:val="18"/>
              </w:rPr>
            </w:pPr>
          </w:p>
        </w:tc>
        <w:tc>
          <w:tcPr>
            <w:tcW w:w="1134" w:type="dxa"/>
            <w:tcBorders>
              <w:bottom w:val="single" w:sz="4" w:space="0" w:color="auto"/>
            </w:tcBorders>
          </w:tcPr>
          <w:p w14:paraId="1C57F7E4" w14:textId="4DF91998" w:rsidR="00446F70" w:rsidRPr="0098149B" w:rsidRDefault="00446F70" w:rsidP="00446F70">
            <w:pPr>
              <w:pStyle w:val="BodyTextIndent"/>
              <w:spacing w:after="0"/>
              <w:ind w:left="0" w:firstLine="0"/>
              <w:jc w:val="right"/>
              <w:rPr>
                <w:sz w:val="18"/>
              </w:rPr>
            </w:pPr>
            <w:r>
              <w:rPr>
                <w:sz w:val="18"/>
              </w:rPr>
              <w:t xml:space="preserve">1,588 </w:t>
            </w:r>
            <w:r w:rsidRPr="00446F70">
              <w:rPr>
                <w:i/>
                <w:sz w:val="18"/>
              </w:rPr>
              <w:t>euro</w:t>
            </w:r>
          </w:p>
        </w:tc>
        <w:tc>
          <w:tcPr>
            <w:tcW w:w="1134" w:type="dxa"/>
            <w:tcBorders>
              <w:bottom w:val="single" w:sz="4" w:space="0" w:color="auto"/>
            </w:tcBorders>
          </w:tcPr>
          <w:p w14:paraId="75CD957B" w14:textId="11BFAAF7" w:rsidR="00446F70" w:rsidRPr="0098149B" w:rsidRDefault="00446F70" w:rsidP="00446F70">
            <w:pPr>
              <w:pStyle w:val="BodyTextIndent"/>
              <w:spacing w:after="0"/>
              <w:ind w:left="0" w:firstLine="0"/>
              <w:jc w:val="right"/>
              <w:rPr>
                <w:sz w:val="18"/>
              </w:rPr>
            </w:pPr>
            <w:r>
              <w:rPr>
                <w:sz w:val="18"/>
              </w:rPr>
              <w:t xml:space="preserve">1,588 </w:t>
            </w:r>
            <w:r w:rsidRPr="00446F70">
              <w:rPr>
                <w:i/>
                <w:sz w:val="18"/>
              </w:rPr>
              <w:t>euro</w:t>
            </w:r>
          </w:p>
        </w:tc>
        <w:tc>
          <w:tcPr>
            <w:tcW w:w="1128" w:type="dxa"/>
            <w:tcBorders>
              <w:bottom w:val="single" w:sz="4" w:space="0" w:color="auto"/>
            </w:tcBorders>
          </w:tcPr>
          <w:p w14:paraId="6AEC7D9A" w14:textId="20FA87B3" w:rsidR="00446F70" w:rsidRPr="0098149B" w:rsidRDefault="00446F70" w:rsidP="00446F70">
            <w:pPr>
              <w:pStyle w:val="BodyTextIndent"/>
              <w:spacing w:after="0"/>
              <w:ind w:left="0" w:firstLine="0"/>
              <w:jc w:val="right"/>
              <w:rPr>
                <w:sz w:val="18"/>
              </w:rPr>
            </w:pPr>
            <w:r>
              <w:rPr>
                <w:sz w:val="18"/>
              </w:rPr>
              <w:t xml:space="preserve">1,588 </w:t>
            </w:r>
            <w:r w:rsidRPr="00446F70">
              <w:rPr>
                <w:i/>
                <w:sz w:val="18"/>
              </w:rPr>
              <w:t>euro</w:t>
            </w:r>
          </w:p>
        </w:tc>
      </w:tr>
      <w:tr w:rsidR="00446F70" w:rsidRPr="0098149B" w14:paraId="24C939DA" w14:textId="77777777" w:rsidTr="00AE381A">
        <w:tc>
          <w:tcPr>
            <w:tcW w:w="4390" w:type="dxa"/>
            <w:tcBorders>
              <w:top w:val="single" w:sz="4" w:space="0" w:color="auto"/>
              <w:left w:val="nil"/>
              <w:bottom w:val="single" w:sz="4" w:space="0" w:color="auto"/>
              <w:right w:val="nil"/>
            </w:tcBorders>
          </w:tcPr>
          <w:p w14:paraId="1E0F0FBB" w14:textId="77777777" w:rsidR="00446F70" w:rsidRPr="0098149B" w:rsidRDefault="00446F70" w:rsidP="00446F70">
            <w:pPr>
              <w:pStyle w:val="BodyTextIndent"/>
              <w:spacing w:after="0"/>
              <w:ind w:left="0" w:firstLine="0"/>
              <w:jc w:val="left"/>
              <w:rPr>
                <w:sz w:val="18"/>
              </w:rPr>
            </w:pPr>
          </w:p>
        </w:tc>
        <w:tc>
          <w:tcPr>
            <w:tcW w:w="1275" w:type="dxa"/>
            <w:tcBorders>
              <w:top w:val="single" w:sz="4" w:space="0" w:color="auto"/>
              <w:left w:val="nil"/>
              <w:bottom w:val="single" w:sz="4" w:space="0" w:color="auto"/>
              <w:right w:val="nil"/>
            </w:tcBorders>
          </w:tcPr>
          <w:p w14:paraId="42DB3B52" w14:textId="77777777" w:rsidR="00446F70" w:rsidRPr="0098149B" w:rsidRDefault="00446F70" w:rsidP="00446F70">
            <w:pPr>
              <w:pStyle w:val="BodyTextIndent"/>
              <w:spacing w:after="0"/>
              <w:ind w:left="0" w:firstLine="0"/>
              <w:jc w:val="left"/>
              <w:rPr>
                <w:sz w:val="18"/>
              </w:rPr>
            </w:pPr>
          </w:p>
        </w:tc>
        <w:tc>
          <w:tcPr>
            <w:tcW w:w="1134" w:type="dxa"/>
            <w:tcBorders>
              <w:top w:val="single" w:sz="4" w:space="0" w:color="auto"/>
              <w:left w:val="nil"/>
              <w:bottom w:val="single" w:sz="4" w:space="0" w:color="auto"/>
              <w:right w:val="nil"/>
            </w:tcBorders>
          </w:tcPr>
          <w:p w14:paraId="6F7F9014" w14:textId="77777777" w:rsidR="00446F70" w:rsidRPr="0098149B" w:rsidRDefault="00446F70" w:rsidP="00446F70">
            <w:pPr>
              <w:pStyle w:val="BodyTextIndent"/>
              <w:spacing w:after="0"/>
              <w:ind w:left="0" w:firstLine="0"/>
              <w:jc w:val="left"/>
              <w:rPr>
                <w:sz w:val="18"/>
              </w:rPr>
            </w:pPr>
          </w:p>
        </w:tc>
        <w:tc>
          <w:tcPr>
            <w:tcW w:w="1134" w:type="dxa"/>
            <w:tcBorders>
              <w:top w:val="single" w:sz="4" w:space="0" w:color="auto"/>
              <w:left w:val="nil"/>
              <w:bottom w:val="single" w:sz="4" w:space="0" w:color="auto"/>
              <w:right w:val="nil"/>
            </w:tcBorders>
          </w:tcPr>
          <w:p w14:paraId="0BC74090" w14:textId="77777777" w:rsidR="00446F70" w:rsidRPr="0098149B" w:rsidRDefault="00446F70" w:rsidP="00446F70">
            <w:pPr>
              <w:pStyle w:val="BodyTextIndent"/>
              <w:spacing w:after="0"/>
              <w:ind w:left="0" w:firstLine="0"/>
              <w:jc w:val="left"/>
              <w:rPr>
                <w:sz w:val="18"/>
              </w:rPr>
            </w:pPr>
          </w:p>
        </w:tc>
        <w:tc>
          <w:tcPr>
            <w:tcW w:w="1128" w:type="dxa"/>
            <w:tcBorders>
              <w:top w:val="single" w:sz="4" w:space="0" w:color="auto"/>
              <w:left w:val="nil"/>
              <w:bottom w:val="single" w:sz="4" w:space="0" w:color="auto"/>
              <w:right w:val="nil"/>
            </w:tcBorders>
          </w:tcPr>
          <w:p w14:paraId="76047A00" w14:textId="77777777" w:rsidR="00446F70" w:rsidRPr="0098149B" w:rsidRDefault="00446F70" w:rsidP="00446F70">
            <w:pPr>
              <w:pStyle w:val="BodyTextIndent"/>
              <w:spacing w:after="0"/>
              <w:ind w:left="0" w:firstLine="0"/>
              <w:jc w:val="left"/>
              <w:rPr>
                <w:sz w:val="18"/>
              </w:rPr>
            </w:pPr>
          </w:p>
        </w:tc>
      </w:tr>
      <w:tr w:rsidR="00446F70" w:rsidRPr="0098149B" w14:paraId="502A4EF7" w14:textId="77777777" w:rsidTr="00AE381A">
        <w:tc>
          <w:tcPr>
            <w:tcW w:w="4390" w:type="dxa"/>
            <w:tcBorders>
              <w:top w:val="single" w:sz="4" w:space="0" w:color="auto"/>
            </w:tcBorders>
          </w:tcPr>
          <w:p w14:paraId="399C89B9" w14:textId="468AA167" w:rsidR="00446F70" w:rsidRPr="00AE381A" w:rsidRDefault="00AE381A" w:rsidP="00446F70">
            <w:pPr>
              <w:pStyle w:val="BodyTextIndent"/>
              <w:spacing w:after="0"/>
              <w:ind w:left="0" w:firstLine="0"/>
              <w:jc w:val="left"/>
              <w:rPr>
                <w:b/>
                <w:sz w:val="18"/>
              </w:rPr>
            </w:pPr>
            <w:r>
              <w:rPr>
                <w:b/>
                <w:sz w:val="18"/>
              </w:rPr>
              <w:t>Aizdevumu procentu maksājumi KOPĀ</w:t>
            </w:r>
          </w:p>
        </w:tc>
        <w:tc>
          <w:tcPr>
            <w:tcW w:w="1275" w:type="dxa"/>
            <w:tcBorders>
              <w:top w:val="single" w:sz="4" w:space="0" w:color="auto"/>
            </w:tcBorders>
            <w:vAlign w:val="center"/>
          </w:tcPr>
          <w:p w14:paraId="455C4769" w14:textId="02AFB855" w:rsidR="00446F70" w:rsidRPr="001D21DC" w:rsidRDefault="00AE381A" w:rsidP="00AE381A">
            <w:pPr>
              <w:pStyle w:val="BodyTextIndent"/>
              <w:spacing w:after="0"/>
              <w:ind w:left="0" w:firstLine="0"/>
              <w:jc w:val="center"/>
              <w:rPr>
                <w:b/>
                <w:i/>
                <w:sz w:val="18"/>
              </w:rPr>
            </w:pPr>
            <w:r w:rsidRPr="001D21DC">
              <w:rPr>
                <w:b/>
                <w:i/>
                <w:sz w:val="18"/>
              </w:rPr>
              <w:t>euro</w:t>
            </w:r>
          </w:p>
        </w:tc>
        <w:tc>
          <w:tcPr>
            <w:tcW w:w="1134" w:type="dxa"/>
            <w:tcBorders>
              <w:top w:val="single" w:sz="4" w:space="0" w:color="auto"/>
            </w:tcBorders>
          </w:tcPr>
          <w:p w14:paraId="002C72BF" w14:textId="0D2BD0C6" w:rsidR="00446F70" w:rsidRPr="001D21DC" w:rsidRDefault="001D21DC" w:rsidP="00AE381A">
            <w:pPr>
              <w:pStyle w:val="BodyTextIndent"/>
              <w:spacing w:after="0"/>
              <w:ind w:left="0" w:firstLine="0"/>
              <w:jc w:val="right"/>
              <w:rPr>
                <w:b/>
                <w:sz w:val="18"/>
              </w:rPr>
            </w:pPr>
            <w:r>
              <w:rPr>
                <w:b/>
                <w:sz w:val="18"/>
              </w:rPr>
              <w:t>0,280</w:t>
            </w:r>
          </w:p>
        </w:tc>
        <w:tc>
          <w:tcPr>
            <w:tcW w:w="1134" w:type="dxa"/>
            <w:tcBorders>
              <w:top w:val="single" w:sz="4" w:space="0" w:color="auto"/>
            </w:tcBorders>
          </w:tcPr>
          <w:p w14:paraId="443AB692" w14:textId="54101C6C" w:rsidR="00446F70" w:rsidRPr="001D21DC" w:rsidRDefault="001D21DC" w:rsidP="00AE381A">
            <w:pPr>
              <w:pStyle w:val="BodyTextIndent"/>
              <w:spacing w:after="0"/>
              <w:ind w:left="0" w:firstLine="0"/>
              <w:jc w:val="right"/>
              <w:rPr>
                <w:b/>
                <w:sz w:val="18"/>
              </w:rPr>
            </w:pPr>
            <w:r>
              <w:rPr>
                <w:b/>
                <w:sz w:val="18"/>
              </w:rPr>
              <w:t>0,246</w:t>
            </w:r>
          </w:p>
        </w:tc>
        <w:tc>
          <w:tcPr>
            <w:tcW w:w="1128" w:type="dxa"/>
            <w:tcBorders>
              <w:top w:val="single" w:sz="4" w:space="0" w:color="auto"/>
            </w:tcBorders>
          </w:tcPr>
          <w:p w14:paraId="1B7AC6D3" w14:textId="520D87F1" w:rsidR="00446F70" w:rsidRPr="001D21DC" w:rsidRDefault="001D21DC" w:rsidP="00AE381A">
            <w:pPr>
              <w:pStyle w:val="BodyTextIndent"/>
              <w:spacing w:after="0"/>
              <w:ind w:left="0" w:firstLine="0"/>
              <w:jc w:val="right"/>
              <w:rPr>
                <w:b/>
                <w:sz w:val="18"/>
              </w:rPr>
            </w:pPr>
            <w:r>
              <w:rPr>
                <w:b/>
                <w:sz w:val="18"/>
              </w:rPr>
              <w:t>0,217</w:t>
            </w:r>
          </w:p>
        </w:tc>
      </w:tr>
      <w:tr w:rsidR="00446F70" w:rsidRPr="0098149B" w14:paraId="61B0B67C" w14:textId="77777777" w:rsidTr="00AE381A">
        <w:tc>
          <w:tcPr>
            <w:tcW w:w="4390" w:type="dxa"/>
          </w:tcPr>
          <w:p w14:paraId="02242A0F" w14:textId="7A795231" w:rsidR="00446F70" w:rsidRPr="00AE381A" w:rsidRDefault="00AE381A" w:rsidP="00446F70">
            <w:pPr>
              <w:pStyle w:val="BodyTextIndent"/>
              <w:spacing w:after="0"/>
              <w:ind w:left="0" w:firstLine="0"/>
              <w:jc w:val="left"/>
              <w:rPr>
                <w:b/>
                <w:sz w:val="18"/>
              </w:rPr>
            </w:pPr>
            <w:r w:rsidRPr="00AE381A">
              <w:rPr>
                <w:b/>
                <w:sz w:val="18"/>
              </w:rPr>
              <w:t>Pamatsumma KOPĀ</w:t>
            </w:r>
          </w:p>
        </w:tc>
        <w:tc>
          <w:tcPr>
            <w:tcW w:w="1275" w:type="dxa"/>
            <w:vAlign w:val="center"/>
          </w:tcPr>
          <w:p w14:paraId="406E2A23" w14:textId="2CF9C62E" w:rsidR="00446F70" w:rsidRPr="001D21DC" w:rsidRDefault="00AE381A" w:rsidP="00AE381A">
            <w:pPr>
              <w:pStyle w:val="BodyTextIndent"/>
              <w:spacing w:after="0"/>
              <w:ind w:left="0" w:firstLine="0"/>
              <w:jc w:val="center"/>
              <w:rPr>
                <w:b/>
                <w:sz w:val="18"/>
              </w:rPr>
            </w:pPr>
            <w:r w:rsidRPr="001D21DC">
              <w:rPr>
                <w:b/>
                <w:i/>
                <w:sz w:val="18"/>
              </w:rPr>
              <w:t>euro</w:t>
            </w:r>
          </w:p>
        </w:tc>
        <w:tc>
          <w:tcPr>
            <w:tcW w:w="1134" w:type="dxa"/>
          </w:tcPr>
          <w:p w14:paraId="5D534C65" w14:textId="147E27A3" w:rsidR="00446F70" w:rsidRPr="001D21DC" w:rsidRDefault="001D21DC" w:rsidP="00AE381A">
            <w:pPr>
              <w:pStyle w:val="BodyTextIndent"/>
              <w:spacing w:after="0"/>
              <w:ind w:left="0" w:firstLine="0"/>
              <w:jc w:val="right"/>
              <w:rPr>
                <w:b/>
                <w:sz w:val="18"/>
              </w:rPr>
            </w:pPr>
            <w:r>
              <w:rPr>
                <w:b/>
                <w:sz w:val="18"/>
              </w:rPr>
              <w:t>13,873</w:t>
            </w:r>
          </w:p>
        </w:tc>
        <w:tc>
          <w:tcPr>
            <w:tcW w:w="1134" w:type="dxa"/>
          </w:tcPr>
          <w:p w14:paraId="5FA69AB4" w14:textId="4DBAABAF" w:rsidR="00446F70" w:rsidRPr="001D21DC" w:rsidRDefault="001D21DC" w:rsidP="00AE381A">
            <w:pPr>
              <w:pStyle w:val="BodyTextIndent"/>
              <w:spacing w:after="0"/>
              <w:ind w:left="0" w:firstLine="0"/>
              <w:jc w:val="right"/>
              <w:rPr>
                <w:b/>
                <w:sz w:val="18"/>
              </w:rPr>
            </w:pPr>
            <w:r>
              <w:rPr>
                <w:b/>
                <w:sz w:val="18"/>
              </w:rPr>
              <w:t>10,974</w:t>
            </w:r>
          </w:p>
        </w:tc>
        <w:tc>
          <w:tcPr>
            <w:tcW w:w="1128" w:type="dxa"/>
          </w:tcPr>
          <w:p w14:paraId="1589C755" w14:textId="3239F20C" w:rsidR="00446F70" w:rsidRPr="001D21DC" w:rsidRDefault="001D21DC" w:rsidP="00AE381A">
            <w:pPr>
              <w:pStyle w:val="BodyTextIndent"/>
              <w:spacing w:after="0"/>
              <w:ind w:left="0" w:firstLine="0"/>
              <w:jc w:val="right"/>
              <w:rPr>
                <w:b/>
                <w:sz w:val="18"/>
              </w:rPr>
            </w:pPr>
            <w:r>
              <w:rPr>
                <w:b/>
                <w:sz w:val="18"/>
              </w:rPr>
              <w:t>8,015</w:t>
            </w:r>
          </w:p>
        </w:tc>
      </w:tr>
    </w:tbl>
    <w:p w14:paraId="6A4B9E46" w14:textId="77777777" w:rsidR="00C5770E" w:rsidRPr="00094F17" w:rsidRDefault="00C5770E" w:rsidP="00C5770E">
      <w:pPr>
        <w:ind w:firstLine="0"/>
        <w:rPr>
          <w:i/>
          <w:sz w:val="18"/>
        </w:rPr>
      </w:pPr>
      <w:r w:rsidRPr="00094F17">
        <w:rPr>
          <w:i/>
          <w:sz w:val="18"/>
        </w:rPr>
        <w:t>*</w:t>
      </w:r>
      <w:r>
        <w:rPr>
          <w:i/>
          <w:sz w:val="18"/>
        </w:rPr>
        <w:t>i</w:t>
      </w:r>
      <w:r w:rsidRPr="00094F17">
        <w:rPr>
          <w:i/>
          <w:sz w:val="18"/>
        </w:rPr>
        <w:t>zņemot saistības, par kurām valsts galvojums sniegts portfeļgarantijas veidā</w:t>
      </w:r>
    </w:p>
    <w:p w14:paraId="7203D4DE" w14:textId="77777777" w:rsidR="00C5770E" w:rsidRPr="007A5A24" w:rsidRDefault="00C5770E" w:rsidP="00C5770E">
      <w:pPr>
        <w:ind w:firstLine="720"/>
      </w:pPr>
      <w:r w:rsidRPr="00A9364C">
        <w:t>Izvērtējot pašreizējo informāciju par aizņēmēju finansiālo stāvokli, līdzšinējo kredītvēsturi, nodrošinājuma likviditāti un apjomu, kā arī citu pieejamo informāciju, kā relatīvi riskantāk</w:t>
      </w:r>
      <w:r>
        <w:t xml:space="preserve">s </w:t>
      </w:r>
      <w:r w:rsidRPr="00A9364C">
        <w:t xml:space="preserve"> novērtēt</w:t>
      </w:r>
      <w:r>
        <w:t>s</w:t>
      </w:r>
      <w:r w:rsidRPr="00A9364C">
        <w:t xml:space="preserve"> </w:t>
      </w:r>
      <w:r w:rsidRPr="00A4413E">
        <w:t>galvojum</w:t>
      </w:r>
      <w:r>
        <w:t>s</w:t>
      </w:r>
      <w:r w:rsidRPr="00A4413E">
        <w:t xml:space="preserve"> </w:t>
      </w:r>
      <w:r>
        <w:t>vienam</w:t>
      </w:r>
      <w:r w:rsidRPr="00A4413E">
        <w:t xml:space="preserve"> aizņēmēj</w:t>
      </w:r>
      <w:r>
        <w:t>a</w:t>
      </w:r>
      <w:r w:rsidRPr="00A4413E">
        <w:t xml:space="preserve">m, </w:t>
      </w:r>
      <w:r>
        <w:t>p</w:t>
      </w:r>
      <w:r w:rsidRPr="00A4413E">
        <w:t>astāv</w:t>
      </w:r>
      <w:r>
        <w:t>ot</w:t>
      </w:r>
      <w:r w:rsidRPr="00A4413E">
        <w:t xml:space="preserve"> varbūtība</w:t>
      </w:r>
      <w:r>
        <w:t>i</w:t>
      </w:r>
      <w:r w:rsidRPr="00A4413E">
        <w:t xml:space="preserve">, ka </w:t>
      </w:r>
      <w:r>
        <w:t>šī</w:t>
      </w:r>
      <w:r w:rsidRPr="00A4413E">
        <w:t xml:space="preserve"> valsts galvot</w:t>
      </w:r>
      <w:r>
        <w:t>ā</w:t>
      </w:r>
      <w:r w:rsidRPr="00A4413E">
        <w:t xml:space="preserve"> aizdevum</w:t>
      </w:r>
      <w:r>
        <w:t>a</w:t>
      </w:r>
      <w:r w:rsidRPr="00A4413E">
        <w:t xml:space="preserve"> saistības vai t</w:t>
      </w:r>
      <w:r>
        <w:t>ā</w:t>
      </w:r>
      <w:r w:rsidRPr="00A4413E">
        <w:t xml:space="preserve"> daļa varētu netikt </w:t>
      </w:r>
      <w:r>
        <w:t>izpildīta</w:t>
      </w:r>
      <w:r w:rsidRPr="00A4413E">
        <w:t xml:space="preserve"> noteiktajā termiņā. Valdības rīcības pieļaujamās robežas, lai segtu izdevumus, kas var rasties, pildot uz valsts budžetu attiecināmās valsts galvotā parāda saistības 20</w:t>
      </w:r>
      <w:r>
        <w:t xml:space="preserve">21. </w:t>
      </w:r>
      <w:r w:rsidRPr="00A4413E">
        <w:t xml:space="preserve">gadā, ir novērtētas </w:t>
      </w:r>
      <w:r w:rsidRPr="00B01D93">
        <w:t>47 000</w:t>
      </w:r>
      <w:r>
        <w:t xml:space="preserve"> </w:t>
      </w:r>
      <w:r w:rsidRPr="000F2634">
        <w:rPr>
          <w:i/>
          <w:szCs w:val="24"/>
        </w:rPr>
        <w:t>euro</w:t>
      </w:r>
      <w:r w:rsidRPr="00833CCC">
        <w:rPr>
          <w:szCs w:val="24"/>
        </w:rPr>
        <w:t xml:space="preserve"> </w:t>
      </w:r>
      <w:r w:rsidRPr="000F2634">
        <w:rPr>
          <w:szCs w:val="24"/>
        </w:rPr>
        <w:t>apmērā</w:t>
      </w:r>
      <w:r>
        <w:rPr>
          <w:szCs w:val="24"/>
        </w:rPr>
        <w:t>.</w:t>
      </w:r>
      <w:r w:rsidRPr="00783B73">
        <w:t xml:space="preserve"> </w:t>
      </w:r>
    </w:p>
    <w:p w14:paraId="5E9F712B" w14:textId="2F30F52C" w:rsidR="00FC3115" w:rsidRDefault="004A0CB3" w:rsidP="00FC3115">
      <w:pPr>
        <w:pStyle w:val="Heading2"/>
        <w:spacing w:before="240" w:after="240"/>
        <w:ind w:firstLine="0"/>
        <w:jc w:val="center"/>
        <w:rPr>
          <w:rFonts w:ascii="Times New Roman" w:hAnsi="Times New Roman" w:cs="Times New Roman"/>
          <w:b/>
          <w:color w:val="auto"/>
          <w:sz w:val="36"/>
          <w:szCs w:val="36"/>
        </w:rPr>
      </w:pPr>
      <w:r w:rsidRPr="006E6D01">
        <w:rPr>
          <w:rFonts w:ascii="Times New Roman" w:hAnsi="Times New Roman" w:cs="Times New Roman"/>
          <w:b/>
          <w:color w:val="auto"/>
          <w:sz w:val="36"/>
          <w:szCs w:val="36"/>
        </w:rPr>
        <w:t xml:space="preserve">6.5. </w:t>
      </w:r>
      <w:r w:rsidR="00FC3115" w:rsidRPr="00FC3115">
        <w:rPr>
          <w:rFonts w:ascii="Times New Roman" w:hAnsi="Times New Roman" w:cs="Times New Roman"/>
          <w:b/>
          <w:color w:val="auto"/>
          <w:sz w:val="36"/>
          <w:szCs w:val="36"/>
        </w:rPr>
        <w:t>Valsts saistības kredītu garantijām,</w:t>
      </w:r>
      <w:r w:rsidR="00FC3115">
        <w:rPr>
          <w:rFonts w:ascii="Times New Roman" w:hAnsi="Times New Roman" w:cs="Times New Roman"/>
          <w:b/>
          <w:color w:val="auto"/>
          <w:sz w:val="36"/>
          <w:szCs w:val="36"/>
        </w:rPr>
        <w:t xml:space="preserve"> ko izsniedz akciju sabiedrība “Attīstības finanšu institūcija “Altum””</w:t>
      </w:r>
    </w:p>
    <w:p w14:paraId="7B91A3BF" w14:textId="56C1F405" w:rsidR="00FC3115" w:rsidRPr="00AA3B4A" w:rsidRDefault="00FC3115" w:rsidP="00FC3115">
      <w:pPr>
        <w:ind w:firstLine="720"/>
        <w:rPr>
          <w:szCs w:val="24"/>
        </w:rPr>
      </w:pPr>
      <w:r>
        <w:rPr>
          <w:szCs w:val="24"/>
        </w:rPr>
        <w:t>2021</w:t>
      </w:r>
      <w:r w:rsidRPr="00AA3B4A">
        <w:rPr>
          <w:szCs w:val="24"/>
        </w:rPr>
        <w:t>.</w:t>
      </w:r>
      <w:r>
        <w:rPr>
          <w:szCs w:val="24"/>
        </w:rPr>
        <w:t xml:space="preserve"> gadā </w:t>
      </w:r>
      <w:r w:rsidRPr="00AA3B4A">
        <w:rPr>
          <w:szCs w:val="24"/>
        </w:rPr>
        <w:t>plānots īstenot šādas Ekonomikas ministrijas un Zemkopības ministrijas pārraudzībā esošas programmas, sniedzot valsts atbalstu garantijas veidā</w:t>
      </w:r>
      <w:r>
        <w:rPr>
          <w:szCs w:val="24"/>
        </w:rPr>
        <w:t>, un kuras tiek iekļautas valsts saistību limitā:</w:t>
      </w:r>
    </w:p>
    <w:p w14:paraId="1D43CDC0" w14:textId="39B6CB54" w:rsidR="00FC3115" w:rsidRPr="00E04130" w:rsidRDefault="00FC3115" w:rsidP="00FC3115">
      <w:pPr>
        <w:pStyle w:val="ListParagraph"/>
        <w:numPr>
          <w:ilvl w:val="0"/>
          <w:numId w:val="4"/>
        </w:numPr>
        <w:spacing w:before="120" w:after="120" w:line="240" w:lineRule="auto"/>
        <w:ind w:left="993" w:hanging="273"/>
        <w:contextualSpacing w:val="0"/>
        <w:jc w:val="both"/>
        <w:rPr>
          <w:rFonts w:ascii="Times New Roman" w:eastAsia="Times New Roman" w:hAnsi="Times New Roman" w:cs="Times New Roman"/>
          <w:b/>
          <w:sz w:val="24"/>
          <w:szCs w:val="24"/>
        </w:rPr>
      </w:pPr>
      <w:r w:rsidRPr="00FC3115">
        <w:rPr>
          <w:rFonts w:ascii="Times New Roman" w:hAnsi="Times New Roman" w:cs="Times New Roman"/>
          <w:b/>
          <w:sz w:val="24"/>
          <w:szCs w:val="24"/>
        </w:rPr>
        <w:t xml:space="preserve">Kredīta garantijas saimnieciskās darbības veicējiem konkurētspējas uzlabošanai </w:t>
      </w:r>
      <w:r>
        <w:rPr>
          <w:rFonts w:ascii="Times New Roman" w:hAnsi="Times New Roman" w:cs="Times New Roman"/>
          <w:b/>
          <w:sz w:val="24"/>
          <w:szCs w:val="24"/>
        </w:rPr>
        <w:t>MK</w:t>
      </w:r>
      <w:r w:rsidRPr="00FC3115">
        <w:rPr>
          <w:rFonts w:ascii="Times New Roman" w:hAnsi="Times New Roman" w:cs="Times New Roman"/>
          <w:b/>
          <w:sz w:val="24"/>
          <w:szCs w:val="24"/>
        </w:rPr>
        <w:t xml:space="preserve"> 2020. gada 16. jūnija noteikumu Nr. 383 “Noteikumi par garantijām saimnieciskās darbības veicējiem konkurētspējas uzlabošanai” </w:t>
      </w:r>
      <w:r w:rsidRPr="00FC3115">
        <w:rPr>
          <w:rFonts w:ascii="Times New Roman" w:hAnsi="Times New Roman" w:cs="Times New Roman"/>
          <w:b/>
          <w:sz w:val="24"/>
          <w:szCs w:val="24"/>
        </w:rPr>
        <w:lastRenderedPageBreak/>
        <w:t>ietvaros.</w:t>
      </w:r>
      <w:r w:rsidRPr="00FC3115">
        <w:rPr>
          <w:rFonts w:ascii="Times New Roman" w:hAnsi="Times New Roman" w:cs="Times New Roman"/>
          <w:sz w:val="24"/>
          <w:szCs w:val="24"/>
        </w:rPr>
        <w:t xml:space="preserve"> Programmas mērķis: saimnieciskās darbības veicējiem nodrošināt kredītresursus biznesa projektu īstenošanai, ja esošais nodrošinājums nav pietiekams to saņemšanai. Garantija tiek izsniegta par Latvijā reģistrētas kredītiestādes vai tās meitas sabiedrības izsniegtu finanšu pakalpojumu līdz 80 % no finansējuma pamatsummas ar kopējo termiņu līdz 15 gadiem, garantijas summa vienam saimnieciskās darbības veicējam un ar to saistīto personu grupai nepārsniedz 5 milj. </w:t>
      </w:r>
      <w:r w:rsidRPr="00FC3115">
        <w:rPr>
          <w:rFonts w:ascii="Times New Roman" w:hAnsi="Times New Roman" w:cs="Times New Roman"/>
          <w:i/>
          <w:sz w:val="24"/>
          <w:szCs w:val="24"/>
        </w:rPr>
        <w:t>euro</w:t>
      </w:r>
      <w:r w:rsidRPr="00FC3115">
        <w:rPr>
          <w:rFonts w:ascii="Times New Roman" w:hAnsi="Times New Roman" w:cs="Times New Roman"/>
          <w:sz w:val="24"/>
          <w:szCs w:val="24"/>
        </w:rPr>
        <w:t>.</w:t>
      </w:r>
      <w:r w:rsidRPr="00FC3115">
        <w:rPr>
          <w:rFonts w:ascii="Times New Roman" w:eastAsia="Times New Roman" w:hAnsi="Times New Roman" w:cs="Times New Roman"/>
          <w:sz w:val="24"/>
          <w:szCs w:val="24"/>
        </w:rPr>
        <w:t xml:space="preserve"> Apstiprinātais</w:t>
      </w:r>
      <w:r w:rsidRPr="00B76414">
        <w:rPr>
          <w:rFonts w:ascii="Times New Roman" w:eastAsia="Times New Roman" w:hAnsi="Times New Roman" w:cs="Times New Roman"/>
          <w:sz w:val="24"/>
          <w:szCs w:val="24"/>
        </w:rPr>
        <w:t xml:space="preserve"> programmas finansējums</w:t>
      </w:r>
      <w:r>
        <w:rPr>
          <w:rFonts w:ascii="Times New Roman" w:eastAsia="Times New Roman" w:hAnsi="Times New Roman" w:cs="Times New Roman"/>
          <w:sz w:val="24"/>
          <w:szCs w:val="24"/>
        </w:rPr>
        <w:t xml:space="preserve"> </w:t>
      </w:r>
      <w:r w:rsidRPr="00631868">
        <w:rPr>
          <w:rFonts w:ascii="Times New Roman" w:hAnsi="Times New Roman" w:cs="Times New Roman"/>
          <w:sz w:val="24"/>
          <w:szCs w:val="24"/>
        </w:rPr>
        <w:t>2016.-202</w:t>
      </w:r>
      <w:r>
        <w:rPr>
          <w:rFonts w:ascii="Times New Roman" w:hAnsi="Times New Roman" w:cs="Times New Roman"/>
          <w:sz w:val="24"/>
          <w:szCs w:val="24"/>
        </w:rPr>
        <w:t>3</w:t>
      </w:r>
      <w:r w:rsidRPr="00631868">
        <w:rPr>
          <w:rFonts w:ascii="Times New Roman" w:hAnsi="Times New Roman" w:cs="Times New Roman"/>
          <w:sz w:val="24"/>
          <w:szCs w:val="24"/>
        </w:rPr>
        <w:t>.</w:t>
      </w:r>
      <w:r>
        <w:rPr>
          <w:rFonts w:ascii="Times New Roman" w:hAnsi="Times New Roman" w:cs="Times New Roman"/>
          <w:sz w:val="24"/>
          <w:szCs w:val="24"/>
        </w:rPr>
        <w:t> </w:t>
      </w:r>
      <w:r w:rsidRPr="00631868">
        <w:rPr>
          <w:rFonts w:ascii="Times New Roman" w:hAnsi="Times New Roman" w:cs="Times New Roman"/>
          <w:sz w:val="24"/>
          <w:szCs w:val="24"/>
        </w:rPr>
        <w:t>gadam:</w:t>
      </w:r>
      <w:r w:rsidRPr="00B76414">
        <w:rPr>
          <w:rFonts w:ascii="Times New Roman" w:eastAsia="Times New Roman" w:hAnsi="Times New Roman" w:cs="Times New Roman"/>
          <w:sz w:val="24"/>
          <w:szCs w:val="24"/>
        </w:rPr>
        <w:t xml:space="preserve"> 53,</w:t>
      </w:r>
      <w:r>
        <w:rPr>
          <w:rFonts w:ascii="Times New Roman" w:eastAsia="Times New Roman" w:hAnsi="Times New Roman" w:cs="Times New Roman"/>
          <w:sz w:val="24"/>
          <w:szCs w:val="24"/>
        </w:rPr>
        <w:t xml:space="preserve">313 </w:t>
      </w:r>
      <w:r w:rsidRPr="00B76414">
        <w:rPr>
          <w:rFonts w:ascii="Times New Roman" w:eastAsia="Times New Roman" w:hAnsi="Times New Roman" w:cs="Times New Roman"/>
          <w:sz w:val="24"/>
          <w:szCs w:val="24"/>
        </w:rPr>
        <w:t xml:space="preserve">milj. </w:t>
      </w:r>
      <w:r w:rsidRPr="00F169A2">
        <w:rPr>
          <w:rFonts w:ascii="Times New Roman" w:hAnsi="Times New Roman" w:cs="Times New Roman"/>
          <w:i/>
          <w:sz w:val="24"/>
          <w:szCs w:val="24"/>
        </w:rPr>
        <w:t>euro</w:t>
      </w:r>
      <w:r w:rsidRPr="00B76414">
        <w:rPr>
          <w:rFonts w:ascii="Times New Roman" w:eastAsia="Times New Roman" w:hAnsi="Times New Roman" w:cs="Times New Roman"/>
          <w:sz w:val="24"/>
          <w:szCs w:val="24"/>
        </w:rPr>
        <w:t xml:space="preserve"> (gan Eiropas Reģionālās attīstības fonda finansējums </w:t>
      </w:r>
      <w:r>
        <w:rPr>
          <w:rFonts w:ascii="Times New Roman" w:eastAsia="Times New Roman" w:hAnsi="Times New Roman" w:cs="Times New Roman"/>
          <w:sz w:val="24"/>
          <w:szCs w:val="24"/>
        </w:rPr>
        <w:t>(</w:t>
      </w:r>
      <w:r w:rsidRPr="00B76414">
        <w:rPr>
          <w:rFonts w:ascii="Times New Roman" w:eastAsia="Times New Roman" w:hAnsi="Times New Roman" w:cs="Times New Roman"/>
          <w:sz w:val="24"/>
          <w:szCs w:val="24"/>
        </w:rPr>
        <w:t xml:space="preserve">turpmāk </w:t>
      </w:r>
      <w:r>
        <w:rPr>
          <w:rFonts w:ascii="Times New Roman" w:eastAsia="Times New Roman" w:hAnsi="Times New Roman" w:cs="Times New Roman"/>
          <w:sz w:val="24"/>
          <w:szCs w:val="24"/>
        </w:rPr>
        <w:t>–</w:t>
      </w:r>
      <w:r w:rsidRPr="00B76414">
        <w:rPr>
          <w:rFonts w:ascii="Times New Roman" w:eastAsia="Times New Roman" w:hAnsi="Times New Roman" w:cs="Times New Roman"/>
          <w:sz w:val="24"/>
          <w:szCs w:val="24"/>
        </w:rPr>
        <w:t xml:space="preserve"> ERAF</w:t>
      </w:r>
      <w:r>
        <w:rPr>
          <w:rFonts w:ascii="Times New Roman" w:eastAsia="Times New Roman" w:hAnsi="Times New Roman" w:cs="Times New Roman"/>
          <w:sz w:val="24"/>
          <w:szCs w:val="24"/>
        </w:rPr>
        <w:t>)</w:t>
      </w:r>
      <w:r w:rsidRPr="00B76414">
        <w:rPr>
          <w:rFonts w:ascii="Times New Roman" w:eastAsia="Times New Roman" w:hAnsi="Times New Roman" w:cs="Times New Roman"/>
          <w:sz w:val="24"/>
          <w:szCs w:val="24"/>
        </w:rPr>
        <w:t xml:space="preserve"> finansējums, gan atmaksātais finansējums no 2007.-2013.</w:t>
      </w:r>
      <w:r>
        <w:rPr>
          <w:rFonts w:ascii="Times New Roman" w:eastAsia="Times New Roman" w:hAnsi="Times New Roman" w:cs="Times New Roman"/>
          <w:sz w:val="24"/>
          <w:szCs w:val="24"/>
        </w:rPr>
        <w:t> </w:t>
      </w:r>
      <w:r w:rsidRPr="00B76414">
        <w:rPr>
          <w:rFonts w:ascii="Times New Roman" w:eastAsia="Times New Roman" w:hAnsi="Times New Roman" w:cs="Times New Roman"/>
          <w:sz w:val="24"/>
          <w:szCs w:val="24"/>
        </w:rPr>
        <w:t>gada plānošanas perioda, gan no 2004.-2006.</w:t>
      </w:r>
      <w:r>
        <w:rPr>
          <w:rFonts w:ascii="Times New Roman" w:eastAsia="Times New Roman" w:hAnsi="Times New Roman" w:cs="Times New Roman"/>
          <w:sz w:val="24"/>
          <w:szCs w:val="24"/>
        </w:rPr>
        <w:t> </w:t>
      </w:r>
      <w:r w:rsidRPr="00B76414">
        <w:rPr>
          <w:rFonts w:ascii="Times New Roman" w:eastAsia="Times New Roman" w:hAnsi="Times New Roman" w:cs="Times New Roman"/>
          <w:sz w:val="24"/>
          <w:szCs w:val="24"/>
        </w:rPr>
        <w:t>gada plānošanas perioda).</w:t>
      </w:r>
      <w:r>
        <w:rPr>
          <w:rFonts w:ascii="Times New Roman" w:eastAsia="Times New Roman" w:hAnsi="Times New Roman" w:cs="Times New Roman"/>
          <w:sz w:val="24"/>
          <w:szCs w:val="24"/>
        </w:rPr>
        <w:t xml:space="preserve"> </w:t>
      </w:r>
      <w:r w:rsidRPr="00E04130">
        <w:rPr>
          <w:rFonts w:ascii="Times New Roman" w:eastAsia="Times New Roman" w:hAnsi="Times New Roman" w:cs="Times New Roman"/>
          <w:b/>
          <w:sz w:val="24"/>
          <w:szCs w:val="24"/>
        </w:rPr>
        <w:t xml:space="preserve">Valsts saistības tiek paredzētas par </w:t>
      </w:r>
      <w:r>
        <w:rPr>
          <w:rFonts w:ascii="Times New Roman" w:eastAsia="Times New Roman" w:hAnsi="Times New Roman" w:cs="Times New Roman"/>
          <w:b/>
          <w:sz w:val="24"/>
          <w:szCs w:val="24"/>
        </w:rPr>
        <w:t xml:space="preserve">programmā jaunizsniegtajām </w:t>
      </w:r>
      <w:r w:rsidRPr="00E04130">
        <w:rPr>
          <w:rFonts w:ascii="Times New Roman" w:eastAsia="Times New Roman" w:hAnsi="Times New Roman" w:cs="Times New Roman"/>
          <w:b/>
          <w:sz w:val="24"/>
          <w:szCs w:val="24"/>
        </w:rPr>
        <w:t>garantijām</w:t>
      </w:r>
      <w:r>
        <w:rPr>
          <w:rFonts w:ascii="Times New Roman" w:eastAsia="Times New Roman" w:hAnsi="Times New Roman" w:cs="Times New Roman"/>
          <w:b/>
          <w:sz w:val="24"/>
          <w:szCs w:val="24"/>
        </w:rPr>
        <w:t xml:space="preserve"> </w:t>
      </w:r>
      <w:r w:rsidRPr="00E04130">
        <w:rPr>
          <w:rFonts w:ascii="Times New Roman" w:eastAsia="Times New Roman" w:hAnsi="Times New Roman" w:cs="Times New Roman"/>
          <w:b/>
          <w:sz w:val="24"/>
          <w:szCs w:val="24"/>
        </w:rPr>
        <w:t>no 2016. gada 1. janvāra.</w:t>
      </w:r>
    </w:p>
    <w:p w14:paraId="4D38FFDD" w14:textId="547C50A2" w:rsidR="00FC3115" w:rsidRPr="00DF7139" w:rsidRDefault="00FC3115" w:rsidP="00FC3115">
      <w:pPr>
        <w:pStyle w:val="ListParagraph"/>
        <w:numPr>
          <w:ilvl w:val="0"/>
          <w:numId w:val="4"/>
        </w:numPr>
        <w:spacing w:before="120" w:after="120" w:line="240" w:lineRule="auto"/>
        <w:ind w:left="993" w:hanging="273"/>
        <w:contextualSpacing w:val="0"/>
        <w:jc w:val="both"/>
        <w:rPr>
          <w:rFonts w:ascii="Times New Roman" w:eastAsia="Times New Roman" w:hAnsi="Times New Roman" w:cs="Times New Roman"/>
          <w:sz w:val="24"/>
          <w:szCs w:val="24"/>
        </w:rPr>
      </w:pPr>
      <w:r w:rsidRPr="00FC3115">
        <w:rPr>
          <w:rFonts w:ascii="Times New Roman" w:hAnsi="Times New Roman" w:cs="Times New Roman"/>
          <w:b/>
          <w:sz w:val="24"/>
          <w:szCs w:val="24"/>
        </w:rPr>
        <w:t>Portfeļgarantijas MK 2017. gada 5. septembra noteikumu Nr. 537 “Noteikumi par portfeļgarantijām sīko (mikro), mazo un vidējo komersantu kreditēšanas veicināšanai“ ietvaros.</w:t>
      </w:r>
      <w:r w:rsidRPr="00F7604B">
        <w:rPr>
          <w:rFonts w:ascii="Times New Roman" w:hAnsi="Times New Roman" w:cs="Times New Roman"/>
          <w:sz w:val="24"/>
          <w:szCs w:val="24"/>
        </w:rPr>
        <w:t xml:space="preserve"> Portfeļgarantiju mērķis ir veicināt finansējuma pieejamību komersantiem. Maksimālais garantijas apmērs ir 80% un maksimālā garantija vienam komersantam ir 250  tūkst. </w:t>
      </w:r>
      <w:r w:rsidRPr="00F169A2">
        <w:rPr>
          <w:rFonts w:ascii="Times New Roman" w:hAnsi="Times New Roman" w:cs="Times New Roman"/>
          <w:i/>
          <w:sz w:val="24"/>
          <w:szCs w:val="24"/>
        </w:rPr>
        <w:t>euro</w:t>
      </w:r>
      <w:r w:rsidRPr="00F7604B">
        <w:rPr>
          <w:rFonts w:ascii="Times New Roman" w:hAnsi="Times New Roman" w:cs="Times New Roman"/>
          <w:sz w:val="24"/>
          <w:szCs w:val="24"/>
        </w:rPr>
        <w:t>.  Garantijas termiņš apgrozāmiem līdzekļiem ir 5 gadi, finanšu līzingam</w:t>
      </w:r>
      <w:r>
        <w:rPr>
          <w:rFonts w:ascii="Times New Roman" w:hAnsi="Times New Roman" w:cs="Times New Roman"/>
          <w:sz w:val="24"/>
          <w:szCs w:val="24"/>
        </w:rPr>
        <w:t xml:space="preserve"> </w:t>
      </w:r>
      <w:r w:rsidRPr="00F7604B">
        <w:rPr>
          <w:rFonts w:ascii="Times New Roman" w:hAnsi="Times New Roman" w:cs="Times New Roman"/>
          <w:sz w:val="24"/>
          <w:szCs w:val="24"/>
        </w:rPr>
        <w:t>-</w:t>
      </w:r>
      <w:r>
        <w:rPr>
          <w:rFonts w:ascii="Times New Roman" w:hAnsi="Times New Roman" w:cs="Times New Roman"/>
          <w:sz w:val="24"/>
          <w:szCs w:val="24"/>
        </w:rPr>
        <w:t xml:space="preserve"> </w:t>
      </w:r>
      <w:r w:rsidRPr="00F7604B">
        <w:rPr>
          <w:rFonts w:ascii="Times New Roman" w:hAnsi="Times New Roman" w:cs="Times New Roman"/>
          <w:sz w:val="24"/>
          <w:szCs w:val="24"/>
        </w:rPr>
        <w:t>7 gadi, savukārt investīciju aizdevumam</w:t>
      </w:r>
      <w:r>
        <w:rPr>
          <w:rFonts w:ascii="Times New Roman" w:hAnsi="Times New Roman" w:cs="Times New Roman"/>
          <w:sz w:val="24"/>
          <w:szCs w:val="24"/>
        </w:rPr>
        <w:t xml:space="preserve"> </w:t>
      </w:r>
      <w:r w:rsidRPr="00F7604B">
        <w:rPr>
          <w:rFonts w:ascii="Times New Roman" w:hAnsi="Times New Roman" w:cs="Times New Roman"/>
          <w:sz w:val="24"/>
          <w:szCs w:val="24"/>
        </w:rPr>
        <w:t xml:space="preserve">- 10 gadi.  Apstiprinātais programmas finansējums: 7,8 milj. </w:t>
      </w:r>
      <w:r w:rsidRPr="00F169A2">
        <w:rPr>
          <w:rFonts w:ascii="Times New Roman" w:hAnsi="Times New Roman" w:cs="Times New Roman"/>
          <w:i/>
          <w:sz w:val="24"/>
          <w:szCs w:val="24"/>
        </w:rPr>
        <w:t>euro</w:t>
      </w:r>
      <w:r w:rsidRPr="00F7604B">
        <w:rPr>
          <w:rFonts w:ascii="Times New Roman" w:hAnsi="Times New Roman" w:cs="Times New Roman"/>
          <w:sz w:val="24"/>
          <w:szCs w:val="24"/>
        </w:rPr>
        <w:t xml:space="preserve"> (atmaksātais finansējums no 2007.-2013.</w:t>
      </w:r>
      <w:r>
        <w:rPr>
          <w:rFonts w:ascii="Times New Roman" w:hAnsi="Times New Roman" w:cs="Times New Roman"/>
          <w:sz w:val="24"/>
          <w:szCs w:val="24"/>
        </w:rPr>
        <w:t> </w:t>
      </w:r>
      <w:r w:rsidRPr="00F7604B">
        <w:rPr>
          <w:rFonts w:ascii="Times New Roman" w:hAnsi="Times New Roman" w:cs="Times New Roman"/>
          <w:sz w:val="24"/>
          <w:szCs w:val="24"/>
        </w:rPr>
        <w:t>gada plānošanas perioda).</w:t>
      </w:r>
      <w:r>
        <w:rPr>
          <w:rFonts w:ascii="Times New Roman" w:hAnsi="Times New Roman" w:cs="Times New Roman"/>
          <w:sz w:val="24"/>
          <w:szCs w:val="24"/>
        </w:rPr>
        <w:t xml:space="preserve"> </w:t>
      </w:r>
      <w:r w:rsidRPr="00E04130">
        <w:rPr>
          <w:rFonts w:ascii="Times New Roman" w:eastAsia="Times New Roman" w:hAnsi="Times New Roman" w:cs="Times New Roman"/>
          <w:b/>
          <w:sz w:val="24"/>
          <w:szCs w:val="24"/>
        </w:rPr>
        <w:t xml:space="preserve">Valsts saistības tiek paredzētas par </w:t>
      </w:r>
      <w:r>
        <w:rPr>
          <w:rFonts w:ascii="Times New Roman" w:eastAsia="Times New Roman" w:hAnsi="Times New Roman" w:cs="Times New Roman"/>
          <w:b/>
          <w:sz w:val="24"/>
          <w:szCs w:val="24"/>
        </w:rPr>
        <w:t xml:space="preserve">programmā jaunizsniegtajām </w:t>
      </w:r>
      <w:r w:rsidRPr="00E04130">
        <w:rPr>
          <w:rFonts w:ascii="Times New Roman" w:eastAsia="Times New Roman" w:hAnsi="Times New Roman" w:cs="Times New Roman"/>
          <w:b/>
          <w:sz w:val="24"/>
          <w:szCs w:val="24"/>
        </w:rPr>
        <w:t>garantijām no 2016. gada 1. janvāra līdz 2020.</w:t>
      </w:r>
      <w:r>
        <w:rPr>
          <w:rFonts w:ascii="Times New Roman" w:eastAsia="Times New Roman" w:hAnsi="Times New Roman" w:cs="Times New Roman"/>
          <w:b/>
          <w:sz w:val="24"/>
          <w:szCs w:val="24"/>
        </w:rPr>
        <w:t> </w:t>
      </w:r>
      <w:r w:rsidRPr="00E04130">
        <w:rPr>
          <w:rFonts w:ascii="Times New Roman" w:eastAsia="Times New Roman" w:hAnsi="Times New Roman" w:cs="Times New Roman"/>
          <w:b/>
          <w:sz w:val="24"/>
          <w:szCs w:val="24"/>
        </w:rPr>
        <w:t>gada 31.</w:t>
      </w:r>
      <w:r>
        <w:rPr>
          <w:rFonts w:ascii="Times New Roman" w:eastAsia="Times New Roman" w:hAnsi="Times New Roman" w:cs="Times New Roman"/>
          <w:b/>
          <w:sz w:val="24"/>
          <w:szCs w:val="24"/>
        </w:rPr>
        <w:t xml:space="preserve"> </w:t>
      </w:r>
      <w:r w:rsidRPr="00E04130">
        <w:rPr>
          <w:rFonts w:ascii="Times New Roman" w:eastAsia="Times New Roman" w:hAnsi="Times New Roman" w:cs="Times New Roman"/>
          <w:b/>
          <w:sz w:val="24"/>
          <w:szCs w:val="24"/>
        </w:rPr>
        <w:t>decembrim.</w:t>
      </w:r>
    </w:p>
    <w:p w14:paraId="1EBC9535" w14:textId="6CA5F375" w:rsidR="00FC3115" w:rsidRPr="00E04130" w:rsidRDefault="00FC3115" w:rsidP="00FC3115">
      <w:pPr>
        <w:pStyle w:val="ListParagraph"/>
        <w:numPr>
          <w:ilvl w:val="0"/>
          <w:numId w:val="4"/>
        </w:numPr>
        <w:spacing w:before="120" w:after="120" w:line="240" w:lineRule="auto"/>
        <w:ind w:left="993" w:hanging="273"/>
        <w:contextualSpacing w:val="0"/>
        <w:jc w:val="both"/>
        <w:rPr>
          <w:rFonts w:ascii="Times New Roman" w:eastAsia="Times New Roman" w:hAnsi="Times New Roman" w:cs="Times New Roman"/>
          <w:sz w:val="24"/>
          <w:szCs w:val="24"/>
        </w:rPr>
      </w:pPr>
      <w:r w:rsidRPr="00FC3115">
        <w:rPr>
          <w:rFonts w:ascii="Times New Roman" w:hAnsi="Times New Roman" w:cs="Times New Roman"/>
          <w:b/>
          <w:sz w:val="24"/>
          <w:szCs w:val="24"/>
        </w:rPr>
        <w:t xml:space="preserve">Kredīta garantijas lauksaimniecības, zivsaimniecības un lauku attīstības pasākumu veicināšanai </w:t>
      </w:r>
      <w:r>
        <w:rPr>
          <w:rFonts w:ascii="Times New Roman" w:hAnsi="Times New Roman" w:cs="Times New Roman"/>
          <w:b/>
          <w:sz w:val="24"/>
          <w:szCs w:val="24"/>
        </w:rPr>
        <w:t>MK</w:t>
      </w:r>
      <w:r w:rsidRPr="00FC3115">
        <w:rPr>
          <w:rFonts w:ascii="Times New Roman" w:hAnsi="Times New Roman" w:cs="Times New Roman"/>
          <w:b/>
          <w:sz w:val="24"/>
          <w:szCs w:val="24"/>
        </w:rPr>
        <w:t xml:space="preserve"> 2019.</w:t>
      </w:r>
      <w:r>
        <w:rPr>
          <w:rFonts w:ascii="Times New Roman" w:hAnsi="Times New Roman" w:cs="Times New Roman"/>
          <w:b/>
          <w:sz w:val="24"/>
          <w:szCs w:val="24"/>
        </w:rPr>
        <w:t xml:space="preserve"> </w:t>
      </w:r>
      <w:r w:rsidRPr="00FC3115">
        <w:rPr>
          <w:rFonts w:ascii="Times New Roman" w:hAnsi="Times New Roman" w:cs="Times New Roman"/>
          <w:b/>
          <w:sz w:val="24"/>
          <w:szCs w:val="24"/>
        </w:rPr>
        <w:t>gada 8. janvāra noteikumu Nr. 9 “Lauksaimniecības, zivsaimniecības un lauku attīstības garantiju programmas noteikumi” ietvaros.</w:t>
      </w:r>
      <w:r w:rsidRPr="00DF7139">
        <w:rPr>
          <w:rFonts w:ascii="Times New Roman" w:hAnsi="Times New Roman" w:cs="Times New Roman"/>
          <w:sz w:val="24"/>
          <w:szCs w:val="24"/>
        </w:rPr>
        <w:t xml:space="preserve"> Programmas mērķis: saimnieciskās darbības veicējiem lauksaimniecības, zivsaimniecības un lauku attīstības jomā nodrošināt finansējumu pasākumu īstenošanai, ja esošais nodrošinājums nav pietiekams to saņemšanai. Garantija tiek izsniegta par Latvijā reģistrētas kredītiestādes vai tās meitas sabiedrības vai krājaizdevu sabiedrības izsniegtu finanšu pakalpojumu līdz 80 % no finansējuma pamatsummas ar sākotnējo termiņu līdz 10 gadiem, garantijas summa vienam saimnieciskās darbības veicējam un ar to saistīto personu grupai nepārsniedz 3,5 milj. </w:t>
      </w:r>
      <w:r w:rsidRPr="00F169A2">
        <w:rPr>
          <w:rFonts w:ascii="Times New Roman" w:hAnsi="Times New Roman" w:cs="Times New Roman"/>
          <w:i/>
          <w:sz w:val="24"/>
          <w:szCs w:val="24"/>
        </w:rPr>
        <w:t>euro</w:t>
      </w:r>
      <w:r w:rsidRPr="00DF7139">
        <w:rPr>
          <w:rFonts w:ascii="Times New Roman" w:hAnsi="Times New Roman" w:cs="Times New Roman"/>
          <w:sz w:val="24"/>
          <w:szCs w:val="24"/>
        </w:rPr>
        <w:t xml:space="preserve">. Apstiprinātais programmas finansējums ir 1,1 milj. </w:t>
      </w:r>
      <w:r w:rsidRPr="00F169A2">
        <w:rPr>
          <w:rFonts w:ascii="Times New Roman" w:hAnsi="Times New Roman" w:cs="Times New Roman"/>
          <w:i/>
          <w:sz w:val="24"/>
          <w:szCs w:val="24"/>
        </w:rPr>
        <w:t>euro</w:t>
      </w:r>
      <w:r w:rsidRPr="00DF7139">
        <w:rPr>
          <w:rFonts w:ascii="Times New Roman" w:hAnsi="Times New Roman" w:cs="Times New Roman"/>
          <w:sz w:val="24"/>
          <w:szCs w:val="24"/>
        </w:rPr>
        <w:t xml:space="preserve"> (</w:t>
      </w:r>
      <w:r w:rsidRPr="00DF7139">
        <w:rPr>
          <w:rFonts w:ascii="Times New Roman" w:hAnsi="Times New Roman"/>
          <w:sz w:val="24"/>
          <w:szCs w:val="24"/>
        </w:rPr>
        <w:t>Latvijas Lauku attīstības programmas 2007.–2013. gadam</w:t>
      </w:r>
      <w:r w:rsidRPr="00DF7139">
        <w:rPr>
          <w:rFonts w:ascii="Times New Roman" w:hAnsi="Times New Roman"/>
          <w:bCs/>
          <w:sz w:val="24"/>
          <w:szCs w:val="24"/>
        </w:rPr>
        <w:t xml:space="preserve"> un Rīcības programmas Eiropas Zivsaimniecības fonda atbalsta ieviešanai Latvijā 2007.–2013. gada plānošanas perioda pasākuma “Kredītu fonds” atmaksu finansējums</w:t>
      </w:r>
      <w:r w:rsidRPr="00DF7139">
        <w:rPr>
          <w:rFonts w:ascii="Times New Roman" w:hAnsi="Times New Roman" w:cs="Times New Roman"/>
          <w:sz w:val="24"/>
          <w:szCs w:val="24"/>
        </w:rPr>
        <w:t>).</w:t>
      </w:r>
      <w:r>
        <w:rPr>
          <w:rFonts w:ascii="Times New Roman" w:hAnsi="Times New Roman" w:cs="Times New Roman"/>
          <w:sz w:val="24"/>
          <w:szCs w:val="24"/>
        </w:rPr>
        <w:t xml:space="preserve"> </w:t>
      </w:r>
      <w:r w:rsidRPr="00E04130">
        <w:rPr>
          <w:rFonts w:ascii="Times New Roman" w:eastAsia="Times New Roman" w:hAnsi="Times New Roman" w:cs="Times New Roman"/>
          <w:b/>
          <w:sz w:val="24"/>
          <w:szCs w:val="24"/>
        </w:rPr>
        <w:t xml:space="preserve">Valsts saistības tiek paredzētas par </w:t>
      </w:r>
      <w:r>
        <w:rPr>
          <w:rFonts w:ascii="Times New Roman" w:eastAsia="Times New Roman" w:hAnsi="Times New Roman" w:cs="Times New Roman"/>
          <w:b/>
          <w:sz w:val="24"/>
          <w:szCs w:val="24"/>
        </w:rPr>
        <w:t xml:space="preserve">programmā jaunizsniegtajām </w:t>
      </w:r>
      <w:r w:rsidRPr="00E04130">
        <w:rPr>
          <w:rFonts w:ascii="Times New Roman" w:eastAsia="Times New Roman" w:hAnsi="Times New Roman" w:cs="Times New Roman"/>
          <w:b/>
          <w:sz w:val="24"/>
          <w:szCs w:val="24"/>
        </w:rPr>
        <w:t>garantijām no 2016. gada 1. janvāra.</w:t>
      </w:r>
    </w:p>
    <w:p w14:paraId="43B4D684" w14:textId="75309A46" w:rsidR="00FC3115" w:rsidRDefault="00FC3115" w:rsidP="00FC3115">
      <w:pPr>
        <w:pStyle w:val="ListParagraph"/>
        <w:numPr>
          <w:ilvl w:val="0"/>
          <w:numId w:val="4"/>
        </w:numPr>
        <w:spacing w:before="120" w:after="120" w:line="240" w:lineRule="auto"/>
        <w:ind w:left="993" w:hanging="273"/>
        <w:contextualSpacing w:val="0"/>
        <w:jc w:val="both"/>
        <w:rPr>
          <w:rFonts w:ascii="Times New Roman" w:eastAsia="Times New Roman" w:hAnsi="Times New Roman" w:cs="Times New Roman"/>
          <w:sz w:val="24"/>
          <w:szCs w:val="24"/>
        </w:rPr>
      </w:pPr>
      <w:r w:rsidRPr="00FC3115">
        <w:rPr>
          <w:rFonts w:ascii="Times New Roman" w:eastAsia="Times New Roman" w:hAnsi="Times New Roman" w:cs="Times New Roman"/>
          <w:b/>
          <w:sz w:val="24"/>
          <w:szCs w:val="24"/>
        </w:rPr>
        <w:t>Garantijas daudzdzīvokļu dzīvojamo māju energoefektivitātes paaugstināšanas pasākumu īstenošanai MK 2016. gada 15. marta noteikumu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ietvaros.</w:t>
      </w:r>
      <w:r w:rsidRPr="00B76414">
        <w:rPr>
          <w:rFonts w:ascii="Times New Roman" w:eastAsia="Times New Roman" w:hAnsi="Times New Roman" w:cs="Times New Roman"/>
          <w:sz w:val="24"/>
          <w:szCs w:val="24"/>
        </w:rPr>
        <w:t xml:space="preserve"> </w:t>
      </w:r>
      <w:r w:rsidRPr="00B76414">
        <w:rPr>
          <w:rFonts w:ascii="Times New Roman" w:hAnsi="Times New Roman" w:cs="Times New Roman"/>
          <w:sz w:val="24"/>
          <w:szCs w:val="24"/>
        </w:rPr>
        <w:t>Programmas mērķis: veicināt energoefektivitātes paaugstināšanu, viedu energovadību un atjaunojamo energoresursu izmantošanu daudzdzīvokļu dzīvojamās mājās. Garantija tiek izsniegta par kredītiestādes</w:t>
      </w:r>
      <w:r>
        <w:rPr>
          <w:rFonts w:ascii="Times New Roman" w:hAnsi="Times New Roman" w:cs="Times New Roman"/>
          <w:sz w:val="24"/>
          <w:szCs w:val="24"/>
        </w:rPr>
        <w:t>, starptautiskas finanšu institūcijas</w:t>
      </w:r>
      <w:r w:rsidRPr="00B76414">
        <w:rPr>
          <w:rFonts w:ascii="Times New Roman" w:hAnsi="Times New Roman" w:cs="Times New Roman"/>
          <w:sz w:val="24"/>
          <w:szCs w:val="24"/>
        </w:rPr>
        <w:t xml:space="preserve"> vai alternatīvā ieguldījumu fonda izsniegtu investīcijas aizdevumu līdz 80 % no finansējuma pamatsummas ar termiņu līdz 20 gadiem, garantijas summa vienas ēkas energoefektivitātes paaugstināšanas pasākumam nepārsniedz 3 milj. </w:t>
      </w:r>
      <w:r w:rsidRPr="00F169A2">
        <w:rPr>
          <w:rFonts w:ascii="Times New Roman" w:hAnsi="Times New Roman" w:cs="Times New Roman"/>
          <w:i/>
          <w:sz w:val="24"/>
          <w:szCs w:val="24"/>
        </w:rPr>
        <w:t>euro</w:t>
      </w:r>
      <w:r w:rsidRPr="00B76414">
        <w:rPr>
          <w:rFonts w:ascii="Times New Roman" w:hAnsi="Times New Roman" w:cs="Times New Roman"/>
          <w:sz w:val="24"/>
          <w:szCs w:val="24"/>
        </w:rPr>
        <w:t>.</w:t>
      </w:r>
      <w:r w:rsidRPr="00B76414">
        <w:rPr>
          <w:rFonts w:ascii="Times New Roman" w:eastAsia="Times New Roman" w:hAnsi="Times New Roman" w:cs="Times New Roman"/>
          <w:sz w:val="24"/>
          <w:szCs w:val="24"/>
        </w:rPr>
        <w:t xml:space="preserve"> Apstipri</w:t>
      </w:r>
      <w:r>
        <w:rPr>
          <w:rFonts w:ascii="Times New Roman" w:eastAsia="Times New Roman" w:hAnsi="Times New Roman" w:cs="Times New Roman"/>
          <w:sz w:val="24"/>
          <w:szCs w:val="24"/>
        </w:rPr>
        <w:t>nātais programmas finansējums: 25</w:t>
      </w:r>
      <w:r w:rsidRPr="00B76414">
        <w:rPr>
          <w:rFonts w:ascii="Times New Roman" w:eastAsia="Times New Roman" w:hAnsi="Times New Roman" w:cs="Times New Roman"/>
          <w:sz w:val="24"/>
          <w:szCs w:val="24"/>
        </w:rPr>
        <w:t xml:space="preserve"> milj. </w:t>
      </w:r>
      <w:r w:rsidRPr="00F169A2">
        <w:rPr>
          <w:rFonts w:ascii="Times New Roman" w:hAnsi="Times New Roman" w:cs="Times New Roman"/>
          <w:i/>
          <w:sz w:val="24"/>
          <w:szCs w:val="24"/>
        </w:rPr>
        <w:t>euro</w:t>
      </w:r>
      <w:r w:rsidRPr="00B76414">
        <w:rPr>
          <w:rFonts w:ascii="Times New Roman" w:eastAsia="Times New Roman" w:hAnsi="Times New Roman" w:cs="Times New Roman"/>
          <w:sz w:val="24"/>
          <w:szCs w:val="24"/>
        </w:rPr>
        <w:t xml:space="preserve"> (ERAF</w:t>
      </w:r>
      <w:r>
        <w:rPr>
          <w:rFonts w:ascii="Times New Roman" w:eastAsia="Times New Roman" w:hAnsi="Times New Roman" w:cs="Times New Roman"/>
          <w:sz w:val="24"/>
          <w:szCs w:val="24"/>
        </w:rPr>
        <w:t xml:space="preserve"> un valsts budžeta </w:t>
      </w:r>
      <w:r>
        <w:rPr>
          <w:rFonts w:ascii="Times New Roman" w:eastAsia="Times New Roman" w:hAnsi="Times New Roman" w:cs="Times New Roman"/>
          <w:sz w:val="24"/>
          <w:szCs w:val="24"/>
        </w:rPr>
        <w:lastRenderedPageBreak/>
        <w:t>līdzfinansējums</w:t>
      </w:r>
      <w:r w:rsidRPr="00B764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04130">
        <w:rPr>
          <w:rFonts w:ascii="Times New Roman" w:eastAsia="Times New Roman" w:hAnsi="Times New Roman" w:cs="Times New Roman"/>
          <w:b/>
          <w:sz w:val="24"/>
          <w:szCs w:val="24"/>
        </w:rPr>
        <w:t xml:space="preserve">Valsts saistības tiek paredzētas par </w:t>
      </w:r>
      <w:r>
        <w:rPr>
          <w:rFonts w:ascii="Times New Roman" w:eastAsia="Times New Roman" w:hAnsi="Times New Roman" w:cs="Times New Roman"/>
          <w:b/>
          <w:sz w:val="24"/>
          <w:szCs w:val="24"/>
        </w:rPr>
        <w:t xml:space="preserve">programmā jaunizsniegtajām </w:t>
      </w:r>
      <w:r w:rsidRPr="00E04130">
        <w:rPr>
          <w:rFonts w:ascii="Times New Roman" w:eastAsia="Times New Roman" w:hAnsi="Times New Roman" w:cs="Times New Roman"/>
          <w:b/>
          <w:sz w:val="24"/>
          <w:szCs w:val="24"/>
        </w:rPr>
        <w:t>garantijām no 2016. gada 1. janvāra</w:t>
      </w:r>
      <w:r>
        <w:rPr>
          <w:rFonts w:ascii="Times New Roman" w:eastAsia="Times New Roman" w:hAnsi="Times New Roman" w:cs="Times New Roman"/>
          <w:sz w:val="24"/>
          <w:szCs w:val="24"/>
        </w:rPr>
        <w:t>.</w:t>
      </w:r>
    </w:p>
    <w:p w14:paraId="0B964BA4" w14:textId="54001845" w:rsidR="00FC3115" w:rsidRPr="00AA3B4A" w:rsidRDefault="00FC3115" w:rsidP="00FC3115">
      <w:pPr>
        <w:spacing w:before="120"/>
        <w:ind w:left="993" w:hanging="273"/>
        <w:rPr>
          <w:szCs w:val="24"/>
        </w:rPr>
      </w:pPr>
      <w:r w:rsidRPr="00AA3B4A">
        <w:rPr>
          <w:szCs w:val="24"/>
        </w:rPr>
        <w:t xml:space="preserve">5. </w:t>
      </w:r>
      <w:r w:rsidRPr="00FC3115">
        <w:rPr>
          <w:b/>
          <w:szCs w:val="24"/>
        </w:rPr>
        <w:t xml:space="preserve">Garantijas ģimenēm ar bērniem (līdz 23 gadiem ieskaitot) un jaunajiem speciālistiem (personām, kuras ieguvušas vidējo profesionālo vai augstāko izglītību, un nepārsniedz 35 gadu vecumu) mājokļu iegādei </w:t>
      </w:r>
      <w:r>
        <w:rPr>
          <w:b/>
          <w:szCs w:val="24"/>
        </w:rPr>
        <w:t>MK</w:t>
      </w:r>
      <w:r w:rsidRPr="00FC3115">
        <w:rPr>
          <w:b/>
          <w:szCs w:val="24"/>
        </w:rPr>
        <w:t xml:space="preserve"> 2018.</w:t>
      </w:r>
      <w:r>
        <w:rPr>
          <w:b/>
          <w:szCs w:val="24"/>
        </w:rPr>
        <w:t xml:space="preserve"> </w:t>
      </w:r>
      <w:r w:rsidRPr="00FC3115">
        <w:rPr>
          <w:b/>
          <w:szCs w:val="24"/>
        </w:rPr>
        <w:t>gada 20.</w:t>
      </w:r>
      <w:r>
        <w:rPr>
          <w:b/>
          <w:szCs w:val="24"/>
        </w:rPr>
        <w:t> </w:t>
      </w:r>
      <w:r w:rsidRPr="00FC3115">
        <w:rPr>
          <w:b/>
          <w:szCs w:val="24"/>
        </w:rPr>
        <w:t>februāra noteikumu Nr.95 “Noteikumi par valsts palīdzību dzīvojamās telpas iegādei vai būvniecībai” ietvaros.</w:t>
      </w:r>
      <w:r w:rsidRPr="00AA3B4A">
        <w:rPr>
          <w:szCs w:val="24"/>
        </w:rPr>
        <w:t xml:space="preserve"> Programmas mērķis: sniegt valsts palīdzību mājokļa iegādei vai būvniecībai ģimenēm ar bērniem un jaunajiem speciālistiem, kuriem ir pastāvīgi ienākumi, bet nav pietiekamu uzkrājumu pirmās iemaksas veikšanai. Garantija tiek sniegta par Latvijā reģistrētas kredītiestādes, dalībvalstī reģistrētas kredītiestādes, tās filiāles vai ārvalsts kredītiestādes filiāles izsniegtu aizdevumu:</w:t>
      </w:r>
    </w:p>
    <w:p w14:paraId="1FE08335" w14:textId="36B61894" w:rsidR="00FC3115" w:rsidRPr="00AA3B4A" w:rsidRDefault="00FC3115" w:rsidP="00FC3115">
      <w:pPr>
        <w:ind w:left="1276" w:hanging="142"/>
        <w:rPr>
          <w:szCs w:val="24"/>
        </w:rPr>
      </w:pPr>
      <w:r>
        <w:rPr>
          <w:szCs w:val="24"/>
        </w:rPr>
        <w:t>- ģimenēm ar bērniem  līdz 3</w:t>
      </w:r>
      <w:r w:rsidRPr="00AA3B4A">
        <w:rPr>
          <w:szCs w:val="24"/>
        </w:rPr>
        <w:t>0 % no finansējuma pamatsummas ar termiņu līdz 10 gadiem, garantij</w:t>
      </w:r>
      <w:r>
        <w:rPr>
          <w:szCs w:val="24"/>
        </w:rPr>
        <w:t>as summa nepārsniedz 3</w:t>
      </w:r>
      <w:r w:rsidRPr="00AA3B4A">
        <w:rPr>
          <w:szCs w:val="24"/>
        </w:rPr>
        <w:t>0 tūkst. EUR (garantijas nosacījumi tiek noteikti, ņemot vērā bērnu skaitu ģimenē);</w:t>
      </w:r>
    </w:p>
    <w:p w14:paraId="03165DAD" w14:textId="29D9B0F5" w:rsidR="00FC3115" w:rsidRPr="00AA3B4A" w:rsidRDefault="00FC3115" w:rsidP="00FC3115">
      <w:pPr>
        <w:ind w:left="1276" w:hanging="142"/>
        <w:rPr>
          <w:szCs w:val="24"/>
        </w:rPr>
      </w:pPr>
      <w:r w:rsidRPr="00AA3B4A">
        <w:rPr>
          <w:szCs w:val="24"/>
        </w:rPr>
        <w:t>-</w:t>
      </w:r>
      <w:r>
        <w:rPr>
          <w:szCs w:val="24"/>
        </w:rPr>
        <w:t xml:space="preserve"> </w:t>
      </w:r>
      <w:r w:rsidRPr="00AA3B4A">
        <w:rPr>
          <w:szCs w:val="24"/>
        </w:rPr>
        <w:t>jaunajiem speciālistiem līdz 20% no aizdevuma pamatsummas un ne vairāk kā 50 tūkst. EUR ar termiņu līdz 10 gadiem.</w:t>
      </w:r>
    </w:p>
    <w:p w14:paraId="0C146C06" w14:textId="77777777" w:rsidR="00FC3115" w:rsidRDefault="00FC3115" w:rsidP="00FC3115">
      <w:pPr>
        <w:spacing w:after="60"/>
        <w:ind w:firstLine="720"/>
        <w:rPr>
          <w:szCs w:val="24"/>
        </w:rPr>
      </w:pPr>
      <w:r w:rsidRPr="00AA3B4A">
        <w:rPr>
          <w:szCs w:val="24"/>
        </w:rPr>
        <w:t xml:space="preserve"> Programmas īstenošana un tās pieejamais finansējums ir atkarīgs no Ministru kabineta un Saeimas lēmumiem.</w:t>
      </w:r>
    </w:p>
    <w:p w14:paraId="0680E22D" w14:textId="77777777" w:rsidR="00FC3115" w:rsidRPr="00E04130" w:rsidRDefault="00FC3115" w:rsidP="000E56F1">
      <w:pPr>
        <w:pStyle w:val="ListParagraph"/>
        <w:spacing w:after="60" w:line="240" w:lineRule="auto"/>
        <w:ind w:left="0" w:firstLine="720"/>
        <w:jc w:val="both"/>
        <w:rPr>
          <w:rFonts w:ascii="Times New Roman" w:eastAsia="Times New Roman" w:hAnsi="Times New Roman" w:cs="Times New Roman"/>
          <w:b/>
          <w:sz w:val="24"/>
          <w:szCs w:val="24"/>
        </w:rPr>
      </w:pPr>
      <w:r w:rsidRPr="00E04130">
        <w:rPr>
          <w:rFonts w:ascii="Times New Roman" w:eastAsia="Times New Roman" w:hAnsi="Times New Roman" w:cs="Times New Roman"/>
          <w:b/>
          <w:sz w:val="24"/>
          <w:szCs w:val="24"/>
        </w:rPr>
        <w:t xml:space="preserve">Valsts saistības tiek paredzētas par </w:t>
      </w:r>
      <w:r>
        <w:rPr>
          <w:rFonts w:ascii="Times New Roman" w:eastAsia="Times New Roman" w:hAnsi="Times New Roman" w:cs="Times New Roman"/>
          <w:b/>
          <w:sz w:val="24"/>
          <w:szCs w:val="24"/>
        </w:rPr>
        <w:t xml:space="preserve">programmā jaunizsniegtajām </w:t>
      </w:r>
      <w:r w:rsidRPr="00E04130">
        <w:rPr>
          <w:rFonts w:ascii="Times New Roman" w:eastAsia="Times New Roman" w:hAnsi="Times New Roman" w:cs="Times New Roman"/>
          <w:b/>
          <w:sz w:val="24"/>
          <w:szCs w:val="24"/>
        </w:rPr>
        <w:t>garantijām</w:t>
      </w:r>
      <w:r>
        <w:rPr>
          <w:rFonts w:ascii="Times New Roman" w:eastAsia="Times New Roman" w:hAnsi="Times New Roman" w:cs="Times New Roman"/>
          <w:b/>
          <w:sz w:val="24"/>
          <w:szCs w:val="24"/>
        </w:rPr>
        <w:t xml:space="preserve"> </w:t>
      </w:r>
      <w:r w:rsidRPr="00E04130">
        <w:rPr>
          <w:rFonts w:ascii="Times New Roman" w:eastAsia="Times New Roman" w:hAnsi="Times New Roman" w:cs="Times New Roman"/>
          <w:b/>
          <w:sz w:val="24"/>
          <w:szCs w:val="24"/>
        </w:rPr>
        <w:t>no 2016. gada 1. janvāra līdz 2019.gada 31.decembrim.</w:t>
      </w:r>
    </w:p>
    <w:p w14:paraId="401B259B" w14:textId="5D27AA65" w:rsidR="00902B54" w:rsidRDefault="00FC3115" w:rsidP="00C5770E">
      <w:pPr>
        <w:pStyle w:val="Heading2"/>
        <w:spacing w:before="240" w:after="120"/>
        <w:ind w:firstLine="0"/>
        <w:jc w:val="center"/>
        <w:rPr>
          <w:rFonts w:ascii="Times New Roman" w:hAnsi="Times New Roman" w:cs="Times New Roman"/>
          <w:b/>
          <w:color w:val="auto"/>
          <w:sz w:val="36"/>
          <w:szCs w:val="36"/>
        </w:rPr>
      </w:pPr>
      <w:r>
        <w:rPr>
          <w:rFonts w:ascii="Times New Roman" w:hAnsi="Times New Roman" w:cs="Times New Roman"/>
          <w:b/>
          <w:color w:val="auto"/>
          <w:sz w:val="36"/>
          <w:szCs w:val="36"/>
        </w:rPr>
        <w:t xml:space="preserve">6.6. </w:t>
      </w:r>
      <w:r w:rsidR="00F65E5F" w:rsidRPr="006E6D01">
        <w:rPr>
          <w:rFonts w:ascii="Times New Roman" w:hAnsi="Times New Roman" w:cs="Times New Roman"/>
          <w:b/>
          <w:color w:val="auto"/>
          <w:sz w:val="36"/>
          <w:szCs w:val="36"/>
        </w:rPr>
        <w:t>Valsts budžeta aizdevumi un aizdevumu atmaksas</w:t>
      </w:r>
    </w:p>
    <w:p w14:paraId="1F3FD41F" w14:textId="77777777" w:rsidR="0013248F" w:rsidRDefault="0013248F" w:rsidP="0013248F">
      <w:pPr>
        <w:pStyle w:val="Title"/>
        <w:spacing w:after="120"/>
        <w:ind w:firstLine="709"/>
        <w:jc w:val="both"/>
        <w:rPr>
          <w:bCs/>
          <w:szCs w:val="24"/>
        </w:rPr>
      </w:pPr>
      <w:r w:rsidRPr="00F66914">
        <w:rPr>
          <w:szCs w:val="24"/>
        </w:rPr>
        <w:t>Katru gadu gadskārtējā valsts budžeta likumā tiek noteikts valsts aizdevumu kopējais palielinājums, t.sk. atsevišķi nosakot pašvaldību aizņēmumu kopējo palielinājumu. Savukārt</w:t>
      </w:r>
      <w:r>
        <w:rPr>
          <w:szCs w:val="24"/>
        </w:rPr>
        <w:t>,</w:t>
      </w:r>
      <w:r w:rsidRPr="00F66914">
        <w:rPr>
          <w:szCs w:val="24"/>
        </w:rPr>
        <w:t xml:space="preserve"> kopējais gadā pieļaujamais izsniedzamo valsts aizdevumu apmērs ietver gan gadskārtējā valsts budžeta likumā noteikto valsts aizdevumu kopējo palielinājumu, gan iepriekšējos gados izsniegto valsts aizdevumu paredzētās atmaksas.</w:t>
      </w:r>
      <w:r w:rsidRPr="00F66914">
        <w:rPr>
          <w:bCs/>
          <w:szCs w:val="24"/>
        </w:rPr>
        <w:t xml:space="preserve"> </w:t>
      </w:r>
    </w:p>
    <w:p w14:paraId="6EB970F7" w14:textId="069AF802" w:rsidR="0013248F" w:rsidRPr="005C55AF" w:rsidRDefault="0013248F" w:rsidP="0013248F">
      <w:pPr>
        <w:pStyle w:val="Title"/>
        <w:ind w:firstLine="709"/>
        <w:jc w:val="both"/>
        <w:rPr>
          <w:bCs/>
          <w:szCs w:val="24"/>
        </w:rPr>
      </w:pPr>
      <w:r w:rsidRPr="00F66914">
        <w:rPr>
          <w:bCs/>
          <w:szCs w:val="24"/>
        </w:rPr>
        <w:t xml:space="preserve">Ņemot vērā, ka aizvien aktīvāk tiek izmantotas normatīvajos aktos noteiktās tiesības izņemt valsts aizdevumu vidējā termiņā, </w:t>
      </w:r>
      <w:r w:rsidRPr="00F66914">
        <w:rPr>
          <w:szCs w:val="24"/>
        </w:rPr>
        <w:t xml:space="preserve">saskaņā ar </w:t>
      </w:r>
      <w:r>
        <w:rPr>
          <w:szCs w:val="24"/>
        </w:rPr>
        <w:t>līdz 2020. gada 11. septembrim</w:t>
      </w:r>
      <w:r w:rsidRPr="00F66914">
        <w:rPr>
          <w:szCs w:val="24"/>
        </w:rPr>
        <w:t xml:space="preserve"> noslēgt</w:t>
      </w:r>
      <w:r>
        <w:rPr>
          <w:szCs w:val="24"/>
        </w:rPr>
        <w:t xml:space="preserve">o aizdevuma līgumu nosacījumiem, </w:t>
      </w:r>
      <w:r w:rsidRPr="00F66914">
        <w:rPr>
          <w:szCs w:val="24"/>
        </w:rPr>
        <w:t xml:space="preserve">valsts uzņemtās saistības </w:t>
      </w:r>
      <w:r>
        <w:rPr>
          <w:szCs w:val="24"/>
        </w:rPr>
        <w:t xml:space="preserve">aizdevumu izmaksai </w:t>
      </w:r>
      <w:r w:rsidRPr="00F66914">
        <w:rPr>
          <w:szCs w:val="24"/>
        </w:rPr>
        <w:t>202</w:t>
      </w:r>
      <w:r>
        <w:rPr>
          <w:szCs w:val="24"/>
        </w:rPr>
        <w:t>1</w:t>
      </w:r>
      <w:r w:rsidRPr="00F66914">
        <w:rPr>
          <w:szCs w:val="24"/>
        </w:rPr>
        <w:t>.</w:t>
      </w:r>
      <w:r>
        <w:rPr>
          <w:szCs w:val="24"/>
        </w:rPr>
        <w:t xml:space="preserve"> </w:t>
      </w:r>
      <w:r w:rsidRPr="00F66914">
        <w:rPr>
          <w:szCs w:val="24"/>
        </w:rPr>
        <w:t>gad</w:t>
      </w:r>
      <w:r>
        <w:rPr>
          <w:szCs w:val="24"/>
        </w:rPr>
        <w:t>ā</w:t>
      </w:r>
      <w:r w:rsidRPr="00F66914">
        <w:rPr>
          <w:szCs w:val="24"/>
        </w:rPr>
        <w:t xml:space="preserve"> ir </w:t>
      </w:r>
      <w:r>
        <w:rPr>
          <w:szCs w:val="24"/>
        </w:rPr>
        <w:t>143,6</w:t>
      </w:r>
      <w:r w:rsidRPr="00F66914">
        <w:rPr>
          <w:szCs w:val="24"/>
        </w:rPr>
        <w:t xml:space="preserve"> milj. </w:t>
      </w:r>
      <w:r w:rsidRPr="00F66914">
        <w:rPr>
          <w:i/>
          <w:szCs w:val="24"/>
        </w:rPr>
        <w:t>euro</w:t>
      </w:r>
      <w:r>
        <w:rPr>
          <w:szCs w:val="24"/>
        </w:rPr>
        <w:t xml:space="preserve">, </w:t>
      </w:r>
      <w:r w:rsidRPr="00322590">
        <w:t>tajā skaitā:</w:t>
      </w:r>
    </w:p>
    <w:p w14:paraId="5B2FAD6A" w14:textId="77777777" w:rsidR="0013248F" w:rsidRPr="00322590" w:rsidRDefault="0013248F" w:rsidP="0013248F">
      <w:pPr>
        <w:numPr>
          <w:ilvl w:val="0"/>
          <w:numId w:val="1"/>
        </w:numPr>
        <w:spacing w:after="0"/>
        <w:ind w:hanging="294"/>
        <w:rPr>
          <w:szCs w:val="24"/>
        </w:rPr>
      </w:pPr>
      <w:r>
        <w:rPr>
          <w:szCs w:val="24"/>
        </w:rPr>
        <w:t xml:space="preserve">38,3 </w:t>
      </w:r>
      <w:r w:rsidRPr="00322590">
        <w:rPr>
          <w:szCs w:val="24"/>
        </w:rPr>
        <w:t xml:space="preserve">milj. </w:t>
      </w:r>
      <w:r w:rsidRPr="00322590">
        <w:rPr>
          <w:i/>
          <w:szCs w:val="24"/>
        </w:rPr>
        <w:t>euro</w:t>
      </w:r>
      <w:r w:rsidRPr="00322590">
        <w:rPr>
          <w:szCs w:val="24"/>
        </w:rPr>
        <w:t xml:space="preserve"> valsts struktūrām;</w:t>
      </w:r>
    </w:p>
    <w:p w14:paraId="4F1C94BF" w14:textId="77777777" w:rsidR="0013248F" w:rsidRPr="00322590" w:rsidRDefault="0013248F" w:rsidP="0013248F">
      <w:pPr>
        <w:numPr>
          <w:ilvl w:val="0"/>
          <w:numId w:val="1"/>
        </w:numPr>
        <w:spacing w:after="0"/>
        <w:ind w:hanging="294"/>
        <w:rPr>
          <w:szCs w:val="24"/>
        </w:rPr>
      </w:pPr>
      <w:r>
        <w:rPr>
          <w:szCs w:val="24"/>
        </w:rPr>
        <w:t>43</w:t>
      </w:r>
      <w:r w:rsidRPr="00322590">
        <w:rPr>
          <w:szCs w:val="24"/>
        </w:rPr>
        <w:t xml:space="preserve"> milj. </w:t>
      </w:r>
      <w:r w:rsidRPr="00322590">
        <w:rPr>
          <w:i/>
          <w:szCs w:val="24"/>
        </w:rPr>
        <w:t>euro</w:t>
      </w:r>
      <w:r w:rsidRPr="00322590">
        <w:rPr>
          <w:szCs w:val="24"/>
        </w:rPr>
        <w:t xml:space="preserve"> aizdevumiem pašvaldību struktūrām;</w:t>
      </w:r>
    </w:p>
    <w:p w14:paraId="16834A0B" w14:textId="77777777" w:rsidR="0013248F" w:rsidRDefault="0013248F" w:rsidP="0013248F">
      <w:pPr>
        <w:numPr>
          <w:ilvl w:val="0"/>
          <w:numId w:val="1"/>
        </w:numPr>
        <w:spacing w:after="0"/>
        <w:ind w:hanging="294"/>
        <w:rPr>
          <w:szCs w:val="24"/>
        </w:rPr>
      </w:pPr>
      <w:r>
        <w:rPr>
          <w:szCs w:val="24"/>
        </w:rPr>
        <w:t xml:space="preserve">23,9 </w:t>
      </w:r>
      <w:r w:rsidRPr="00322590">
        <w:rPr>
          <w:szCs w:val="24"/>
        </w:rPr>
        <w:t xml:space="preserve">milj. </w:t>
      </w:r>
      <w:r w:rsidRPr="00322590">
        <w:rPr>
          <w:i/>
          <w:szCs w:val="24"/>
        </w:rPr>
        <w:t>euro</w:t>
      </w:r>
      <w:r w:rsidRPr="00322590">
        <w:rPr>
          <w:szCs w:val="24"/>
        </w:rPr>
        <w:t xml:space="preserve"> aizdevumiem nefinanšu</w:t>
      </w:r>
      <w:r>
        <w:rPr>
          <w:szCs w:val="24"/>
        </w:rPr>
        <w:t xml:space="preserve"> sabiedrībām</w:t>
      </w:r>
      <w:r w:rsidRPr="00322590">
        <w:rPr>
          <w:szCs w:val="24"/>
        </w:rPr>
        <w:t>,</w:t>
      </w:r>
    </w:p>
    <w:p w14:paraId="45BC35A1" w14:textId="77777777" w:rsidR="0013248F" w:rsidRPr="00322590" w:rsidRDefault="0013248F" w:rsidP="0013248F">
      <w:pPr>
        <w:numPr>
          <w:ilvl w:val="0"/>
          <w:numId w:val="1"/>
        </w:numPr>
        <w:spacing w:after="0"/>
        <w:ind w:hanging="294"/>
        <w:rPr>
          <w:szCs w:val="24"/>
        </w:rPr>
      </w:pPr>
      <w:r>
        <w:rPr>
          <w:szCs w:val="24"/>
        </w:rPr>
        <w:t xml:space="preserve">38,5 </w:t>
      </w:r>
      <w:r w:rsidRPr="00322590">
        <w:rPr>
          <w:szCs w:val="24"/>
        </w:rPr>
        <w:t xml:space="preserve"> nerezidentiem.</w:t>
      </w:r>
    </w:p>
    <w:p w14:paraId="3650AFDF" w14:textId="77777777" w:rsidR="008137BB" w:rsidRPr="008137BB" w:rsidRDefault="008137BB" w:rsidP="008137BB">
      <w:pPr>
        <w:spacing w:before="120" w:after="0"/>
        <w:rPr>
          <w:szCs w:val="24"/>
        </w:rPr>
      </w:pPr>
      <w:r w:rsidRPr="008137BB">
        <w:rPr>
          <w:szCs w:val="24"/>
        </w:rPr>
        <w:t xml:space="preserve">Valsts pamatbudžeta aizdevumi (izsniegto aizdevumu un izsniegto aizdevumu saņemtās atmaksas starpība) 2021. gadā plānoti 484,5 milj. </w:t>
      </w:r>
      <w:r w:rsidRPr="008137BB">
        <w:rPr>
          <w:i/>
          <w:szCs w:val="24"/>
        </w:rPr>
        <w:t>euro</w:t>
      </w:r>
      <w:r w:rsidRPr="008137BB">
        <w:rPr>
          <w:szCs w:val="24"/>
        </w:rPr>
        <w:t xml:space="preserve"> apmērā. </w:t>
      </w:r>
    </w:p>
    <w:p w14:paraId="5077D082" w14:textId="77777777" w:rsidR="008137BB" w:rsidRPr="008137BB" w:rsidRDefault="008137BB" w:rsidP="008137BB">
      <w:pPr>
        <w:spacing w:after="0"/>
        <w:rPr>
          <w:szCs w:val="24"/>
        </w:rPr>
      </w:pPr>
      <w:r w:rsidRPr="008137BB">
        <w:rPr>
          <w:szCs w:val="24"/>
        </w:rPr>
        <w:t xml:space="preserve">Valsts budžeta izsniegtie aizdevumi plānoti 613,9 milj. </w:t>
      </w:r>
      <w:r w:rsidRPr="008137BB">
        <w:rPr>
          <w:i/>
          <w:szCs w:val="24"/>
        </w:rPr>
        <w:t>euro</w:t>
      </w:r>
      <w:r w:rsidRPr="008137BB">
        <w:rPr>
          <w:szCs w:val="24"/>
        </w:rPr>
        <w:t xml:space="preserve"> apjomā, tajā skaitā:</w:t>
      </w:r>
    </w:p>
    <w:p w14:paraId="1F86E48B" w14:textId="77777777" w:rsidR="008137BB" w:rsidRPr="008137BB" w:rsidRDefault="008137BB" w:rsidP="008137BB">
      <w:pPr>
        <w:pStyle w:val="ListParagraph"/>
        <w:numPr>
          <w:ilvl w:val="0"/>
          <w:numId w:val="3"/>
        </w:numPr>
        <w:spacing w:after="0"/>
        <w:rPr>
          <w:rFonts w:ascii="Times New Roman" w:hAnsi="Times New Roman" w:cs="Times New Roman"/>
          <w:sz w:val="24"/>
          <w:szCs w:val="24"/>
        </w:rPr>
      </w:pPr>
      <w:r w:rsidRPr="008137BB">
        <w:rPr>
          <w:rFonts w:ascii="Times New Roman" w:hAnsi="Times New Roman" w:cs="Times New Roman"/>
          <w:sz w:val="24"/>
          <w:szCs w:val="24"/>
        </w:rPr>
        <w:t xml:space="preserve">96,9 milj. </w:t>
      </w:r>
      <w:r w:rsidRPr="008137BB">
        <w:rPr>
          <w:rFonts w:ascii="Times New Roman" w:hAnsi="Times New Roman" w:cs="Times New Roman"/>
          <w:i/>
          <w:sz w:val="24"/>
          <w:szCs w:val="24"/>
        </w:rPr>
        <w:t>euro</w:t>
      </w:r>
      <w:r w:rsidRPr="008137BB">
        <w:rPr>
          <w:rFonts w:ascii="Times New Roman" w:hAnsi="Times New Roman" w:cs="Times New Roman"/>
          <w:sz w:val="24"/>
          <w:szCs w:val="24"/>
        </w:rPr>
        <w:t xml:space="preserve"> valsts struktūrām;</w:t>
      </w:r>
    </w:p>
    <w:p w14:paraId="14FA6FC1" w14:textId="77777777" w:rsidR="008137BB" w:rsidRPr="008137BB" w:rsidRDefault="008137BB" w:rsidP="008137BB">
      <w:pPr>
        <w:pStyle w:val="ListParagraph"/>
        <w:numPr>
          <w:ilvl w:val="0"/>
          <w:numId w:val="3"/>
        </w:numPr>
        <w:spacing w:after="0"/>
        <w:rPr>
          <w:rFonts w:ascii="Times New Roman" w:hAnsi="Times New Roman" w:cs="Times New Roman"/>
          <w:sz w:val="24"/>
          <w:szCs w:val="24"/>
        </w:rPr>
      </w:pPr>
      <w:r w:rsidRPr="008137BB">
        <w:rPr>
          <w:rFonts w:ascii="Times New Roman" w:hAnsi="Times New Roman" w:cs="Times New Roman"/>
          <w:sz w:val="24"/>
          <w:szCs w:val="24"/>
        </w:rPr>
        <w:t xml:space="preserve">387,0 milj. </w:t>
      </w:r>
      <w:r w:rsidRPr="008137BB">
        <w:rPr>
          <w:rFonts w:ascii="Times New Roman" w:hAnsi="Times New Roman" w:cs="Times New Roman"/>
          <w:i/>
          <w:sz w:val="24"/>
          <w:szCs w:val="24"/>
        </w:rPr>
        <w:t>euro</w:t>
      </w:r>
      <w:r w:rsidRPr="008137BB">
        <w:rPr>
          <w:rFonts w:ascii="Times New Roman" w:hAnsi="Times New Roman" w:cs="Times New Roman"/>
          <w:sz w:val="24"/>
          <w:szCs w:val="24"/>
        </w:rPr>
        <w:t xml:space="preserve"> aizdevumiem pašvaldību struktūrām;</w:t>
      </w:r>
    </w:p>
    <w:p w14:paraId="669E0EFC" w14:textId="77777777" w:rsidR="008137BB" w:rsidRPr="008137BB" w:rsidRDefault="008137BB" w:rsidP="008137BB">
      <w:pPr>
        <w:pStyle w:val="ListParagraph"/>
        <w:numPr>
          <w:ilvl w:val="0"/>
          <w:numId w:val="3"/>
        </w:numPr>
        <w:rPr>
          <w:rFonts w:ascii="Times New Roman" w:hAnsi="Times New Roman" w:cs="Times New Roman"/>
          <w:sz w:val="24"/>
          <w:szCs w:val="24"/>
        </w:rPr>
      </w:pPr>
      <w:r w:rsidRPr="008137BB">
        <w:rPr>
          <w:rFonts w:ascii="Times New Roman" w:hAnsi="Times New Roman" w:cs="Times New Roman"/>
          <w:sz w:val="24"/>
          <w:szCs w:val="24"/>
        </w:rPr>
        <w:t xml:space="preserve">130,0 milj. </w:t>
      </w:r>
      <w:r w:rsidRPr="008137BB">
        <w:rPr>
          <w:rFonts w:ascii="Times New Roman" w:hAnsi="Times New Roman" w:cs="Times New Roman"/>
          <w:i/>
          <w:sz w:val="24"/>
          <w:szCs w:val="24"/>
        </w:rPr>
        <w:t>euro</w:t>
      </w:r>
      <w:r w:rsidRPr="008137BB">
        <w:rPr>
          <w:rFonts w:ascii="Times New Roman" w:hAnsi="Times New Roman" w:cs="Times New Roman"/>
          <w:sz w:val="24"/>
          <w:szCs w:val="24"/>
        </w:rPr>
        <w:t xml:space="preserve"> aizdevumiem nefinanšu sabiedrībām un nerezidentiem.</w:t>
      </w:r>
    </w:p>
    <w:p w14:paraId="60622CB7" w14:textId="33629471" w:rsidR="0013248F" w:rsidRPr="00322590" w:rsidRDefault="0013248F" w:rsidP="0013248F">
      <w:pPr>
        <w:spacing w:before="120"/>
      </w:pPr>
      <w:r w:rsidRPr="00322590">
        <w:t>Saskaņā ar iepriekšējos gados noslēgtajos aizdevuma līgumos iekļautajiem aizdevumu atmaksas grafikiem, 202</w:t>
      </w:r>
      <w:r>
        <w:t>1</w:t>
      </w:r>
      <w:r w:rsidRPr="00322590">
        <w:t xml:space="preserve">. gadā valsts aizdevumu atmaksas plānotas </w:t>
      </w:r>
      <w:r>
        <w:t>12</w:t>
      </w:r>
      <w:r w:rsidR="00DE7DDB">
        <w:t>9</w:t>
      </w:r>
      <w:r>
        <w:t xml:space="preserve">,4 </w:t>
      </w:r>
      <w:r w:rsidRPr="00322590">
        <w:t xml:space="preserve">milj. </w:t>
      </w:r>
      <w:r w:rsidRPr="00322590">
        <w:rPr>
          <w:i/>
        </w:rPr>
        <w:t>euro</w:t>
      </w:r>
      <w:r w:rsidRPr="00322590">
        <w:rPr>
          <w:b/>
        </w:rPr>
        <w:t xml:space="preserve"> </w:t>
      </w:r>
      <w:r w:rsidRPr="00322590">
        <w:t>apmērā, ta</w:t>
      </w:r>
      <w:r w:rsidR="00A10C77">
        <w:t>i</w:t>
      </w:r>
      <w:r w:rsidRPr="00322590">
        <w:t xml:space="preserve"> skaitā:</w:t>
      </w:r>
    </w:p>
    <w:p w14:paraId="315A5068" w14:textId="071328CB" w:rsidR="0013248F" w:rsidRPr="00322590" w:rsidRDefault="0013248F" w:rsidP="0013248F">
      <w:pPr>
        <w:numPr>
          <w:ilvl w:val="0"/>
          <w:numId w:val="2"/>
        </w:numPr>
        <w:spacing w:after="0"/>
        <w:ind w:hanging="294"/>
        <w:rPr>
          <w:szCs w:val="24"/>
        </w:rPr>
      </w:pPr>
      <w:r w:rsidRPr="00322590">
        <w:rPr>
          <w:szCs w:val="24"/>
        </w:rPr>
        <w:t>no valsts struktūrām –</w:t>
      </w:r>
      <w:r w:rsidR="00DE7DDB">
        <w:rPr>
          <w:szCs w:val="24"/>
        </w:rPr>
        <w:t xml:space="preserve"> 1</w:t>
      </w:r>
      <w:r>
        <w:rPr>
          <w:szCs w:val="24"/>
        </w:rPr>
        <w:t>,6</w:t>
      </w:r>
      <w:r w:rsidRPr="00322590">
        <w:rPr>
          <w:szCs w:val="24"/>
        </w:rPr>
        <w:t xml:space="preserve"> milj. </w:t>
      </w:r>
      <w:r w:rsidRPr="00322590">
        <w:rPr>
          <w:i/>
          <w:szCs w:val="24"/>
        </w:rPr>
        <w:t>euro</w:t>
      </w:r>
      <w:r w:rsidRPr="00322590">
        <w:rPr>
          <w:szCs w:val="24"/>
        </w:rPr>
        <w:t>;</w:t>
      </w:r>
    </w:p>
    <w:p w14:paraId="70CB7D25" w14:textId="77777777" w:rsidR="0013248F" w:rsidRPr="00322590" w:rsidRDefault="0013248F" w:rsidP="0013248F">
      <w:pPr>
        <w:numPr>
          <w:ilvl w:val="0"/>
          <w:numId w:val="2"/>
        </w:numPr>
        <w:spacing w:after="0"/>
        <w:ind w:hanging="294"/>
        <w:rPr>
          <w:szCs w:val="24"/>
        </w:rPr>
      </w:pPr>
      <w:r w:rsidRPr="00322590">
        <w:rPr>
          <w:szCs w:val="24"/>
        </w:rPr>
        <w:lastRenderedPageBreak/>
        <w:t xml:space="preserve">no pašvaldību struktūrām – </w:t>
      </w:r>
      <w:r>
        <w:rPr>
          <w:szCs w:val="24"/>
        </w:rPr>
        <w:t>120,1</w:t>
      </w:r>
      <w:r w:rsidRPr="00322590">
        <w:rPr>
          <w:szCs w:val="24"/>
        </w:rPr>
        <w:t xml:space="preserve"> milj. </w:t>
      </w:r>
      <w:r w:rsidRPr="00322590">
        <w:rPr>
          <w:i/>
          <w:szCs w:val="24"/>
        </w:rPr>
        <w:t>euro</w:t>
      </w:r>
      <w:r w:rsidRPr="00322590">
        <w:rPr>
          <w:szCs w:val="24"/>
        </w:rPr>
        <w:t>;</w:t>
      </w:r>
    </w:p>
    <w:p w14:paraId="498CECB3" w14:textId="77777777" w:rsidR="0013248F" w:rsidRPr="00E2327E" w:rsidRDefault="0013248F" w:rsidP="0013248F">
      <w:pPr>
        <w:numPr>
          <w:ilvl w:val="0"/>
          <w:numId w:val="2"/>
        </w:numPr>
        <w:spacing w:after="240"/>
        <w:ind w:hanging="294"/>
        <w:rPr>
          <w:szCs w:val="24"/>
        </w:rPr>
      </w:pPr>
      <w:r w:rsidRPr="00322590">
        <w:rPr>
          <w:szCs w:val="24"/>
        </w:rPr>
        <w:t xml:space="preserve">no nefinanšu </w:t>
      </w:r>
      <w:r>
        <w:rPr>
          <w:szCs w:val="24"/>
        </w:rPr>
        <w:t xml:space="preserve">sabiedrībām </w:t>
      </w:r>
      <w:r w:rsidRPr="00322590">
        <w:rPr>
          <w:szCs w:val="24"/>
        </w:rPr>
        <w:t xml:space="preserve">– </w:t>
      </w:r>
      <w:r>
        <w:rPr>
          <w:szCs w:val="24"/>
        </w:rPr>
        <w:t>7,7</w:t>
      </w:r>
      <w:r w:rsidRPr="00322590">
        <w:rPr>
          <w:szCs w:val="24"/>
        </w:rPr>
        <w:t xml:space="preserve"> milj. </w:t>
      </w:r>
      <w:r w:rsidRPr="00322590">
        <w:rPr>
          <w:i/>
          <w:szCs w:val="24"/>
        </w:rPr>
        <w:t>euro</w:t>
      </w:r>
      <w:r w:rsidRPr="00322590">
        <w:rPr>
          <w:szCs w:val="24"/>
        </w:rPr>
        <w:t>.</w:t>
      </w:r>
    </w:p>
    <w:p w14:paraId="791B3254" w14:textId="77777777" w:rsidR="006E6D01" w:rsidRPr="006E6D01" w:rsidRDefault="006E6D01" w:rsidP="00C5770E">
      <w:pPr>
        <w:ind w:firstLine="0"/>
      </w:pPr>
    </w:p>
    <w:sectPr w:rsidR="006E6D01" w:rsidRPr="006E6D01" w:rsidSect="007E46FE">
      <w:headerReference w:type="even" r:id="rId14"/>
      <w:headerReference w:type="default" r:id="rId15"/>
      <w:footerReference w:type="default" r:id="rId16"/>
      <w:pgSz w:w="11906" w:h="16838" w:code="9"/>
      <w:pgMar w:top="1418" w:right="1134" w:bottom="1134" w:left="1701" w:header="720" w:footer="363" w:gutter="0"/>
      <w:pgNumType w:start="9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9524E" w14:textId="77777777" w:rsidR="00D87FA0" w:rsidRDefault="00D87FA0">
      <w:r>
        <w:separator/>
      </w:r>
    </w:p>
  </w:endnote>
  <w:endnote w:type="continuationSeparator" w:id="0">
    <w:p w14:paraId="7108F8F3" w14:textId="77777777" w:rsidR="00D87FA0" w:rsidRDefault="00D8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B779" w14:textId="2F8C2566" w:rsidR="007C7780" w:rsidRPr="007C7780" w:rsidRDefault="007A1D8E" w:rsidP="00064D3E">
    <w:pPr>
      <w:ind w:firstLine="0"/>
      <w:rPr>
        <w:sz w:val="6"/>
      </w:rPr>
    </w:pPr>
    <w:r>
      <w:rPr>
        <w:noProof/>
        <w:sz w:val="20"/>
      </w:rPr>
      <w:fldChar w:fldCharType="begin"/>
    </w:r>
    <w:r>
      <w:rPr>
        <w:noProof/>
        <w:sz w:val="20"/>
      </w:rPr>
      <w:instrText xml:space="preserve"> FILENAME \* MERGEFORMAT </w:instrText>
    </w:r>
    <w:r>
      <w:rPr>
        <w:noProof/>
        <w:sz w:val="20"/>
      </w:rPr>
      <w:fldChar w:fldCharType="separate"/>
    </w:r>
    <w:r w:rsidR="00C5361B">
      <w:rPr>
        <w:noProof/>
        <w:sz w:val="20"/>
      </w:rPr>
      <w:t>FMPask_6_121020_proj2021.docx</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0898C" w14:textId="77777777" w:rsidR="00D87FA0" w:rsidRDefault="00D87FA0" w:rsidP="00D33C1B">
      <w:pPr>
        <w:spacing w:after="0"/>
        <w:ind w:firstLine="0"/>
      </w:pPr>
      <w:r>
        <w:separator/>
      </w:r>
    </w:p>
  </w:footnote>
  <w:footnote w:type="continuationSeparator" w:id="0">
    <w:p w14:paraId="3ECFD869" w14:textId="77777777" w:rsidR="00D87FA0" w:rsidRDefault="00D87FA0">
      <w:r>
        <w:continuationSeparator/>
      </w:r>
    </w:p>
  </w:footnote>
  <w:footnote w:id="1">
    <w:p w14:paraId="5E7E3AA2" w14:textId="77777777" w:rsidR="006D5235" w:rsidRPr="00261EC2" w:rsidRDefault="006D5235" w:rsidP="006D5235">
      <w:pPr>
        <w:pStyle w:val="FootnoteText"/>
        <w:ind w:firstLine="0"/>
        <w:rPr>
          <w:lang w:val="es-ES"/>
        </w:rPr>
      </w:pPr>
      <w:r>
        <w:rPr>
          <w:rStyle w:val="FootnoteReference"/>
        </w:rPr>
        <w:footnoteRef/>
      </w:r>
      <w:r>
        <w:t xml:space="preserve">pēc nacionālās metodoloģijas, bez atvasinātiem finanšu instrumentiem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0FAC" w14:textId="77777777" w:rsidR="00AA51AB" w:rsidRDefault="003D7C9D">
    <w:pPr>
      <w:pStyle w:val="Header"/>
      <w:framePr w:wrap="around" w:vAnchor="text" w:hAnchor="margin" w:xAlign="center" w:y="1"/>
      <w:rPr>
        <w:rStyle w:val="PageNumber"/>
      </w:rPr>
    </w:pPr>
    <w:r>
      <w:rPr>
        <w:rStyle w:val="PageNumber"/>
      </w:rPr>
      <w:fldChar w:fldCharType="begin"/>
    </w:r>
    <w:r w:rsidR="00AA51AB">
      <w:rPr>
        <w:rStyle w:val="PageNumber"/>
      </w:rPr>
      <w:instrText xml:space="preserve">PAGE  </w:instrText>
    </w:r>
    <w:r>
      <w:rPr>
        <w:rStyle w:val="PageNumber"/>
      </w:rPr>
      <w:fldChar w:fldCharType="separate"/>
    </w:r>
    <w:r w:rsidR="001F358D">
      <w:rPr>
        <w:rStyle w:val="PageNumber"/>
        <w:noProof/>
      </w:rPr>
      <w:t>89</w:t>
    </w:r>
    <w:r>
      <w:rPr>
        <w:rStyle w:val="PageNumber"/>
      </w:rPr>
      <w:fldChar w:fldCharType="end"/>
    </w:r>
  </w:p>
  <w:p w14:paraId="430D175F" w14:textId="77777777" w:rsidR="00AA51AB" w:rsidRDefault="00AA5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605754"/>
      <w:docPartObj>
        <w:docPartGallery w:val="Page Numbers (Top of Page)"/>
        <w:docPartUnique/>
      </w:docPartObj>
    </w:sdtPr>
    <w:sdtEndPr>
      <w:rPr>
        <w:noProof/>
      </w:rPr>
    </w:sdtEndPr>
    <w:sdtContent>
      <w:p w14:paraId="6F245623" w14:textId="025A8931" w:rsidR="00975FDC" w:rsidRDefault="00975FDC">
        <w:pPr>
          <w:pStyle w:val="Header"/>
          <w:jc w:val="center"/>
        </w:pPr>
        <w:r>
          <w:fldChar w:fldCharType="begin"/>
        </w:r>
        <w:r>
          <w:instrText xml:space="preserve"> PAGE   \* MERGEFORMAT </w:instrText>
        </w:r>
        <w:r>
          <w:fldChar w:fldCharType="separate"/>
        </w:r>
        <w:r w:rsidR="005A05B4">
          <w:rPr>
            <w:noProof/>
          </w:rPr>
          <w:t>967</w:t>
        </w:r>
        <w:r>
          <w:rPr>
            <w:noProof/>
          </w:rPr>
          <w:fldChar w:fldCharType="end"/>
        </w:r>
      </w:p>
    </w:sdtContent>
  </w:sdt>
  <w:p w14:paraId="60095F2B" w14:textId="77777777" w:rsidR="00975FDC" w:rsidRDefault="00975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2BE"/>
    <w:multiLevelType w:val="multilevel"/>
    <w:tmpl w:val="775A231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BD4AF5"/>
    <w:multiLevelType w:val="hybridMultilevel"/>
    <w:tmpl w:val="B5EEFA2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044DF"/>
    <w:multiLevelType w:val="hybridMultilevel"/>
    <w:tmpl w:val="65BEAD28"/>
    <w:lvl w:ilvl="0" w:tplc="69E28D7E">
      <w:start w:val="1"/>
      <w:numFmt w:val="decimal"/>
      <w:lvlText w:val="%1."/>
      <w:lvlJc w:val="left"/>
      <w:pPr>
        <w:ind w:left="1155" w:hanging="435"/>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CD0166F"/>
    <w:multiLevelType w:val="multilevel"/>
    <w:tmpl w:val="B2B67F1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42"/>
    <w:rsid w:val="0000057C"/>
    <w:rsid w:val="00006C1A"/>
    <w:rsid w:val="00007727"/>
    <w:rsid w:val="0002025E"/>
    <w:rsid w:val="000215E5"/>
    <w:rsid w:val="00021615"/>
    <w:rsid w:val="000233BC"/>
    <w:rsid w:val="00024875"/>
    <w:rsid w:val="0002593D"/>
    <w:rsid w:val="000259E0"/>
    <w:rsid w:val="00026317"/>
    <w:rsid w:val="00032548"/>
    <w:rsid w:val="00042A06"/>
    <w:rsid w:val="00053730"/>
    <w:rsid w:val="00055E9C"/>
    <w:rsid w:val="000612BB"/>
    <w:rsid w:val="00061450"/>
    <w:rsid w:val="000625AC"/>
    <w:rsid w:val="00064D3E"/>
    <w:rsid w:val="00071942"/>
    <w:rsid w:val="000724FE"/>
    <w:rsid w:val="00074D97"/>
    <w:rsid w:val="000768C4"/>
    <w:rsid w:val="00076E81"/>
    <w:rsid w:val="00084581"/>
    <w:rsid w:val="000847AC"/>
    <w:rsid w:val="00084BCD"/>
    <w:rsid w:val="00087CB9"/>
    <w:rsid w:val="00094371"/>
    <w:rsid w:val="00097E20"/>
    <w:rsid w:val="000A1514"/>
    <w:rsid w:val="000A1D95"/>
    <w:rsid w:val="000A3E79"/>
    <w:rsid w:val="000B0585"/>
    <w:rsid w:val="000B66CA"/>
    <w:rsid w:val="000C0316"/>
    <w:rsid w:val="000C0643"/>
    <w:rsid w:val="000C7999"/>
    <w:rsid w:val="000C7F49"/>
    <w:rsid w:val="000C7FE9"/>
    <w:rsid w:val="000D6A46"/>
    <w:rsid w:val="000E47B4"/>
    <w:rsid w:val="000E4E77"/>
    <w:rsid w:val="000E56F1"/>
    <w:rsid w:val="000E7D02"/>
    <w:rsid w:val="000F2A91"/>
    <w:rsid w:val="000F2AB1"/>
    <w:rsid w:val="000F3ACB"/>
    <w:rsid w:val="000F48E1"/>
    <w:rsid w:val="00101D7B"/>
    <w:rsid w:val="00105258"/>
    <w:rsid w:val="00111901"/>
    <w:rsid w:val="001129CE"/>
    <w:rsid w:val="00113263"/>
    <w:rsid w:val="001150B1"/>
    <w:rsid w:val="001156CD"/>
    <w:rsid w:val="00116096"/>
    <w:rsid w:val="0013248F"/>
    <w:rsid w:val="00134644"/>
    <w:rsid w:val="001352E2"/>
    <w:rsid w:val="001357A9"/>
    <w:rsid w:val="001402D6"/>
    <w:rsid w:val="00142CB5"/>
    <w:rsid w:val="0014718A"/>
    <w:rsid w:val="001479BF"/>
    <w:rsid w:val="00154D5C"/>
    <w:rsid w:val="00161D0C"/>
    <w:rsid w:val="001678BC"/>
    <w:rsid w:val="00174E4C"/>
    <w:rsid w:val="00175FFE"/>
    <w:rsid w:val="001762B4"/>
    <w:rsid w:val="00180BC2"/>
    <w:rsid w:val="0018134E"/>
    <w:rsid w:val="0018320D"/>
    <w:rsid w:val="001902D2"/>
    <w:rsid w:val="0019145B"/>
    <w:rsid w:val="00197614"/>
    <w:rsid w:val="001A3AAB"/>
    <w:rsid w:val="001A5C5D"/>
    <w:rsid w:val="001B0A08"/>
    <w:rsid w:val="001B51D8"/>
    <w:rsid w:val="001C17E4"/>
    <w:rsid w:val="001C3542"/>
    <w:rsid w:val="001C588E"/>
    <w:rsid w:val="001D21DC"/>
    <w:rsid w:val="001E068D"/>
    <w:rsid w:val="001E2A3A"/>
    <w:rsid w:val="001E2C7E"/>
    <w:rsid w:val="001E6194"/>
    <w:rsid w:val="001E7157"/>
    <w:rsid w:val="001F0354"/>
    <w:rsid w:val="001F358D"/>
    <w:rsid w:val="001F3E50"/>
    <w:rsid w:val="001F52BC"/>
    <w:rsid w:val="001F7249"/>
    <w:rsid w:val="002010DC"/>
    <w:rsid w:val="002056C4"/>
    <w:rsid w:val="00206203"/>
    <w:rsid w:val="002068FA"/>
    <w:rsid w:val="00206A6A"/>
    <w:rsid w:val="002076E7"/>
    <w:rsid w:val="002078EA"/>
    <w:rsid w:val="00213319"/>
    <w:rsid w:val="002230A1"/>
    <w:rsid w:val="00226477"/>
    <w:rsid w:val="00232357"/>
    <w:rsid w:val="002329B0"/>
    <w:rsid w:val="00234F67"/>
    <w:rsid w:val="00237027"/>
    <w:rsid w:val="002401DA"/>
    <w:rsid w:val="0024285F"/>
    <w:rsid w:val="00242EE3"/>
    <w:rsid w:val="002458A7"/>
    <w:rsid w:val="00254A2A"/>
    <w:rsid w:val="0026264E"/>
    <w:rsid w:val="00264351"/>
    <w:rsid w:val="00264CE1"/>
    <w:rsid w:val="00266A5D"/>
    <w:rsid w:val="00271BED"/>
    <w:rsid w:val="00272801"/>
    <w:rsid w:val="0027282E"/>
    <w:rsid w:val="00274A7D"/>
    <w:rsid w:val="00274CA6"/>
    <w:rsid w:val="002804B9"/>
    <w:rsid w:val="002806A3"/>
    <w:rsid w:val="00285322"/>
    <w:rsid w:val="0028564A"/>
    <w:rsid w:val="00290AA5"/>
    <w:rsid w:val="00291939"/>
    <w:rsid w:val="00291A78"/>
    <w:rsid w:val="00293168"/>
    <w:rsid w:val="002976A4"/>
    <w:rsid w:val="002A159F"/>
    <w:rsid w:val="002A3DF3"/>
    <w:rsid w:val="002A5D5D"/>
    <w:rsid w:val="002B63D3"/>
    <w:rsid w:val="002B6528"/>
    <w:rsid w:val="002C2D97"/>
    <w:rsid w:val="002C3959"/>
    <w:rsid w:val="002C6445"/>
    <w:rsid w:val="002C6566"/>
    <w:rsid w:val="002C7AAB"/>
    <w:rsid w:val="002D404A"/>
    <w:rsid w:val="002D48AC"/>
    <w:rsid w:val="002D5C66"/>
    <w:rsid w:val="002E28F9"/>
    <w:rsid w:val="002E3BAB"/>
    <w:rsid w:val="002E5295"/>
    <w:rsid w:val="002F0239"/>
    <w:rsid w:val="002F0EA0"/>
    <w:rsid w:val="002F1FED"/>
    <w:rsid w:val="002F3C06"/>
    <w:rsid w:val="002F4F45"/>
    <w:rsid w:val="002F72EF"/>
    <w:rsid w:val="003044B2"/>
    <w:rsid w:val="00310349"/>
    <w:rsid w:val="003106EC"/>
    <w:rsid w:val="00320F03"/>
    <w:rsid w:val="00322590"/>
    <w:rsid w:val="00322A1F"/>
    <w:rsid w:val="003276D3"/>
    <w:rsid w:val="00331844"/>
    <w:rsid w:val="00332EE1"/>
    <w:rsid w:val="00333104"/>
    <w:rsid w:val="00334B84"/>
    <w:rsid w:val="0033600D"/>
    <w:rsid w:val="00342B03"/>
    <w:rsid w:val="00343A52"/>
    <w:rsid w:val="00344391"/>
    <w:rsid w:val="00344A17"/>
    <w:rsid w:val="00345D42"/>
    <w:rsid w:val="00350F32"/>
    <w:rsid w:val="00355081"/>
    <w:rsid w:val="0035555E"/>
    <w:rsid w:val="00357F86"/>
    <w:rsid w:val="0036106A"/>
    <w:rsid w:val="003629D1"/>
    <w:rsid w:val="0036456C"/>
    <w:rsid w:val="00364A74"/>
    <w:rsid w:val="003708AE"/>
    <w:rsid w:val="00380AD7"/>
    <w:rsid w:val="00381B53"/>
    <w:rsid w:val="00383225"/>
    <w:rsid w:val="003856C8"/>
    <w:rsid w:val="00385BFE"/>
    <w:rsid w:val="00386C57"/>
    <w:rsid w:val="00390ED5"/>
    <w:rsid w:val="00393799"/>
    <w:rsid w:val="00395BC6"/>
    <w:rsid w:val="00395F37"/>
    <w:rsid w:val="003A0ABA"/>
    <w:rsid w:val="003A68D6"/>
    <w:rsid w:val="003B30B7"/>
    <w:rsid w:val="003B357B"/>
    <w:rsid w:val="003B4932"/>
    <w:rsid w:val="003B56F9"/>
    <w:rsid w:val="003B6635"/>
    <w:rsid w:val="003B7F9A"/>
    <w:rsid w:val="003C05FF"/>
    <w:rsid w:val="003C1D78"/>
    <w:rsid w:val="003D0A2A"/>
    <w:rsid w:val="003D303F"/>
    <w:rsid w:val="003D5B49"/>
    <w:rsid w:val="003D611A"/>
    <w:rsid w:val="003D7C9D"/>
    <w:rsid w:val="003E10EA"/>
    <w:rsid w:val="003E1C27"/>
    <w:rsid w:val="003E22F7"/>
    <w:rsid w:val="003E2E5B"/>
    <w:rsid w:val="003E3638"/>
    <w:rsid w:val="003E467A"/>
    <w:rsid w:val="003E4FC0"/>
    <w:rsid w:val="003E590B"/>
    <w:rsid w:val="003E666D"/>
    <w:rsid w:val="003F1311"/>
    <w:rsid w:val="003F235E"/>
    <w:rsid w:val="003F5503"/>
    <w:rsid w:val="003F7027"/>
    <w:rsid w:val="00400FD3"/>
    <w:rsid w:val="004039A8"/>
    <w:rsid w:val="00411B54"/>
    <w:rsid w:val="00414197"/>
    <w:rsid w:val="00414938"/>
    <w:rsid w:val="0041513B"/>
    <w:rsid w:val="00415A28"/>
    <w:rsid w:val="004169A2"/>
    <w:rsid w:val="00417962"/>
    <w:rsid w:val="00425973"/>
    <w:rsid w:val="0042719C"/>
    <w:rsid w:val="00432673"/>
    <w:rsid w:val="00432903"/>
    <w:rsid w:val="00433552"/>
    <w:rsid w:val="00434182"/>
    <w:rsid w:val="00434838"/>
    <w:rsid w:val="004376FA"/>
    <w:rsid w:val="00440767"/>
    <w:rsid w:val="00442A59"/>
    <w:rsid w:val="00446F70"/>
    <w:rsid w:val="00455A16"/>
    <w:rsid w:val="00457D7B"/>
    <w:rsid w:val="00461D67"/>
    <w:rsid w:val="004640DA"/>
    <w:rsid w:val="00464381"/>
    <w:rsid w:val="004666AA"/>
    <w:rsid w:val="00467F40"/>
    <w:rsid w:val="00470FB3"/>
    <w:rsid w:val="004726AB"/>
    <w:rsid w:val="00475521"/>
    <w:rsid w:val="0048175C"/>
    <w:rsid w:val="00481C6B"/>
    <w:rsid w:val="00484928"/>
    <w:rsid w:val="00490668"/>
    <w:rsid w:val="00495A31"/>
    <w:rsid w:val="004A0CB3"/>
    <w:rsid w:val="004A227B"/>
    <w:rsid w:val="004B179A"/>
    <w:rsid w:val="004B267D"/>
    <w:rsid w:val="004B37E5"/>
    <w:rsid w:val="004B38A2"/>
    <w:rsid w:val="004B3A8B"/>
    <w:rsid w:val="004B4FF8"/>
    <w:rsid w:val="004B6760"/>
    <w:rsid w:val="004C0AB4"/>
    <w:rsid w:val="004C1B07"/>
    <w:rsid w:val="004C22F6"/>
    <w:rsid w:val="004C5A8E"/>
    <w:rsid w:val="004C6F04"/>
    <w:rsid w:val="004C7F41"/>
    <w:rsid w:val="004D3017"/>
    <w:rsid w:val="004D51D6"/>
    <w:rsid w:val="004E2FE1"/>
    <w:rsid w:val="004E3199"/>
    <w:rsid w:val="004F0D89"/>
    <w:rsid w:val="005034EB"/>
    <w:rsid w:val="00503B46"/>
    <w:rsid w:val="005067B7"/>
    <w:rsid w:val="00506AC2"/>
    <w:rsid w:val="00510AE5"/>
    <w:rsid w:val="00515375"/>
    <w:rsid w:val="005157E5"/>
    <w:rsid w:val="00516BC5"/>
    <w:rsid w:val="0051721C"/>
    <w:rsid w:val="0052133B"/>
    <w:rsid w:val="00521401"/>
    <w:rsid w:val="00521BD9"/>
    <w:rsid w:val="00527528"/>
    <w:rsid w:val="00527A24"/>
    <w:rsid w:val="0053491D"/>
    <w:rsid w:val="005363AD"/>
    <w:rsid w:val="00545A18"/>
    <w:rsid w:val="00545A2B"/>
    <w:rsid w:val="00546DF1"/>
    <w:rsid w:val="005513D8"/>
    <w:rsid w:val="00552544"/>
    <w:rsid w:val="0055416F"/>
    <w:rsid w:val="00555824"/>
    <w:rsid w:val="00555C46"/>
    <w:rsid w:val="005606B5"/>
    <w:rsid w:val="005616FE"/>
    <w:rsid w:val="00563745"/>
    <w:rsid w:val="00564205"/>
    <w:rsid w:val="00565D0C"/>
    <w:rsid w:val="00566DEC"/>
    <w:rsid w:val="00572A2D"/>
    <w:rsid w:val="00575D5D"/>
    <w:rsid w:val="00576521"/>
    <w:rsid w:val="00576AD0"/>
    <w:rsid w:val="005809F3"/>
    <w:rsid w:val="00584DAF"/>
    <w:rsid w:val="00585C1C"/>
    <w:rsid w:val="005869D2"/>
    <w:rsid w:val="00586E78"/>
    <w:rsid w:val="00591030"/>
    <w:rsid w:val="00594B48"/>
    <w:rsid w:val="00595210"/>
    <w:rsid w:val="005A05B4"/>
    <w:rsid w:val="005A11C6"/>
    <w:rsid w:val="005A39B6"/>
    <w:rsid w:val="005A44D3"/>
    <w:rsid w:val="005B0AC4"/>
    <w:rsid w:val="005B3932"/>
    <w:rsid w:val="005B3E88"/>
    <w:rsid w:val="005B4C61"/>
    <w:rsid w:val="005B5794"/>
    <w:rsid w:val="005B5DB8"/>
    <w:rsid w:val="005C2D66"/>
    <w:rsid w:val="005C69F0"/>
    <w:rsid w:val="005C6F7D"/>
    <w:rsid w:val="005C7AB5"/>
    <w:rsid w:val="005D2B20"/>
    <w:rsid w:val="005D7F0D"/>
    <w:rsid w:val="005E1C40"/>
    <w:rsid w:val="005E3130"/>
    <w:rsid w:val="005E663E"/>
    <w:rsid w:val="005E7C55"/>
    <w:rsid w:val="005F0ED9"/>
    <w:rsid w:val="005F4C41"/>
    <w:rsid w:val="005F576E"/>
    <w:rsid w:val="005F57AC"/>
    <w:rsid w:val="005F6C9B"/>
    <w:rsid w:val="0060105E"/>
    <w:rsid w:val="00604731"/>
    <w:rsid w:val="0060479E"/>
    <w:rsid w:val="00605BA7"/>
    <w:rsid w:val="00606F94"/>
    <w:rsid w:val="006079EE"/>
    <w:rsid w:val="00611D92"/>
    <w:rsid w:val="00613658"/>
    <w:rsid w:val="00615570"/>
    <w:rsid w:val="006235D9"/>
    <w:rsid w:val="0062621D"/>
    <w:rsid w:val="006315F5"/>
    <w:rsid w:val="00634AAE"/>
    <w:rsid w:val="006364BD"/>
    <w:rsid w:val="006412EF"/>
    <w:rsid w:val="00642FCC"/>
    <w:rsid w:val="00652324"/>
    <w:rsid w:val="00652BFE"/>
    <w:rsid w:val="0065319C"/>
    <w:rsid w:val="0065414C"/>
    <w:rsid w:val="006638F8"/>
    <w:rsid w:val="006726E0"/>
    <w:rsid w:val="0067351F"/>
    <w:rsid w:val="00674C28"/>
    <w:rsid w:val="00677B8A"/>
    <w:rsid w:val="00682587"/>
    <w:rsid w:val="00682EBA"/>
    <w:rsid w:val="0068674F"/>
    <w:rsid w:val="00693C2E"/>
    <w:rsid w:val="006A12D5"/>
    <w:rsid w:val="006A18E8"/>
    <w:rsid w:val="006A373D"/>
    <w:rsid w:val="006A74D7"/>
    <w:rsid w:val="006B2E0E"/>
    <w:rsid w:val="006B4C7D"/>
    <w:rsid w:val="006C1240"/>
    <w:rsid w:val="006C76E1"/>
    <w:rsid w:val="006D27AC"/>
    <w:rsid w:val="006D28F8"/>
    <w:rsid w:val="006D4D8E"/>
    <w:rsid w:val="006D5235"/>
    <w:rsid w:val="006E0E9A"/>
    <w:rsid w:val="006E6D01"/>
    <w:rsid w:val="006E70DB"/>
    <w:rsid w:val="006F0889"/>
    <w:rsid w:val="006F4847"/>
    <w:rsid w:val="006F5BE3"/>
    <w:rsid w:val="006F6615"/>
    <w:rsid w:val="006F765E"/>
    <w:rsid w:val="007020F7"/>
    <w:rsid w:val="0070482F"/>
    <w:rsid w:val="00704B77"/>
    <w:rsid w:val="007072C7"/>
    <w:rsid w:val="00712F24"/>
    <w:rsid w:val="00713000"/>
    <w:rsid w:val="00713D1D"/>
    <w:rsid w:val="00720060"/>
    <w:rsid w:val="00725B96"/>
    <w:rsid w:val="007316F9"/>
    <w:rsid w:val="00731F69"/>
    <w:rsid w:val="00734472"/>
    <w:rsid w:val="00734D84"/>
    <w:rsid w:val="007353C2"/>
    <w:rsid w:val="0073661A"/>
    <w:rsid w:val="007369C3"/>
    <w:rsid w:val="00736AF5"/>
    <w:rsid w:val="007471E7"/>
    <w:rsid w:val="00747CCA"/>
    <w:rsid w:val="00752274"/>
    <w:rsid w:val="0075407A"/>
    <w:rsid w:val="00755668"/>
    <w:rsid w:val="007559F1"/>
    <w:rsid w:val="00756144"/>
    <w:rsid w:val="00760CE6"/>
    <w:rsid w:val="0076371E"/>
    <w:rsid w:val="00763F43"/>
    <w:rsid w:val="00766684"/>
    <w:rsid w:val="007727C5"/>
    <w:rsid w:val="0077360A"/>
    <w:rsid w:val="00783671"/>
    <w:rsid w:val="00783A46"/>
    <w:rsid w:val="00790FA4"/>
    <w:rsid w:val="00794609"/>
    <w:rsid w:val="007946AD"/>
    <w:rsid w:val="007951C7"/>
    <w:rsid w:val="00795CF4"/>
    <w:rsid w:val="007A0249"/>
    <w:rsid w:val="007A1D8E"/>
    <w:rsid w:val="007A5A24"/>
    <w:rsid w:val="007A77B6"/>
    <w:rsid w:val="007B0208"/>
    <w:rsid w:val="007B43A9"/>
    <w:rsid w:val="007B73C0"/>
    <w:rsid w:val="007C21B7"/>
    <w:rsid w:val="007C44A9"/>
    <w:rsid w:val="007C5FE9"/>
    <w:rsid w:val="007C7780"/>
    <w:rsid w:val="007D1441"/>
    <w:rsid w:val="007D2C85"/>
    <w:rsid w:val="007D66E8"/>
    <w:rsid w:val="007E00EF"/>
    <w:rsid w:val="007E2590"/>
    <w:rsid w:val="007E28CC"/>
    <w:rsid w:val="007E46FE"/>
    <w:rsid w:val="007E48D5"/>
    <w:rsid w:val="007E7A4D"/>
    <w:rsid w:val="007F1C37"/>
    <w:rsid w:val="007F2824"/>
    <w:rsid w:val="007F2894"/>
    <w:rsid w:val="007F3C11"/>
    <w:rsid w:val="007F4368"/>
    <w:rsid w:val="007F6162"/>
    <w:rsid w:val="007F6847"/>
    <w:rsid w:val="007F6BC5"/>
    <w:rsid w:val="008041E8"/>
    <w:rsid w:val="00806510"/>
    <w:rsid w:val="008137BB"/>
    <w:rsid w:val="00814BE7"/>
    <w:rsid w:val="00816780"/>
    <w:rsid w:val="00816817"/>
    <w:rsid w:val="00817534"/>
    <w:rsid w:val="00817A20"/>
    <w:rsid w:val="00821EF0"/>
    <w:rsid w:val="0082534B"/>
    <w:rsid w:val="0083059F"/>
    <w:rsid w:val="0083199F"/>
    <w:rsid w:val="00834207"/>
    <w:rsid w:val="0083566B"/>
    <w:rsid w:val="00835868"/>
    <w:rsid w:val="00837BBC"/>
    <w:rsid w:val="008437FA"/>
    <w:rsid w:val="00843F84"/>
    <w:rsid w:val="00843FD7"/>
    <w:rsid w:val="00844F9C"/>
    <w:rsid w:val="00845088"/>
    <w:rsid w:val="008470C3"/>
    <w:rsid w:val="0085057E"/>
    <w:rsid w:val="00853411"/>
    <w:rsid w:val="0085557C"/>
    <w:rsid w:val="0085701A"/>
    <w:rsid w:val="00857F07"/>
    <w:rsid w:val="00863DAD"/>
    <w:rsid w:val="00865FC9"/>
    <w:rsid w:val="008732CF"/>
    <w:rsid w:val="0087459F"/>
    <w:rsid w:val="00880F47"/>
    <w:rsid w:val="00885253"/>
    <w:rsid w:val="00887530"/>
    <w:rsid w:val="008A04CC"/>
    <w:rsid w:val="008A28DD"/>
    <w:rsid w:val="008A5DDB"/>
    <w:rsid w:val="008B13C5"/>
    <w:rsid w:val="008B5AEC"/>
    <w:rsid w:val="008C23E1"/>
    <w:rsid w:val="008D0325"/>
    <w:rsid w:val="008D0C99"/>
    <w:rsid w:val="008D317C"/>
    <w:rsid w:val="008D5354"/>
    <w:rsid w:val="008D7A6F"/>
    <w:rsid w:val="008E2067"/>
    <w:rsid w:val="008E3317"/>
    <w:rsid w:val="008F0525"/>
    <w:rsid w:val="008F2028"/>
    <w:rsid w:val="008F4FB3"/>
    <w:rsid w:val="008F7302"/>
    <w:rsid w:val="0090262F"/>
    <w:rsid w:val="00902B54"/>
    <w:rsid w:val="00903D76"/>
    <w:rsid w:val="00905725"/>
    <w:rsid w:val="00905F05"/>
    <w:rsid w:val="00906CC5"/>
    <w:rsid w:val="00911CCC"/>
    <w:rsid w:val="00911E00"/>
    <w:rsid w:val="00911F2A"/>
    <w:rsid w:val="0091610D"/>
    <w:rsid w:val="009248FE"/>
    <w:rsid w:val="009275C0"/>
    <w:rsid w:val="00930191"/>
    <w:rsid w:val="00930E38"/>
    <w:rsid w:val="009330BA"/>
    <w:rsid w:val="009352B1"/>
    <w:rsid w:val="009356F5"/>
    <w:rsid w:val="00936CFB"/>
    <w:rsid w:val="009372E8"/>
    <w:rsid w:val="00944A84"/>
    <w:rsid w:val="00946D4E"/>
    <w:rsid w:val="00954715"/>
    <w:rsid w:val="00960C9B"/>
    <w:rsid w:val="009644F0"/>
    <w:rsid w:val="00965A16"/>
    <w:rsid w:val="00965B76"/>
    <w:rsid w:val="00966D82"/>
    <w:rsid w:val="00970564"/>
    <w:rsid w:val="00974F66"/>
    <w:rsid w:val="00975FDC"/>
    <w:rsid w:val="0098149B"/>
    <w:rsid w:val="00981970"/>
    <w:rsid w:val="00983234"/>
    <w:rsid w:val="0098359E"/>
    <w:rsid w:val="0098783B"/>
    <w:rsid w:val="009930F4"/>
    <w:rsid w:val="0099324E"/>
    <w:rsid w:val="0099387B"/>
    <w:rsid w:val="00993F78"/>
    <w:rsid w:val="00995A35"/>
    <w:rsid w:val="009A33B2"/>
    <w:rsid w:val="009A349B"/>
    <w:rsid w:val="009A384A"/>
    <w:rsid w:val="009A6A56"/>
    <w:rsid w:val="009A740D"/>
    <w:rsid w:val="009B004C"/>
    <w:rsid w:val="009B18C2"/>
    <w:rsid w:val="009B781F"/>
    <w:rsid w:val="009C0F48"/>
    <w:rsid w:val="009C5F90"/>
    <w:rsid w:val="009C7F07"/>
    <w:rsid w:val="009D11B4"/>
    <w:rsid w:val="009D198B"/>
    <w:rsid w:val="009D3799"/>
    <w:rsid w:val="009D471F"/>
    <w:rsid w:val="009D4DC3"/>
    <w:rsid w:val="009D5658"/>
    <w:rsid w:val="009D7823"/>
    <w:rsid w:val="009E031C"/>
    <w:rsid w:val="009E112D"/>
    <w:rsid w:val="009E1456"/>
    <w:rsid w:val="009E3BC7"/>
    <w:rsid w:val="009F1E50"/>
    <w:rsid w:val="009F27CA"/>
    <w:rsid w:val="009F61BC"/>
    <w:rsid w:val="009F6485"/>
    <w:rsid w:val="00A013DA"/>
    <w:rsid w:val="00A02EE7"/>
    <w:rsid w:val="00A03AC8"/>
    <w:rsid w:val="00A045E8"/>
    <w:rsid w:val="00A10C77"/>
    <w:rsid w:val="00A12A00"/>
    <w:rsid w:val="00A13378"/>
    <w:rsid w:val="00A14BF8"/>
    <w:rsid w:val="00A15A21"/>
    <w:rsid w:val="00A168FE"/>
    <w:rsid w:val="00A175D6"/>
    <w:rsid w:val="00A20C52"/>
    <w:rsid w:val="00A2130F"/>
    <w:rsid w:val="00A22357"/>
    <w:rsid w:val="00A2533E"/>
    <w:rsid w:val="00A27827"/>
    <w:rsid w:val="00A349CC"/>
    <w:rsid w:val="00A3678F"/>
    <w:rsid w:val="00A41017"/>
    <w:rsid w:val="00A4244C"/>
    <w:rsid w:val="00A44E2F"/>
    <w:rsid w:val="00A50A9C"/>
    <w:rsid w:val="00A51577"/>
    <w:rsid w:val="00A5194C"/>
    <w:rsid w:val="00A55135"/>
    <w:rsid w:val="00A61848"/>
    <w:rsid w:val="00A632DE"/>
    <w:rsid w:val="00A64905"/>
    <w:rsid w:val="00A651B4"/>
    <w:rsid w:val="00A651B5"/>
    <w:rsid w:val="00A66473"/>
    <w:rsid w:val="00A6697C"/>
    <w:rsid w:val="00A67BD5"/>
    <w:rsid w:val="00A70C49"/>
    <w:rsid w:val="00A72636"/>
    <w:rsid w:val="00A72D2A"/>
    <w:rsid w:val="00A81B5F"/>
    <w:rsid w:val="00A820D6"/>
    <w:rsid w:val="00A822A1"/>
    <w:rsid w:val="00A842D9"/>
    <w:rsid w:val="00A8573B"/>
    <w:rsid w:val="00A93E6F"/>
    <w:rsid w:val="00A94F92"/>
    <w:rsid w:val="00A95700"/>
    <w:rsid w:val="00AA487A"/>
    <w:rsid w:val="00AA51AB"/>
    <w:rsid w:val="00AA742A"/>
    <w:rsid w:val="00AB07DF"/>
    <w:rsid w:val="00AB3F5E"/>
    <w:rsid w:val="00AB4377"/>
    <w:rsid w:val="00AB7229"/>
    <w:rsid w:val="00AC0718"/>
    <w:rsid w:val="00AC0DDB"/>
    <w:rsid w:val="00AC32B9"/>
    <w:rsid w:val="00AC3C10"/>
    <w:rsid w:val="00AC55F5"/>
    <w:rsid w:val="00AC5954"/>
    <w:rsid w:val="00AC6AE0"/>
    <w:rsid w:val="00AD26F5"/>
    <w:rsid w:val="00AD3455"/>
    <w:rsid w:val="00AD3BE0"/>
    <w:rsid w:val="00AD6143"/>
    <w:rsid w:val="00AE381A"/>
    <w:rsid w:val="00AE48AD"/>
    <w:rsid w:val="00AE7D93"/>
    <w:rsid w:val="00AF08C7"/>
    <w:rsid w:val="00AF1C95"/>
    <w:rsid w:val="00AF2C74"/>
    <w:rsid w:val="00B0142C"/>
    <w:rsid w:val="00B116D4"/>
    <w:rsid w:val="00B132E8"/>
    <w:rsid w:val="00B13854"/>
    <w:rsid w:val="00B14C56"/>
    <w:rsid w:val="00B15424"/>
    <w:rsid w:val="00B20907"/>
    <w:rsid w:val="00B266B2"/>
    <w:rsid w:val="00B32E39"/>
    <w:rsid w:val="00B33656"/>
    <w:rsid w:val="00B4086E"/>
    <w:rsid w:val="00B504ED"/>
    <w:rsid w:val="00B562D3"/>
    <w:rsid w:val="00B60E71"/>
    <w:rsid w:val="00B62475"/>
    <w:rsid w:val="00B62E54"/>
    <w:rsid w:val="00B655E8"/>
    <w:rsid w:val="00B6753C"/>
    <w:rsid w:val="00B67717"/>
    <w:rsid w:val="00B7337B"/>
    <w:rsid w:val="00B7355E"/>
    <w:rsid w:val="00B81761"/>
    <w:rsid w:val="00B82156"/>
    <w:rsid w:val="00B872CE"/>
    <w:rsid w:val="00B87450"/>
    <w:rsid w:val="00B915E5"/>
    <w:rsid w:val="00B9221F"/>
    <w:rsid w:val="00B957F9"/>
    <w:rsid w:val="00B97780"/>
    <w:rsid w:val="00B97A76"/>
    <w:rsid w:val="00BA4072"/>
    <w:rsid w:val="00BB32FB"/>
    <w:rsid w:val="00BB4BD1"/>
    <w:rsid w:val="00BB7795"/>
    <w:rsid w:val="00BC4383"/>
    <w:rsid w:val="00BD0577"/>
    <w:rsid w:val="00BD0D0E"/>
    <w:rsid w:val="00BD78E6"/>
    <w:rsid w:val="00BE095A"/>
    <w:rsid w:val="00BE09AB"/>
    <w:rsid w:val="00BE1D94"/>
    <w:rsid w:val="00BF3268"/>
    <w:rsid w:val="00BF5935"/>
    <w:rsid w:val="00C017B1"/>
    <w:rsid w:val="00C02699"/>
    <w:rsid w:val="00C02C87"/>
    <w:rsid w:val="00C0334B"/>
    <w:rsid w:val="00C0348C"/>
    <w:rsid w:val="00C03A65"/>
    <w:rsid w:val="00C040D9"/>
    <w:rsid w:val="00C06922"/>
    <w:rsid w:val="00C104F5"/>
    <w:rsid w:val="00C112A5"/>
    <w:rsid w:val="00C12BA2"/>
    <w:rsid w:val="00C13A90"/>
    <w:rsid w:val="00C22618"/>
    <w:rsid w:val="00C22E1E"/>
    <w:rsid w:val="00C23A28"/>
    <w:rsid w:val="00C27C32"/>
    <w:rsid w:val="00C321BF"/>
    <w:rsid w:val="00C35212"/>
    <w:rsid w:val="00C42E98"/>
    <w:rsid w:val="00C45ADC"/>
    <w:rsid w:val="00C51FD2"/>
    <w:rsid w:val="00C5361B"/>
    <w:rsid w:val="00C56992"/>
    <w:rsid w:val="00C5770E"/>
    <w:rsid w:val="00C60B44"/>
    <w:rsid w:val="00C60D28"/>
    <w:rsid w:val="00C65E73"/>
    <w:rsid w:val="00C675C3"/>
    <w:rsid w:val="00C70632"/>
    <w:rsid w:val="00C721BF"/>
    <w:rsid w:val="00C72BEF"/>
    <w:rsid w:val="00C7387C"/>
    <w:rsid w:val="00C7720F"/>
    <w:rsid w:val="00C77C81"/>
    <w:rsid w:val="00C77FFA"/>
    <w:rsid w:val="00C82261"/>
    <w:rsid w:val="00C85771"/>
    <w:rsid w:val="00C86F78"/>
    <w:rsid w:val="00C91519"/>
    <w:rsid w:val="00C9289F"/>
    <w:rsid w:val="00C951B8"/>
    <w:rsid w:val="00C972AF"/>
    <w:rsid w:val="00CA51B2"/>
    <w:rsid w:val="00CA52E4"/>
    <w:rsid w:val="00CA6367"/>
    <w:rsid w:val="00CA7B7C"/>
    <w:rsid w:val="00CB1561"/>
    <w:rsid w:val="00CB46E1"/>
    <w:rsid w:val="00CB76E2"/>
    <w:rsid w:val="00CC069B"/>
    <w:rsid w:val="00CC4069"/>
    <w:rsid w:val="00CC5F8A"/>
    <w:rsid w:val="00CD256C"/>
    <w:rsid w:val="00CD2710"/>
    <w:rsid w:val="00CD3190"/>
    <w:rsid w:val="00CD373E"/>
    <w:rsid w:val="00CD5B60"/>
    <w:rsid w:val="00CD5E62"/>
    <w:rsid w:val="00CE1689"/>
    <w:rsid w:val="00CE455F"/>
    <w:rsid w:val="00CE5500"/>
    <w:rsid w:val="00CF0254"/>
    <w:rsid w:val="00CF260C"/>
    <w:rsid w:val="00CF2B66"/>
    <w:rsid w:val="00CF7616"/>
    <w:rsid w:val="00D0147F"/>
    <w:rsid w:val="00D024CB"/>
    <w:rsid w:val="00D033E4"/>
    <w:rsid w:val="00D033F0"/>
    <w:rsid w:val="00D037DD"/>
    <w:rsid w:val="00D10977"/>
    <w:rsid w:val="00D12955"/>
    <w:rsid w:val="00D13256"/>
    <w:rsid w:val="00D1338C"/>
    <w:rsid w:val="00D144E9"/>
    <w:rsid w:val="00D151CB"/>
    <w:rsid w:val="00D17054"/>
    <w:rsid w:val="00D20D54"/>
    <w:rsid w:val="00D213A0"/>
    <w:rsid w:val="00D33C1B"/>
    <w:rsid w:val="00D34F2A"/>
    <w:rsid w:val="00D37370"/>
    <w:rsid w:val="00D4685E"/>
    <w:rsid w:val="00D50AD5"/>
    <w:rsid w:val="00D51925"/>
    <w:rsid w:val="00D526F5"/>
    <w:rsid w:val="00D533A4"/>
    <w:rsid w:val="00D556FF"/>
    <w:rsid w:val="00D610E4"/>
    <w:rsid w:val="00D6149E"/>
    <w:rsid w:val="00D62F8E"/>
    <w:rsid w:val="00D63C02"/>
    <w:rsid w:val="00D64ECF"/>
    <w:rsid w:val="00D71E98"/>
    <w:rsid w:val="00D74F76"/>
    <w:rsid w:val="00D77583"/>
    <w:rsid w:val="00D82B11"/>
    <w:rsid w:val="00D84E05"/>
    <w:rsid w:val="00D85BA4"/>
    <w:rsid w:val="00D87FA0"/>
    <w:rsid w:val="00D930D4"/>
    <w:rsid w:val="00D94962"/>
    <w:rsid w:val="00D95333"/>
    <w:rsid w:val="00D97302"/>
    <w:rsid w:val="00DA5F26"/>
    <w:rsid w:val="00DA619D"/>
    <w:rsid w:val="00DB1CD3"/>
    <w:rsid w:val="00DB2FE7"/>
    <w:rsid w:val="00DB3075"/>
    <w:rsid w:val="00DB3126"/>
    <w:rsid w:val="00DB4E82"/>
    <w:rsid w:val="00DB5538"/>
    <w:rsid w:val="00DB6CF1"/>
    <w:rsid w:val="00DB7C6D"/>
    <w:rsid w:val="00DC0877"/>
    <w:rsid w:val="00DC59BE"/>
    <w:rsid w:val="00DD0411"/>
    <w:rsid w:val="00DE1F4D"/>
    <w:rsid w:val="00DE3845"/>
    <w:rsid w:val="00DE717A"/>
    <w:rsid w:val="00DE7DDB"/>
    <w:rsid w:val="00DF3A6E"/>
    <w:rsid w:val="00DF514C"/>
    <w:rsid w:val="00DF57B5"/>
    <w:rsid w:val="00E004CD"/>
    <w:rsid w:val="00E01809"/>
    <w:rsid w:val="00E03CDF"/>
    <w:rsid w:val="00E0687D"/>
    <w:rsid w:val="00E14955"/>
    <w:rsid w:val="00E15120"/>
    <w:rsid w:val="00E15F3B"/>
    <w:rsid w:val="00E20C7B"/>
    <w:rsid w:val="00E26EDF"/>
    <w:rsid w:val="00E3120C"/>
    <w:rsid w:val="00E33F11"/>
    <w:rsid w:val="00E4203F"/>
    <w:rsid w:val="00E43358"/>
    <w:rsid w:val="00E47AD7"/>
    <w:rsid w:val="00E54E0F"/>
    <w:rsid w:val="00E5528E"/>
    <w:rsid w:val="00E565FE"/>
    <w:rsid w:val="00E6320A"/>
    <w:rsid w:val="00E64E73"/>
    <w:rsid w:val="00E702C5"/>
    <w:rsid w:val="00E74773"/>
    <w:rsid w:val="00E7748F"/>
    <w:rsid w:val="00E83772"/>
    <w:rsid w:val="00E92AE5"/>
    <w:rsid w:val="00E97CD0"/>
    <w:rsid w:val="00EA05C2"/>
    <w:rsid w:val="00EA2A0C"/>
    <w:rsid w:val="00EA2BD0"/>
    <w:rsid w:val="00EB016D"/>
    <w:rsid w:val="00EB663F"/>
    <w:rsid w:val="00EC2FF5"/>
    <w:rsid w:val="00EC7E51"/>
    <w:rsid w:val="00ED0B49"/>
    <w:rsid w:val="00ED1DC7"/>
    <w:rsid w:val="00ED2154"/>
    <w:rsid w:val="00ED4B98"/>
    <w:rsid w:val="00ED4D82"/>
    <w:rsid w:val="00ED72C9"/>
    <w:rsid w:val="00ED7A97"/>
    <w:rsid w:val="00EE0794"/>
    <w:rsid w:val="00EE0A5E"/>
    <w:rsid w:val="00EE4F34"/>
    <w:rsid w:val="00EF0CF8"/>
    <w:rsid w:val="00EF3CC7"/>
    <w:rsid w:val="00EF4FBE"/>
    <w:rsid w:val="00EF611E"/>
    <w:rsid w:val="00EF6840"/>
    <w:rsid w:val="00F00404"/>
    <w:rsid w:val="00F0145C"/>
    <w:rsid w:val="00F04D7B"/>
    <w:rsid w:val="00F06D69"/>
    <w:rsid w:val="00F1047E"/>
    <w:rsid w:val="00F10591"/>
    <w:rsid w:val="00F10989"/>
    <w:rsid w:val="00F111E0"/>
    <w:rsid w:val="00F11D47"/>
    <w:rsid w:val="00F137FF"/>
    <w:rsid w:val="00F13B9F"/>
    <w:rsid w:val="00F15214"/>
    <w:rsid w:val="00F17B04"/>
    <w:rsid w:val="00F21882"/>
    <w:rsid w:val="00F2439A"/>
    <w:rsid w:val="00F26444"/>
    <w:rsid w:val="00F26737"/>
    <w:rsid w:val="00F2733B"/>
    <w:rsid w:val="00F315FF"/>
    <w:rsid w:val="00F319F6"/>
    <w:rsid w:val="00F33D64"/>
    <w:rsid w:val="00F35489"/>
    <w:rsid w:val="00F40488"/>
    <w:rsid w:val="00F40853"/>
    <w:rsid w:val="00F459BF"/>
    <w:rsid w:val="00F47A9F"/>
    <w:rsid w:val="00F47DBA"/>
    <w:rsid w:val="00F47F6A"/>
    <w:rsid w:val="00F554CC"/>
    <w:rsid w:val="00F56C44"/>
    <w:rsid w:val="00F61544"/>
    <w:rsid w:val="00F61B2D"/>
    <w:rsid w:val="00F63986"/>
    <w:rsid w:val="00F63F6A"/>
    <w:rsid w:val="00F65E5F"/>
    <w:rsid w:val="00F66F8F"/>
    <w:rsid w:val="00F70CB9"/>
    <w:rsid w:val="00F819CA"/>
    <w:rsid w:val="00F85788"/>
    <w:rsid w:val="00F86707"/>
    <w:rsid w:val="00F868EB"/>
    <w:rsid w:val="00F94A7A"/>
    <w:rsid w:val="00F952C9"/>
    <w:rsid w:val="00F967D1"/>
    <w:rsid w:val="00F96AB0"/>
    <w:rsid w:val="00F97112"/>
    <w:rsid w:val="00F9715B"/>
    <w:rsid w:val="00F97871"/>
    <w:rsid w:val="00FA1443"/>
    <w:rsid w:val="00FA1567"/>
    <w:rsid w:val="00FA27C6"/>
    <w:rsid w:val="00FA4BAE"/>
    <w:rsid w:val="00FA5D61"/>
    <w:rsid w:val="00FA715B"/>
    <w:rsid w:val="00FB0A92"/>
    <w:rsid w:val="00FB2738"/>
    <w:rsid w:val="00FC095D"/>
    <w:rsid w:val="00FC10AB"/>
    <w:rsid w:val="00FC116C"/>
    <w:rsid w:val="00FC1ADE"/>
    <w:rsid w:val="00FC3115"/>
    <w:rsid w:val="00FC3FE1"/>
    <w:rsid w:val="00FC707D"/>
    <w:rsid w:val="00FE1CBC"/>
    <w:rsid w:val="00FF2458"/>
    <w:rsid w:val="00FF3FB2"/>
    <w:rsid w:val="00FF5A7E"/>
    <w:rsid w:val="00FF7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582F95F"/>
  <w15:docId w15:val="{B5149B05-5ACC-48A9-ACF5-41AD4008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68"/>
    <w:pPr>
      <w:spacing w:after="120"/>
      <w:ind w:firstLine="709"/>
      <w:jc w:val="both"/>
    </w:pPr>
    <w:rPr>
      <w:sz w:val="24"/>
      <w:lang w:eastAsia="en-US"/>
    </w:rPr>
  </w:style>
  <w:style w:type="paragraph" w:styleId="Heading1">
    <w:name w:val="heading 1"/>
    <w:basedOn w:val="Normal"/>
    <w:next w:val="Normal"/>
    <w:link w:val="Heading1Char"/>
    <w:uiPriority w:val="9"/>
    <w:rsid w:val="006E6D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6E6D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D7C9D"/>
    <w:pPr>
      <w:tabs>
        <w:tab w:val="center" w:pos="4153"/>
        <w:tab w:val="right" w:pos="8306"/>
      </w:tabs>
      <w:spacing w:after="0"/>
      <w:ind w:firstLine="0"/>
    </w:pPr>
    <w:rPr>
      <w:sz w:val="20"/>
    </w:rPr>
  </w:style>
  <w:style w:type="paragraph" w:customStyle="1" w:styleId="H3">
    <w:name w:val="H3"/>
    <w:rsid w:val="007F4368"/>
    <w:pPr>
      <w:spacing w:after="120"/>
      <w:jc w:val="center"/>
      <w:outlineLvl w:val="2"/>
    </w:pPr>
    <w:rPr>
      <w:b/>
      <w:sz w:val="32"/>
      <w:lang w:eastAsia="en-US"/>
    </w:rPr>
  </w:style>
  <w:style w:type="paragraph" w:customStyle="1" w:styleId="H2">
    <w:name w:val="H2"/>
    <w:rsid w:val="007F4368"/>
    <w:pPr>
      <w:spacing w:after="120"/>
      <w:jc w:val="center"/>
      <w:outlineLvl w:val="1"/>
    </w:pPr>
    <w:rPr>
      <w:b/>
      <w:sz w:val="36"/>
      <w:lang w:eastAsia="en-US"/>
    </w:rPr>
  </w:style>
  <w:style w:type="paragraph" w:customStyle="1" w:styleId="H1">
    <w:name w:val="H1"/>
    <w:rsid w:val="007F4368"/>
    <w:pPr>
      <w:spacing w:after="120"/>
      <w:jc w:val="center"/>
      <w:outlineLvl w:val="0"/>
    </w:pPr>
    <w:rPr>
      <w:b/>
      <w:sz w:val="44"/>
      <w:lang w:eastAsia="en-US"/>
    </w:rPr>
  </w:style>
  <w:style w:type="character" w:styleId="PageNumber">
    <w:name w:val="page number"/>
    <w:basedOn w:val="DefaultParagraphFont"/>
    <w:semiHidden/>
    <w:rsid w:val="003D7C9D"/>
  </w:style>
  <w:style w:type="paragraph" w:styleId="Header">
    <w:name w:val="header"/>
    <w:basedOn w:val="Normal"/>
    <w:link w:val="HeaderChar"/>
    <w:uiPriority w:val="99"/>
    <w:rsid w:val="003D7C9D"/>
    <w:pPr>
      <w:tabs>
        <w:tab w:val="center" w:pos="4153"/>
        <w:tab w:val="right" w:pos="8306"/>
      </w:tabs>
      <w:spacing w:after="0"/>
      <w:ind w:firstLine="0"/>
    </w:pPr>
  </w:style>
  <w:style w:type="character" w:customStyle="1" w:styleId="HeaderChar">
    <w:name w:val="Header Char"/>
    <w:link w:val="Header"/>
    <w:uiPriority w:val="99"/>
    <w:rsid w:val="009330BA"/>
    <w:rPr>
      <w:sz w:val="24"/>
      <w:lang w:eastAsia="en-US"/>
    </w:rPr>
  </w:style>
  <w:style w:type="character" w:styleId="CommentReference">
    <w:name w:val="annotation reference"/>
    <w:semiHidden/>
    <w:rsid w:val="003D7C9D"/>
    <w:rPr>
      <w:sz w:val="16"/>
      <w:szCs w:val="16"/>
    </w:rPr>
  </w:style>
  <w:style w:type="paragraph" w:styleId="CommentText">
    <w:name w:val="annotation text"/>
    <w:basedOn w:val="Normal"/>
    <w:link w:val="CommentTextChar"/>
    <w:rsid w:val="003D7C9D"/>
    <w:rPr>
      <w:sz w:val="20"/>
    </w:rPr>
  </w:style>
  <w:style w:type="character" w:customStyle="1" w:styleId="CommentTextChar">
    <w:name w:val="Comment Text Char"/>
    <w:link w:val="CommentText"/>
    <w:rsid w:val="00FC1ADE"/>
    <w:rPr>
      <w:lang w:eastAsia="en-US"/>
    </w:rPr>
  </w:style>
  <w:style w:type="paragraph" w:styleId="BalloonText">
    <w:name w:val="Balloon Text"/>
    <w:basedOn w:val="Normal"/>
    <w:link w:val="BalloonTextChar"/>
    <w:uiPriority w:val="99"/>
    <w:semiHidden/>
    <w:unhideWhenUsed/>
    <w:rsid w:val="00D610E4"/>
    <w:pPr>
      <w:spacing w:after="0"/>
    </w:pPr>
    <w:rPr>
      <w:rFonts w:ascii="Tahoma" w:hAnsi="Tahoma"/>
      <w:sz w:val="16"/>
      <w:szCs w:val="16"/>
    </w:rPr>
  </w:style>
  <w:style w:type="character" w:customStyle="1" w:styleId="BalloonTextChar">
    <w:name w:val="Balloon Text Char"/>
    <w:link w:val="BalloonText"/>
    <w:uiPriority w:val="99"/>
    <w:semiHidden/>
    <w:rsid w:val="00D610E4"/>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C1ADE"/>
    <w:rPr>
      <w:b/>
      <w:bCs/>
    </w:rPr>
  </w:style>
  <w:style w:type="character" w:customStyle="1" w:styleId="CommentSubjectChar">
    <w:name w:val="Comment Subject Char"/>
    <w:basedOn w:val="CommentTextChar"/>
    <w:link w:val="CommentSubject"/>
    <w:rsid w:val="00FC1ADE"/>
    <w:rPr>
      <w:lang w:eastAsia="en-US"/>
    </w:rPr>
  </w:style>
  <w:style w:type="paragraph" w:styleId="BodyTextIndent">
    <w:name w:val="Body Text Indent"/>
    <w:basedOn w:val="Normal"/>
    <w:link w:val="BodyTextIndentChar"/>
    <w:uiPriority w:val="99"/>
    <w:unhideWhenUsed/>
    <w:rsid w:val="00521401"/>
    <w:pPr>
      <w:ind w:left="283"/>
    </w:pPr>
  </w:style>
  <w:style w:type="character" w:customStyle="1" w:styleId="BodyTextIndentChar">
    <w:name w:val="Body Text Indent Char"/>
    <w:link w:val="BodyTextIndent"/>
    <w:uiPriority w:val="99"/>
    <w:rsid w:val="00521401"/>
    <w:rPr>
      <w:sz w:val="24"/>
      <w:lang w:eastAsia="en-US"/>
    </w:rPr>
  </w:style>
  <w:style w:type="paragraph" w:customStyle="1" w:styleId="Default">
    <w:name w:val="Default"/>
    <w:rsid w:val="004726AB"/>
    <w:pPr>
      <w:autoSpaceDE w:val="0"/>
      <w:autoSpaceDN w:val="0"/>
      <w:adjustRightInd w:val="0"/>
    </w:pPr>
    <w:rPr>
      <w:color w:val="000000"/>
      <w:sz w:val="24"/>
      <w:szCs w:val="24"/>
    </w:rPr>
  </w:style>
  <w:style w:type="paragraph" w:styleId="Revision">
    <w:name w:val="Revision"/>
    <w:hidden/>
    <w:uiPriority w:val="99"/>
    <w:semiHidden/>
    <w:rsid w:val="009A740D"/>
    <w:rPr>
      <w:sz w:val="24"/>
      <w:lang w:eastAsia="en-US"/>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7316F9"/>
    <w:rPr>
      <w:sz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link w:val="FootnoteText"/>
    <w:uiPriority w:val="99"/>
    <w:rsid w:val="007316F9"/>
    <w:rPr>
      <w:lang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316F9"/>
    <w:rPr>
      <w:vertAlign w:val="superscript"/>
    </w:rPr>
  </w:style>
  <w:style w:type="character" w:styleId="Hyperlink">
    <w:name w:val="Hyperlink"/>
    <w:uiPriority w:val="99"/>
    <w:unhideWhenUsed/>
    <w:rsid w:val="00F952C9"/>
    <w:rPr>
      <w:color w:val="0000FF"/>
      <w:u w:val="single"/>
    </w:rPr>
  </w:style>
  <w:style w:type="paragraph" w:customStyle="1" w:styleId="H4">
    <w:name w:val="H4"/>
    <w:rsid w:val="007F4368"/>
    <w:pPr>
      <w:spacing w:after="120"/>
      <w:jc w:val="center"/>
      <w:outlineLvl w:val="3"/>
    </w:pPr>
    <w:rPr>
      <w:b/>
      <w:sz w:val="28"/>
      <w:lang w:eastAsia="en-US"/>
    </w:rPr>
  </w:style>
  <w:style w:type="paragraph" w:customStyle="1" w:styleId="funkcijas">
    <w:name w:val="funkcijas"/>
    <w:basedOn w:val="Normal"/>
    <w:qFormat/>
    <w:rsid w:val="007F4368"/>
    <w:pPr>
      <w:ind w:firstLine="0"/>
    </w:pPr>
    <w:rPr>
      <w:bCs/>
      <w:u w:val="single"/>
    </w:rPr>
  </w:style>
  <w:style w:type="paragraph" w:customStyle="1" w:styleId="Funkcijasbold">
    <w:name w:val="Funkcijas_bold"/>
    <w:basedOn w:val="Normal"/>
    <w:qFormat/>
    <w:rsid w:val="007F4368"/>
    <w:pPr>
      <w:ind w:firstLine="0"/>
    </w:pPr>
    <w:rPr>
      <w:b/>
      <w:bCs/>
    </w:rPr>
  </w:style>
  <w:style w:type="paragraph" w:customStyle="1" w:styleId="paraksti">
    <w:name w:val="paraksti"/>
    <w:basedOn w:val="Normal"/>
    <w:qFormat/>
    <w:rsid w:val="007F4368"/>
    <w:pPr>
      <w:ind w:firstLine="0"/>
    </w:pPr>
    <w:rPr>
      <w:i/>
      <w:sz w:val="18"/>
    </w:rPr>
  </w:style>
  <w:style w:type="paragraph" w:customStyle="1" w:styleId="programmas">
    <w:name w:val="programmas"/>
    <w:basedOn w:val="Normal"/>
    <w:qFormat/>
    <w:rsid w:val="007F4368"/>
    <w:pPr>
      <w:widowControl w:val="0"/>
      <w:spacing w:before="240"/>
      <w:ind w:firstLine="0"/>
      <w:jc w:val="center"/>
    </w:pPr>
    <w:rPr>
      <w:b/>
      <w:lang w:val="en-US"/>
    </w:rPr>
  </w:style>
  <w:style w:type="paragraph" w:customStyle="1" w:styleId="samazpaliel">
    <w:name w:val="samaz_paliel"/>
    <w:basedOn w:val="Normal"/>
    <w:qFormat/>
    <w:rsid w:val="007F4368"/>
    <w:pPr>
      <w:widowControl w:val="0"/>
      <w:ind w:firstLine="0"/>
    </w:pPr>
    <w:rPr>
      <w:b/>
      <w:u w:val="single"/>
    </w:rPr>
  </w:style>
  <w:style w:type="paragraph" w:customStyle="1" w:styleId="T">
    <w:name w:val="T"/>
    <w:basedOn w:val="Normal"/>
    <w:uiPriority w:val="99"/>
    <w:rsid w:val="007F4368"/>
    <w:pPr>
      <w:keepNext/>
      <w:ind w:firstLine="0"/>
      <w:jc w:val="center"/>
    </w:pPr>
    <w:rPr>
      <w:b/>
      <w:i/>
    </w:rPr>
  </w:style>
  <w:style w:type="paragraph" w:customStyle="1" w:styleId="tabteksts">
    <w:name w:val="tab_teksts"/>
    <w:basedOn w:val="Normal"/>
    <w:qFormat/>
    <w:rsid w:val="007F4368"/>
    <w:pPr>
      <w:spacing w:after="0"/>
      <w:ind w:firstLine="0"/>
      <w:jc w:val="left"/>
    </w:pPr>
    <w:rPr>
      <w:sz w:val="18"/>
    </w:rPr>
  </w:style>
  <w:style w:type="paragraph" w:customStyle="1" w:styleId="Z">
    <w:name w:val="Z"/>
    <w:basedOn w:val="T"/>
    <w:uiPriority w:val="99"/>
    <w:rsid w:val="007F4368"/>
    <w:pPr>
      <w:keepNext w:val="0"/>
    </w:pPr>
  </w:style>
  <w:style w:type="paragraph" w:customStyle="1" w:styleId="cipari">
    <w:name w:val="cipari"/>
    <w:basedOn w:val="Normal"/>
    <w:link w:val="cipariChar"/>
    <w:qFormat/>
    <w:rsid w:val="007F4368"/>
    <w:pPr>
      <w:ind w:left="720" w:hanging="720"/>
    </w:pPr>
    <w:rPr>
      <w:bCs/>
    </w:rPr>
  </w:style>
  <w:style w:type="character" w:customStyle="1" w:styleId="cipariChar">
    <w:name w:val="cipari Char"/>
    <w:link w:val="cipari"/>
    <w:rsid w:val="007F4368"/>
    <w:rPr>
      <w:bCs/>
      <w:sz w:val="24"/>
      <w:lang w:eastAsia="en-US"/>
    </w:rPr>
  </w:style>
  <w:style w:type="paragraph" w:customStyle="1" w:styleId="cipariiturp">
    <w:name w:val="ciparii_turp"/>
    <w:basedOn w:val="cipari"/>
    <w:qFormat/>
    <w:rsid w:val="007F4368"/>
    <w:pPr>
      <w:ind w:left="709" w:firstLine="0"/>
    </w:pPr>
    <w:rPr>
      <w:bCs w:val="0"/>
    </w:rPr>
  </w:style>
  <w:style w:type="paragraph" w:styleId="ListParagraph">
    <w:name w:val="List Paragraph"/>
    <w:aliases w:val="2"/>
    <w:basedOn w:val="Normal"/>
    <w:link w:val="ListParagraphChar"/>
    <w:uiPriority w:val="34"/>
    <w:qFormat/>
    <w:rsid w:val="00C017B1"/>
    <w:pPr>
      <w:spacing w:after="200" w:line="276" w:lineRule="auto"/>
      <w:ind w:left="720" w:firstLine="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2 Char"/>
    <w:link w:val="ListParagraph"/>
    <w:uiPriority w:val="34"/>
    <w:rsid w:val="00C017B1"/>
    <w:rPr>
      <w:rFonts w:asciiTheme="minorHAnsi" w:eastAsiaTheme="minorHAnsi" w:hAnsiTheme="minorHAnsi" w:cstheme="minorBidi"/>
      <w:sz w:val="22"/>
      <w:szCs w:val="22"/>
      <w:lang w:eastAsia="en-US"/>
    </w:rPr>
  </w:style>
  <w:style w:type="paragraph" w:customStyle="1" w:styleId="virsr2">
    <w:name w:val="virsr_2"/>
    <w:basedOn w:val="Normal"/>
    <w:rsid w:val="00902B54"/>
    <w:pPr>
      <w:keepNext/>
      <w:pBdr>
        <w:bottom w:val="dashed" w:sz="4" w:space="4" w:color="auto"/>
      </w:pBdr>
      <w:spacing w:before="360" w:after="240"/>
      <w:ind w:firstLine="0"/>
      <w:jc w:val="center"/>
    </w:pPr>
    <w:rPr>
      <w:rFonts w:ascii="Garamond" w:hAnsi="Garamond"/>
      <w:b/>
      <w:sz w:val="28"/>
    </w:rPr>
  </w:style>
  <w:style w:type="paragraph" w:customStyle="1" w:styleId="virsr3">
    <w:name w:val="virsr_3"/>
    <w:basedOn w:val="virsr2"/>
    <w:rsid w:val="00902B54"/>
    <w:rPr>
      <w:i/>
      <w:sz w:val="24"/>
    </w:rPr>
  </w:style>
  <w:style w:type="paragraph" w:customStyle="1" w:styleId="teksts">
    <w:name w:val="teksts"/>
    <w:rsid w:val="00902B54"/>
    <w:pPr>
      <w:spacing w:after="120"/>
      <w:jc w:val="both"/>
    </w:pPr>
    <w:rPr>
      <w:rFonts w:ascii="Garamond" w:hAnsi="Garamond"/>
      <w:sz w:val="24"/>
      <w:lang w:val="en-US" w:eastAsia="en-US"/>
    </w:rPr>
  </w:style>
  <w:style w:type="paragraph" w:customStyle="1" w:styleId="tabnum">
    <w:name w:val="tab_num"/>
    <w:basedOn w:val="Normal"/>
    <w:rsid w:val="00902B54"/>
    <w:pPr>
      <w:keepNext/>
      <w:spacing w:before="120" w:after="240"/>
      <w:ind w:firstLine="0"/>
      <w:jc w:val="center"/>
    </w:pPr>
    <w:rPr>
      <w:rFonts w:ascii="Garamond" w:hAnsi="Garamond"/>
      <w:lang w:val="en-US"/>
    </w:rPr>
  </w:style>
  <w:style w:type="paragraph" w:customStyle="1" w:styleId="tabvirsr">
    <w:name w:val="tab_virsr"/>
    <w:basedOn w:val="teksts"/>
    <w:rsid w:val="00902B54"/>
    <w:pPr>
      <w:keepNext/>
      <w:keepLines/>
      <w:spacing w:after="0"/>
      <w:jc w:val="center"/>
    </w:pPr>
    <w:rPr>
      <w:b/>
      <w:sz w:val="22"/>
    </w:rPr>
  </w:style>
  <w:style w:type="paragraph" w:customStyle="1" w:styleId="tabvirsrturp">
    <w:name w:val="tab_virsr_turp"/>
    <w:basedOn w:val="tabvirsr"/>
    <w:rsid w:val="00902B54"/>
    <w:pPr>
      <w:spacing w:after="120"/>
    </w:pPr>
    <w:rPr>
      <w:b w:val="0"/>
    </w:rPr>
  </w:style>
  <w:style w:type="paragraph" w:styleId="Title">
    <w:name w:val="Title"/>
    <w:basedOn w:val="Normal"/>
    <w:link w:val="TitleChar"/>
    <w:uiPriority w:val="10"/>
    <w:qFormat/>
    <w:rsid w:val="007A5A24"/>
    <w:pPr>
      <w:spacing w:after="0"/>
      <w:ind w:firstLine="0"/>
      <w:jc w:val="center"/>
    </w:pPr>
  </w:style>
  <w:style w:type="character" w:customStyle="1" w:styleId="TitleChar">
    <w:name w:val="Title Char"/>
    <w:basedOn w:val="DefaultParagraphFont"/>
    <w:link w:val="Title"/>
    <w:uiPriority w:val="10"/>
    <w:rsid w:val="007A5A24"/>
    <w:rPr>
      <w:sz w:val="24"/>
      <w:lang w:eastAsia="en-US"/>
    </w:rPr>
  </w:style>
  <w:style w:type="table" w:styleId="TableGrid">
    <w:name w:val="Table Grid"/>
    <w:basedOn w:val="TableNormal"/>
    <w:uiPriority w:val="59"/>
    <w:rsid w:val="00D55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6D01"/>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6E6D01"/>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32">
      <w:bodyDiv w:val="1"/>
      <w:marLeft w:val="0"/>
      <w:marRight w:val="0"/>
      <w:marTop w:val="0"/>
      <w:marBottom w:val="0"/>
      <w:divBdr>
        <w:top w:val="none" w:sz="0" w:space="0" w:color="auto"/>
        <w:left w:val="none" w:sz="0" w:space="0" w:color="auto"/>
        <w:bottom w:val="none" w:sz="0" w:space="0" w:color="auto"/>
        <w:right w:val="none" w:sz="0" w:space="0" w:color="auto"/>
      </w:divBdr>
      <w:divsChild>
        <w:div w:id="663706267">
          <w:marLeft w:val="2074"/>
          <w:marRight w:val="0"/>
          <w:marTop w:val="134"/>
          <w:marBottom w:val="0"/>
          <w:divBdr>
            <w:top w:val="none" w:sz="0" w:space="0" w:color="auto"/>
            <w:left w:val="none" w:sz="0" w:space="0" w:color="auto"/>
            <w:bottom w:val="none" w:sz="0" w:space="0" w:color="auto"/>
            <w:right w:val="none" w:sz="0" w:space="0" w:color="auto"/>
          </w:divBdr>
        </w:div>
        <w:div w:id="1496263807">
          <w:marLeft w:val="2074"/>
          <w:marRight w:val="0"/>
          <w:marTop w:val="134"/>
          <w:marBottom w:val="0"/>
          <w:divBdr>
            <w:top w:val="none" w:sz="0" w:space="0" w:color="auto"/>
            <w:left w:val="none" w:sz="0" w:space="0" w:color="auto"/>
            <w:bottom w:val="none" w:sz="0" w:space="0" w:color="auto"/>
            <w:right w:val="none" w:sz="0" w:space="0" w:color="auto"/>
          </w:divBdr>
        </w:div>
      </w:divsChild>
    </w:div>
    <w:div w:id="156965318">
      <w:bodyDiv w:val="1"/>
      <w:marLeft w:val="0"/>
      <w:marRight w:val="0"/>
      <w:marTop w:val="0"/>
      <w:marBottom w:val="0"/>
      <w:divBdr>
        <w:top w:val="none" w:sz="0" w:space="0" w:color="auto"/>
        <w:left w:val="none" w:sz="0" w:space="0" w:color="auto"/>
        <w:bottom w:val="none" w:sz="0" w:space="0" w:color="auto"/>
        <w:right w:val="none" w:sz="0" w:space="0" w:color="auto"/>
      </w:divBdr>
      <w:divsChild>
        <w:div w:id="65493582">
          <w:marLeft w:val="547"/>
          <w:marRight w:val="0"/>
          <w:marTop w:val="115"/>
          <w:marBottom w:val="0"/>
          <w:divBdr>
            <w:top w:val="none" w:sz="0" w:space="0" w:color="auto"/>
            <w:left w:val="none" w:sz="0" w:space="0" w:color="auto"/>
            <w:bottom w:val="none" w:sz="0" w:space="0" w:color="auto"/>
            <w:right w:val="none" w:sz="0" w:space="0" w:color="auto"/>
          </w:divBdr>
        </w:div>
      </w:divsChild>
    </w:div>
    <w:div w:id="277683036">
      <w:bodyDiv w:val="1"/>
      <w:marLeft w:val="0"/>
      <w:marRight w:val="0"/>
      <w:marTop w:val="0"/>
      <w:marBottom w:val="0"/>
      <w:divBdr>
        <w:top w:val="none" w:sz="0" w:space="0" w:color="auto"/>
        <w:left w:val="none" w:sz="0" w:space="0" w:color="auto"/>
        <w:bottom w:val="none" w:sz="0" w:space="0" w:color="auto"/>
        <w:right w:val="none" w:sz="0" w:space="0" w:color="auto"/>
      </w:divBdr>
    </w:div>
    <w:div w:id="332221459">
      <w:bodyDiv w:val="1"/>
      <w:marLeft w:val="0"/>
      <w:marRight w:val="0"/>
      <w:marTop w:val="0"/>
      <w:marBottom w:val="0"/>
      <w:divBdr>
        <w:top w:val="none" w:sz="0" w:space="0" w:color="auto"/>
        <w:left w:val="none" w:sz="0" w:space="0" w:color="auto"/>
        <w:bottom w:val="none" w:sz="0" w:space="0" w:color="auto"/>
        <w:right w:val="none" w:sz="0" w:space="0" w:color="auto"/>
      </w:divBdr>
    </w:div>
    <w:div w:id="366102320">
      <w:bodyDiv w:val="1"/>
      <w:marLeft w:val="0"/>
      <w:marRight w:val="0"/>
      <w:marTop w:val="0"/>
      <w:marBottom w:val="0"/>
      <w:divBdr>
        <w:top w:val="none" w:sz="0" w:space="0" w:color="auto"/>
        <w:left w:val="none" w:sz="0" w:space="0" w:color="auto"/>
        <w:bottom w:val="none" w:sz="0" w:space="0" w:color="auto"/>
        <w:right w:val="none" w:sz="0" w:space="0" w:color="auto"/>
      </w:divBdr>
    </w:div>
    <w:div w:id="386297028">
      <w:bodyDiv w:val="1"/>
      <w:marLeft w:val="0"/>
      <w:marRight w:val="0"/>
      <w:marTop w:val="0"/>
      <w:marBottom w:val="0"/>
      <w:divBdr>
        <w:top w:val="none" w:sz="0" w:space="0" w:color="auto"/>
        <w:left w:val="none" w:sz="0" w:space="0" w:color="auto"/>
        <w:bottom w:val="none" w:sz="0" w:space="0" w:color="auto"/>
        <w:right w:val="none" w:sz="0" w:space="0" w:color="auto"/>
      </w:divBdr>
    </w:div>
    <w:div w:id="416484417">
      <w:bodyDiv w:val="1"/>
      <w:marLeft w:val="0"/>
      <w:marRight w:val="0"/>
      <w:marTop w:val="0"/>
      <w:marBottom w:val="0"/>
      <w:divBdr>
        <w:top w:val="none" w:sz="0" w:space="0" w:color="auto"/>
        <w:left w:val="none" w:sz="0" w:space="0" w:color="auto"/>
        <w:bottom w:val="none" w:sz="0" w:space="0" w:color="auto"/>
        <w:right w:val="none" w:sz="0" w:space="0" w:color="auto"/>
      </w:divBdr>
    </w:div>
    <w:div w:id="656424447">
      <w:bodyDiv w:val="1"/>
      <w:marLeft w:val="0"/>
      <w:marRight w:val="0"/>
      <w:marTop w:val="0"/>
      <w:marBottom w:val="0"/>
      <w:divBdr>
        <w:top w:val="none" w:sz="0" w:space="0" w:color="auto"/>
        <w:left w:val="none" w:sz="0" w:space="0" w:color="auto"/>
        <w:bottom w:val="none" w:sz="0" w:space="0" w:color="auto"/>
        <w:right w:val="none" w:sz="0" w:space="0" w:color="auto"/>
      </w:divBdr>
    </w:div>
    <w:div w:id="842092662">
      <w:bodyDiv w:val="1"/>
      <w:marLeft w:val="0"/>
      <w:marRight w:val="0"/>
      <w:marTop w:val="0"/>
      <w:marBottom w:val="0"/>
      <w:divBdr>
        <w:top w:val="none" w:sz="0" w:space="0" w:color="auto"/>
        <w:left w:val="none" w:sz="0" w:space="0" w:color="auto"/>
        <w:bottom w:val="none" w:sz="0" w:space="0" w:color="auto"/>
        <w:right w:val="none" w:sz="0" w:space="0" w:color="auto"/>
      </w:divBdr>
    </w:div>
    <w:div w:id="876701290">
      <w:bodyDiv w:val="1"/>
      <w:marLeft w:val="0"/>
      <w:marRight w:val="0"/>
      <w:marTop w:val="0"/>
      <w:marBottom w:val="0"/>
      <w:divBdr>
        <w:top w:val="none" w:sz="0" w:space="0" w:color="auto"/>
        <w:left w:val="none" w:sz="0" w:space="0" w:color="auto"/>
        <w:bottom w:val="none" w:sz="0" w:space="0" w:color="auto"/>
        <w:right w:val="none" w:sz="0" w:space="0" w:color="auto"/>
      </w:divBdr>
      <w:divsChild>
        <w:div w:id="89354713">
          <w:marLeft w:val="1166"/>
          <w:marRight w:val="0"/>
          <w:marTop w:val="96"/>
          <w:marBottom w:val="0"/>
          <w:divBdr>
            <w:top w:val="none" w:sz="0" w:space="0" w:color="auto"/>
            <w:left w:val="none" w:sz="0" w:space="0" w:color="auto"/>
            <w:bottom w:val="none" w:sz="0" w:space="0" w:color="auto"/>
            <w:right w:val="none" w:sz="0" w:space="0" w:color="auto"/>
          </w:divBdr>
        </w:div>
        <w:div w:id="259334684">
          <w:marLeft w:val="547"/>
          <w:marRight w:val="0"/>
          <w:marTop w:val="96"/>
          <w:marBottom w:val="0"/>
          <w:divBdr>
            <w:top w:val="none" w:sz="0" w:space="0" w:color="auto"/>
            <w:left w:val="none" w:sz="0" w:space="0" w:color="auto"/>
            <w:bottom w:val="none" w:sz="0" w:space="0" w:color="auto"/>
            <w:right w:val="none" w:sz="0" w:space="0" w:color="auto"/>
          </w:divBdr>
        </w:div>
        <w:div w:id="739986041">
          <w:marLeft w:val="1166"/>
          <w:marRight w:val="0"/>
          <w:marTop w:val="96"/>
          <w:marBottom w:val="0"/>
          <w:divBdr>
            <w:top w:val="none" w:sz="0" w:space="0" w:color="auto"/>
            <w:left w:val="none" w:sz="0" w:space="0" w:color="auto"/>
            <w:bottom w:val="none" w:sz="0" w:space="0" w:color="auto"/>
            <w:right w:val="none" w:sz="0" w:space="0" w:color="auto"/>
          </w:divBdr>
        </w:div>
        <w:div w:id="778178771">
          <w:marLeft w:val="1166"/>
          <w:marRight w:val="0"/>
          <w:marTop w:val="96"/>
          <w:marBottom w:val="0"/>
          <w:divBdr>
            <w:top w:val="none" w:sz="0" w:space="0" w:color="auto"/>
            <w:left w:val="none" w:sz="0" w:space="0" w:color="auto"/>
            <w:bottom w:val="none" w:sz="0" w:space="0" w:color="auto"/>
            <w:right w:val="none" w:sz="0" w:space="0" w:color="auto"/>
          </w:divBdr>
        </w:div>
      </w:divsChild>
    </w:div>
    <w:div w:id="908265796">
      <w:bodyDiv w:val="1"/>
      <w:marLeft w:val="0"/>
      <w:marRight w:val="0"/>
      <w:marTop w:val="0"/>
      <w:marBottom w:val="0"/>
      <w:divBdr>
        <w:top w:val="none" w:sz="0" w:space="0" w:color="auto"/>
        <w:left w:val="none" w:sz="0" w:space="0" w:color="auto"/>
        <w:bottom w:val="none" w:sz="0" w:space="0" w:color="auto"/>
        <w:right w:val="none" w:sz="0" w:space="0" w:color="auto"/>
      </w:divBdr>
    </w:div>
    <w:div w:id="1039478407">
      <w:bodyDiv w:val="1"/>
      <w:marLeft w:val="0"/>
      <w:marRight w:val="0"/>
      <w:marTop w:val="0"/>
      <w:marBottom w:val="0"/>
      <w:divBdr>
        <w:top w:val="none" w:sz="0" w:space="0" w:color="auto"/>
        <w:left w:val="none" w:sz="0" w:space="0" w:color="auto"/>
        <w:bottom w:val="none" w:sz="0" w:space="0" w:color="auto"/>
        <w:right w:val="none" w:sz="0" w:space="0" w:color="auto"/>
      </w:divBdr>
    </w:div>
    <w:div w:id="1095248383">
      <w:bodyDiv w:val="1"/>
      <w:marLeft w:val="0"/>
      <w:marRight w:val="0"/>
      <w:marTop w:val="0"/>
      <w:marBottom w:val="0"/>
      <w:divBdr>
        <w:top w:val="none" w:sz="0" w:space="0" w:color="auto"/>
        <w:left w:val="none" w:sz="0" w:space="0" w:color="auto"/>
        <w:bottom w:val="none" w:sz="0" w:space="0" w:color="auto"/>
        <w:right w:val="none" w:sz="0" w:space="0" w:color="auto"/>
      </w:divBdr>
    </w:div>
    <w:div w:id="1522158769">
      <w:bodyDiv w:val="1"/>
      <w:marLeft w:val="0"/>
      <w:marRight w:val="0"/>
      <w:marTop w:val="0"/>
      <w:marBottom w:val="0"/>
      <w:divBdr>
        <w:top w:val="none" w:sz="0" w:space="0" w:color="auto"/>
        <w:left w:val="none" w:sz="0" w:space="0" w:color="auto"/>
        <w:bottom w:val="none" w:sz="0" w:space="0" w:color="auto"/>
        <w:right w:val="none" w:sz="0" w:space="0" w:color="auto"/>
      </w:divBdr>
      <w:divsChild>
        <w:div w:id="436675258">
          <w:marLeft w:val="547"/>
          <w:marRight w:val="0"/>
          <w:marTop w:val="106"/>
          <w:marBottom w:val="0"/>
          <w:divBdr>
            <w:top w:val="none" w:sz="0" w:space="0" w:color="auto"/>
            <w:left w:val="none" w:sz="0" w:space="0" w:color="auto"/>
            <w:bottom w:val="none" w:sz="0" w:space="0" w:color="auto"/>
            <w:right w:val="none" w:sz="0" w:space="0" w:color="auto"/>
          </w:divBdr>
        </w:div>
      </w:divsChild>
    </w:div>
    <w:div w:id="18247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Sheet2!$A$2</c:f>
              <c:strCache>
                <c:ptCount val="1"/>
                <c:pt idx="0">
                  <c:v>Valsts parāds attiecīgā gada beigās</c:v>
                </c:pt>
              </c:strCache>
            </c:strRef>
          </c:tx>
          <c:spPr>
            <a:solidFill>
              <a:schemeClr val="accent5">
                <a:lumMod val="75000"/>
              </a:schemeClr>
            </a:solidFill>
            <a:ln w="6350" cap="flat" cmpd="sng" algn="ctr">
              <a:solidFill>
                <a:schemeClr val="accent5">
                  <a:lumMod val="75000"/>
                </a:schemeClr>
              </a:solidFill>
              <a:prstDash val="solid"/>
              <a:miter lim="800000"/>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Sheet2!$B$1:$F$1</c:f>
              <c:strCache>
                <c:ptCount val="5"/>
                <c:pt idx="0">
                  <c:v>2019 (fakts)</c:v>
                </c:pt>
                <c:pt idx="1">
                  <c:v>2020</c:v>
                </c:pt>
                <c:pt idx="2">
                  <c:v>2021</c:v>
                </c:pt>
                <c:pt idx="3">
                  <c:v>2022</c:v>
                </c:pt>
                <c:pt idx="4">
                  <c:v>2023</c:v>
                </c:pt>
              </c:strCache>
            </c:strRef>
          </c:cat>
          <c:val>
            <c:numRef>
              <c:f>Sheet2!$B$2:$F$2</c:f>
              <c:numCache>
                <c:formatCode>#,##0</c:formatCode>
                <c:ptCount val="5"/>
                <c:pt idx="0">
                  <c:v>10810</c:v>
                </c:pt>
                <c:pt idx="1">
                  <c:v>12970</c:v>
                </c:pt>
                <c:pt idx="2">
                  <c:v>13446</c:v>
                </c:pt>
                <c:pt idx="3">
                  <c:v>14190</c:v>
                </c:pt>
                <c:pt idx="4">
                  <c:v>14646</c:v>
                </c:pt>
              </c:numCache>
            </c:numRef>
          </c:val>
          <c:extLst>
            <c:ext xmlns:c16="http://schemas.microsoft.com/office/drawing/2014/chart" uri="{C3380CC4-5D6E-409C-BE32-E72D297353CC}">
              <c16:uniqueId val="{00000000-D090-4BF2-8789-821CD0CFC9FA}"/>
            </c:ext>
          </c:extLst>
        </c:ser>
        <c:dLbls>
          <c:showLegendKey val="0"/>
          <c:showVal val="0"/>
          <c:showCatName val="0"/>
          <c:showSerName val="0"/>
          <c:showPercent val="0"/>
          <c:showBubbleSize val="0"/>
        </c:dLbls>
        <c:gapWidth val="109"/>
        <c:overlap val="-27"/>
        <c:axId val="375210623"/>
        <c:axId val="375211871"/>
      </c:barChart>
      <c:lineChart>
        <c:grouping val="standard"/>
        <c:varyColors val="0"/>
        <c:ser>
          <c:idx val="1"/>
          <c:order val="1"/>
          <c:tx>
            <c:strRef>
              <c:f>Sheet2!$A$3</c:f>
              <c:strCache>
                <c:ptCount val="1"/>
                <c:pt idx="0">
                  <c:v>Valsts parāds % no IKP</c:v>
                </c:pt>
              </c:strCache>
            </c:strRef>
          </c:tx>
          <c:spPr>
            <a:ln w="28575" cap="rnd">
              <a:solidFill>
                <a:schemeClr val="accent5">
                  <a:lumMod val="50000"/>
                </a:schemeClr>
              </a:solidFill>
              <a:round/>
            </a:ln>
            <a:effectLst/>
          </c:spPr>
          <c:marker>
            <c:symbol val="circle"/>
            <c:size val="6"/>
            <c:spPr>
              <a:solidFill>
                <a:schemeClr val="accent2">
                  <a:lumMod val="75000"/>
                </a:schemeClr>
              </a:solidFill>
              <a:ln w="9525">
                <a:solidFill>
                  <a:schemeClr val="accent5">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5">
                        <a:lumMod val="50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Sheet2!$B$1:$F$1</c:f>
              <c:strCache>
                <c:ptCount val="5"/>
                <c:pt idx="0">
                  <c:v>2019 (fakts)</c:v>
                </c:pt>
                <c:pt idx="1">
                  <c:v>2020</c:v>
                </c:pt>
                <c:pt idx="2">
                  <c:v>2021</c:v>
                </c:pt>
                <c:pt idx="3">
                  <c:v>2022</c:v>
                </c:pt>
                <c:pt idx="4">
                  <c:v>2023</c:v>
                </c:pt>
              </c:strCache>
            </c:strRef>
          </c:cat>
          <c:val>
            <c:numRef>
              <c:f>Sheet2!$B$3:$F$3</c:f>
              <c:numCache>
                <c:formatCode>0%</c:formatCode>
                <c:ptCount val="5"/>
                <c:pt idx="0">
                  <c:v>0.35</c:v>
                </c:pt>
                <c:pt idx="1">
                  <c:v>0.46</c:v>
                </c:pt>
                <c:pt idx="2">
                  <c:v>0.45</c:v>
                </c:pt>
                <c:pt idx="3">
                  <c:v>0.45</c:v>
                </c:pt>
                <c:pt idx="4">
                  <c:v>0.44</c:v>
                </c:pt>
              </c:numCache>
            </c:numRef>
          </c:val>
          <c:smooth val="1"/>
          <c:extLst>
            <c:ext xmlns:c16="http://schemas.microsoft.com/office/drawing/2014/chart" uri="{C3380CC4-5D6E-409C-BE32-E72D297353CC}">
              <c16:uniqueId val="{00000001-D090-4BF2-8789-821CD0CFC9FA}"/>
            </c:ext>
          </c:extLst>
        </c:ser>
        <c:dLbls>
          <c:showLegendKey val="0"/>
          <c:showVal val="0"/>
          <c:showCatName val="0"/>
          <c:showSerName val="0"/>
          <c:showPercent val="0"/>
          <c:showBubbleSize val="0"/>
        </c:dLbls>
        <c:marker val="1"/>
        <c:smooth val="0"/>
        <c:axId val="575489951"/>
        <c:axId val="375211039"/>
      </c:lineChart>
      <c:catAx>
        <c:axId val="375210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75211871"/>
        <c:crosses val="autoZero"/>
        <c:auto val="1"/>
        <c:lblAlgn val="ctr"/>
        <c:lblOffset val="100"/>
        <c:noMultiLvlLbl val="0"/>
      </c:catAx>
      <c:valAx>
        <c:axId val="375211871"/>
        <c:scaling>
          <c:orientation val="minMax"/>
          <c:max val="20000"/>
        </c:scaling>
        <c:delete val="0"/>
        <c:axPos val="l"/>
        <c:majorGridlines>
          <c:spPr>
            <a:ln w="3175" cap="flat" cmpd="sng" algn="ctr">
              <a:solidFill>
                <a:schemeClr val="tx1">
                  <a:lumMod val="15000"/>
                  <a:lumOff val="8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75210623"/>
        <c:crosses val="autoZero"/>
        <c:crossBetween val="between"/>
        <c:majorUnit val="4000"/>
      </c:valAx>
      <c:valAx>
        <c:axId val="375211039"/>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75489951"/>
        <c:crosses val="max"/>
        <c:crossBetween val="between"/>
        <c:majorUnit val="0.1"/>
      </c:valAx>
      <c:catAx>
        <c:axId val="575489951"/>
        <c:scaling>
          <c:orientation val="minMax"/>
        </c:scaling>
        <c:delete val="1"/>
        <c:axPos val="b"/>
        <c:numFmt formatCode="General" sourceLinked="1"/>
        <c:majorTickMark val="none"/>
        <c:minorTickMark val="none"/>
        <c:tickLblPos val="nextTo"/>
        <c:crossAx val="375211039"/>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0.23907</cdr:x>
      <cdr:y>0.08944</cdr:y>
    </cdr:to>
    <cdr:sp macro="" textlink="">
      <cdr:nvSpPr>
        <cdr:cNvPr id="2" name="Text Box 2"/>
        <cdr:cNvSpPr txBox="1">
          <a:spLocks xmlns:a="http://schemas.openxmlformats.org/drawingml/2006/main" noChangeArrowheads="1"/>
        </cdr:cNvSpPr>
      </cdr:nvSpPr>
      <cdr:spPr bwMode="auto">
        <a:xfrm xmlns:a="http://schemas.openxmlformats.org/drawingml/2006/main">
          <a:off x="-1447137" y="0"/>
          <a:ext cx="1200648" cy="23495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indent="450215" algn="l">
            <a:spcAft>
              <a:spcPts val="600"/>
            </a:spcAft>
          </a:pPr>
          <a:r>
            <a:rPr lang="lv-LV" sz="900">
              <a:effectLst/>
              <a:latin typeface="Times New Roman" panose="02020603050405020304" pitchFamily="18" charset="0"/>
              <a:ea typeface="Times New Roman" panose="02020603050405020304" pitchFamily="18" charset="0"/>
            </a:rPr>
            <a:t>milj. EUR</a:t>
          </a:r>
          <a:endParaRPr lang="lv-LV" sz="12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3DDF5-BC5E-478C-BD89-8C404405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10</Pages>
  <Words>3247</Words>
  <Characters>22730</Characters>
  <Application>Microsoft Office Word</Application>
  <DocSecurity>0</DocSecurity>
  <Lines>189</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2021.gadam" paskaidrojumi, 6.nodaļa Valsts finansiālo saistību kopsavilkums</vt:lpstr>
      <vt:lpstr>Likuma „Par valsts budžetu 2010. gadam“ paskaidrojumi. 5.1. nodaļa. Valsts budžeta izdevumu plānošanas būtiskākie elementi</vt:lpstr>
    </vt:vector>
  </TitlesOfParts>
  <Manager/>
  <Company>Finanšu ministrija</Company>
  <LinksUpToDate>false</LinksUpToDate>
  <CharactersWithSpaces>25926</CharactersWithSpaces>
  <SharedDoc>false</SharedDoc>
  <HLinks>
    <vt:vector size="66" baseType="variant">
      <vt:variant>
        <vt:i4>1835029</vt:i4>
      </vt:variant>
      <vt:variant>
        <vt:i4>18</vt:i4>
      </vt:variant>
      <vt:variant>
        <vt:i4>0</vt:i4>
      </vt:variant>
      <vt:variant>
        <vt:i4>5</vt:i4>
      </vt:variant>
      <vt:variant>
        <vt:lpwstr>http://www.swiss-contribution.lv/</vt:lpwstr>
      </vt:variant>
      <vt:variant>
        <vt:lpwstr/>
      </vt:variant>
      <vt:variant>
        <vt:i4>8126514</vt:i4>
      </vt:variant>
      <vt:variant>
        <vt:i4>15</vt:i4>
      </vt:variant>
      <vt:variant>
        <vt:i4>0</vt:i4>
      </vt:variant>
      <vt:variant>
        <vt:i4>5</vt:i4>
      </vt:variant>
      <vt:variant>
        <vt:lpwstr>http://www.norwaygrants.lv/</vt:lpwstr>
      </vt:variant>
      <vt:variant>
        <vt:lpwstr/>
      </vt:variant>
      <vt:variant>
        <vt:i4>196639</vt:i4>
      </vt:variant>
      <vt:variant>
        <vt:i4>12</vt:i4>
      </vt:variant>
      <vt:variant>
        <vt:i4>0</vt:i4>
      </vt:variant>
      <vt:variant>
        <vt:i4>5</vt:i4>
      </vt:variant>
      <vt:variant>
        <vt:lpwstr>http://www.eeagrants.lv/</vt:lpwstr>
      </vt:variant>
      <vt:variant>
        <vt:lpwstr/>
      </vt:variant>
      <vt:variant>
        <vt:i4>655436</vt:i4>
      </vt:variant>
      <vt:variant>
        <vt:i4>9</vt:i4>
      </vt:variant>
      <vt:variant>
        <vt:i4>0</vt:i4>
      </vt:variant>
      <vt:variant>
        <vt:i4>5</vt:i4>
      </vt:variant>
      <vt:variant>
        <vt:lpwstr>http://www.esfondi.lv/page.php?id=667</vt:lpwstr>
      </vt:variant>
      <vt:variant>
        <vt:lpwstr/>
      </vt:variant>
      <vt:variant>
        <vt:i4>327758</vt:i4>
      </vt:variant>
      <vt:variant>
        <vt:i4>6</vt:i4>
      </vt:variant>
      <vt:variant>
        <vt:i4>0</vt:i4>
      </vt:variant>
      <vt:variant>
        <vt:i4>5</vt:i4>
      </vt:variant>
      <vt:variant>
        <vt:lpwstr>http://www.esfondi.lv/page.php?id=494</vt:lpwstr>
      </vt:variant>
      <vt:variant>
        <vt:lpwstr/>
      </vt:variant>
      <vt:variant>
        <vt:i4>327758</vt:i4>
      </vt:variant>
      <vt:variant>
        <vt:i4>3</vt:i4>
      </vt:variant>
      <vt:variant>
        <vt:i4>0</vt:i4>
      </vt:variant>
      <vt:variant>
        <vt:i4>5</vt:i4>
      </vt:variant>
      <vt:variant>
        <vt:lpwstr>http://www.esfondi.lv/page.php?id=493</vt:lpwstr>
      </vt:variant>
      <vt:variant>
        <vt:lpwstr/>
      </vt:variant>
      <vt:variant>
        <vt:i4>327758</vt:i4>
      </vt:variant>
      <vt:variant>
        <vt:i4>0</vt:i4>
      </vt:variant>
      <vt:variant>
        <vt:i4>0</vt:i4>
      </vt:variant>
      <vt:variant>
        <vt:i4>5</vt:i4>
      </vt:variant>
      <vt:variant>
        <vt:lpwstr>http://www.esfondi.lv/page.php?id=492</vt:lpwstr>
      </vt:variant>
      <vt:variant>
        <vt:lpwstr/>
      </vt:variant>
      <vt:variant>
        <vt:i4>655436</vt:i4>
      </vt:variant>
      <vt:variant>
        <vt:i4>9</vt:i4>
      </vt:variant>
      <vt:variant>
        <vt:i4>0</vt:i4>
      </vt:variant>
      <vt:variant>
        <vt:i4>5</vt:i4>
      </vt:variant>
      <vt:variant>
        <vt:lpwstr>http://www.esfondi.lv/page.php?id=667</vt:lpwstr>
      </vt:variant>
      <vt:variant>
        <vt:lpwstr/>
      </vt:variant>
      <vt:variant>
        <vt:i4>3407999</vt:i4>
      </vt:variant>
      <vt:variant>
        <vt:i4>6</vt:i4>
      </vt:variant>
      <vt:variant>
        <vt:i4>0</vt:i4>
      </vt:variant>
      <vt:variant>
        <vt:i4>5</vt:i4>
      </vt:variant>
      <vt:variant>
        <vt:lpwstr>http://www.esfondi.lv/page.php?id=1149</vt:lpwstr>
      </vt:variant>
      <vt:variant>
        <vt:lpwstr/>
      </vt:variant>
      <vt:variant>
        <vt:i4>7471229</vt:i4>
      </vt:variant>
      <vt:variant>
        <vt:i4>3</vt:i4>
      </vt:variant>
      <vt:variant>
        <vt:i4>0</vt:i4>
      </vt:variant>
      <vt:variant>
        <vt:i4>5</vt:i4>
      </vt:variant>
      <vt:variant>
        <vt:lpwstr>http://likumi.lv/doc.php?id=211138</vt:lpwstr>
      </vt:variant>
      <vt:variant>
        <vt:lpwstr/>
      </vt:variant>
      <vt:variant>
        <vt:i4>655436</vt:i4>
      </vt:variant>
      <vt:variant>
        <vt:i4>0</vt:i4>
      </vt:variant>
      <vt:variant>
        <vt:i4>0</vt:i4>
      </vt:variant>
      <vt:variant>
        <vt:i4>5</vt:i4>
      </vt:variant>
      <vt:variant>
        <vt:lpwstr>http://www.esfondi.lv/page.php?id=667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6.nodaļa Valsts finansiālo saistību kopsavilkums</dc:title>
  <dc:subject>paskaidrojuma raksts</dc:subject>
  <dc:creator>klinta.stafecka@fm.gov.lv</dc:creator>
  <dc:description>67095438,
klinta.stafecka@fm.gov.lv</dc:description>
  <cp:lastModifiedBy>Dace Godiņa</cp:lastModifiedBy>
  <cp:revision>78</cp:revision>
  <cp:lastPrinted>2019-03-01T12:57:00Z</cp:lastPrinted>
  <dcterms:created xsi:type="dcterms:W3CDTF">2019-05-13T11:55:00Z</dcterms:created>
  <dcterms:modified xsi:type="dcterms:W3CDTF">2020-10-12T09:19:00Z</dcterms:modified>
</cp:coreProperties>
</file>