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yellow"/>
        </w:rPr>
        <w:id w:val="2125736181"/>
        <w:docPartObj>
          <w:docPartGallery w:val="Cover Pages"/>
          <w:docPartUnique/>
        </w:docPartObj>
      </w:sdtPr>
      <w:sdtEndPr/>
      <w:sdtContent>
        <w:p w:rsidR="00F65518" w:rsidRPr="00BF5371" w:rsidRDefault="00F65518">
          <w:pPr>
            <w:rPr>
              <w:highlight w:val="yellow"/>
            </w:rPr>
          </w:pPr>
          <w:r w:rsidRPr="00BF5371">
            <w:rPr>
              <w:noProof/>
              <w:highlight w:val="yellow"/>
              <w:lang w:eastAsia="lv-LV"/>
            </w:rPr>
            <mc:AlternateContent>
              <mc:Choice Requires="wpg">
                <w:drawing>
                  <wp:anchor distT="0" distB="0" distL="114300" distR="114300" simplePos="0" relativeHeight="251659264" behindDoc="1" locked="0" layoutInCell="1" allowOverlap="1" wp14:anchorId="5DF4459B" wp14:editId="7F1F370D">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4499" w:rsidRDefault="006A4499">
                                  <w:pPr>
                                    <w:pStyle w:val="NoSpacing"/>
                                    <w:spacing w:before="120"/>
                                    <w:jc w:val="center"/>
                                    <w:rPr>
                                      <w:color w:val="FFFFFF" w:themeColor="background1"/>
                                    </w:rPr>
                                  </w:pPr>
                                </w:p>
                                <w:p w:rsidR="006A4499" w:rsidRPr="00F65518" w:rsidRDefault="006A4499">
                                  <w:pPr>
                                    <w:pStyle w:val="NoSpacing"/>
                                    <w:spacing w:before="120"/>
                                    <w:jc w:val="center"/>
                                    <w:rPr>
                                      <w:b/>
                                      <w:color w:val="FFFFFF" w:themeColor="background1"/>
                                      <w:sz w:val="28"/>
                                    </w:rPr>
                                  </w:pPr>
                                  <w:r>
                                    <w:rPr>
                                      <w:b/>
                                      <w:caps/>
                                      <w:color w:val="FFFFFF" w:themeColor="background1"/>
                                      <w:sz w:val="28"/>
                                    </w:rPr>
                                    <w:t>Rīga, 2020</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A4499" w:rsidRPr="00F65518" w:rsidRDefault="006A4499"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2021.gadam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F4459B"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6A4499" w:rsidRDefault="006A4499">
                            <w:pPr>
                              <w:pStyle w:val="NoSpacing"/>
                              <w:spacing w:before="120"/>
                              <w:jc w:val="center"/>
                              <w:rPr>
                                <w:color w:val="FFFFFF" w:themeColor="background1"/>
                              </w:rPr>
                            </w:pPr>
                          </w:p>
                          <w:p w:rsidR="006A4499" w:rsidRPr="00F65518" w:rsidRDefault="006A4499">
                            <w:pPr>
                              <w:pStyle w:val="NoSpacing"/>
                              <w:spacing w:before="120"/>
                              <w:jc w:val="center"/>
                              <w:rPr>
                                <w:b/>
                                <w:color w:val="FFFFFF" w:themeColor="background1"/>
                                <w:sz w:val="28"/>
                              </w:rPr>
                            </w:pPr>
                            <w:r>
                              <w:rPr>
                                <w:b/>
                                <w:caps/>
                                <w:color w:val="FFFFFF" w:themeColor="background1"/>
                                <w:sz w:val="28"/>
                              </w:rPr>
                              <w:t>Rīga, 2020</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A4499" w:rsidRPr="00F65518" w:rsidRDefault="006A4499"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2021.gadam</w:t>
                                </w:r>
                              </w:p>
                            </w:sdtContent>
                          </w:sdt>
                        </w:txbxContent>
                      </v:textbox>
                    </v:shape>
                    <w10:wrap anchorx="page" anchory="page"/>
                  </v:group>
                </w:pict>
              </mc:Fallback>
            </mc:AlternateContent>
          </w:r>
        </w:p>
        <w:p w:rsidR="00F65518" w:rsidRPr="00BF5371" w:rsidRDefault="00F65518" w:rsidP="00F65518">
          <w:pPr>
            <w:spacing w:after="0"/>
            <w:ind w:firstLine="0"/>
            <w:jc w:val="left"/>
            <w:rPr>
              <w:highlight w:val="yellow"/>
            </w:rPr>
          </w:pPr>
          <w:r w:rsidRPr="00BF5371">
            <w:rPr>
              <w:highlight w:val="yellow"/>
            </w:rPr>
            <w:br w:type="page"/>
          </w:r>
        </w:p>
      </w:sdtContent>
    </w:sdt>
    <w:sdt>
      <w:sdtPr>
        <w:rPr>
          <w:rFonts w:ascii="Times New Roman" w:eastAsia="Times New Roman" w:hAnsi="Times New Roman"/>
          <w:b w:val="0"/>
          <w:bCs w:val="0"/>
          <w:color w:val="auto"/>
          <w:sz w:val="24"/>
          <w:szCs w:val="20"/>
          <w:highlight w:val="yellow"/>
          <w:lang w:val="lv-LV" w:eastAsia="en-US"/>
        </w:rPr>
        <w:id w:val="1895851769"/>
        <w:docPartObj>
          <w:docPartGallery w:val="Table of Contents"/>
          <w:docPartUnique/>
        </w:docPartObj>
      </w:sdtPr>
      <w:sdtEndPr>
        <w:rPr>
          <w:noProof/>
        </w:rPr>
      </w:sdtEndPr>
      <w:sdtContent>
        <w:p w:rsidR="007369A9" w:rsidRPr="001D4DEC" w:rsidRDefault="007369A9" w:rsidP="00CD6580">
          <w:pPr>
            <w:pStyle w:val="TOCHeading"/>
            <w:spacing w:before="120" w:after="240"/>
            <w:rPr>
              <w:rFonts w:ascii="Times New Roman" w:eastAsia="Times New Roman" w:hAnsi="Times New Roman"/>
              <w:color w:val="18185E"/>
              <w:sz w:val="28"/>
              <w:lang w:val="x-none" w:eastAsia="x-none"/>
            </w:rPr>
          </w:pPr>
          <w:r w:rsidRPr="001D4DEC">
            <w:rPr>
              <w:rFonts w:ascii="Times New Roman" w:eastAsia="Times New Roman" w:hAnsi="Times New Roman"/>
              <w:color w:val="18185E"/>
              <w:sz w:val="28"/>
              <w:lang w:val="x-none" w:eastAsia="x-none"/>
            </w:rPr>
            <w:t>Saturs</w:t>
          </w:r>
        </w:p>
        <w:p w:rsidR="00B979E2" w:rsidRDefault="007369A9">
          <w:pPr>
            <w:pStyle w:val="TOC1"/>
            <w:rPr>
              <w:rFonts w:asciiTheme="minorHAnsi" w:eastAsiaTheme="minorEastAsia" w:hAnsiTheme="minorHAnsi" w:cstheme="minorBidi"/>
              <w:sz w:val="22"/>
              <w:szCs w:val="22"/>
              <w:lang w:eastAsia="lv-LV"/>
            </w:rPr>
          </w:pPr>
          <w:r w:rsidRPr="00BF5371">
            <w:rPr>
              <w:highlight w:val="yellow"/>
            </w:rPr>
            <w:fldChar w:fldCharType="begin"/>
          </w:r>
          <w:r w:rsidRPr="00BF5371">
            <w:rPr>
              <w:highlight w:val="yellow"/>
            </w:rPr>
            <w:instrText xml:space="preserve"> TOC \o "1-3" \h \z \u </w:instrText>
          </w:r>
          <w:r w:rsidRPr="00BF5371">
            <w:rPr>
              <w:highlight w:val="yellow"/>
            </w:rPr>
            <w:fldChar w:fldCharType="separate"/>
          </w:r>
          <w:hyperlink w:anchor="_Toc53388917" w:history="1">
            <w:r w:rsidR="00B979E2" w:rsidRPr="002526A0">
              <w:rPr>
                <w:rStyle w:val="Hyperlink"/>
              </w:rPr>
              <w:t>Saīsinājumu apzīmējumi</w:t>
            </w:r>
            <w:r w:rsidR="00B979E2">
              <w:rPr>
                <w:webHidden/>
              </w:rPr>
              <w:tab/>
            </w:r>
            <w:r w:rsidR="00B979E2">
              <w:rPr>
                <w:webHidden/>
              </w:rPr>
              <w:fldChar w:fldCharType="begin"/>
            </w:r>
            <w:r w:rsidR="00B979E2">
              <w:rPr>
                <w:webHidden/>
              </w:rPr>
              <w:instrText xml:space="preserve"> PAGEREF _Toc53388917 \h </w:instrText>
            </w:r>
            <w:r w:rsidR="00B979E2">
              <w:rPr>
                <w:webHidden/>
              </w:rPr>
            </w:r>
            <w:r w:rsidR="00B979E2">
              <w:rPr>
                <w:webHidden/>
              </w:rPr>
              <w:fldChar w:fldCharType="separate"/>
            </w:r>
            <w:r w:rsidR="00B979E2">
              <w:rPr>
                <w:webHidden/>
              </w:rPr>
              <w:t>3</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18" w:history="1">
            <w:r w:rsidR="00B979E2" w:rsidRPr="002526A0">
              <w:rPr>
                <w:rStyle w:val="Hyperlink"/>
              </w:rPr>
              <w:t>Ievads</w:t>
            </w:r>
            <w:r w:rsidR="00B979E2">
              <w:rPr>
                <w:webHidden/>
              </w:rPr>
              <w:tab/>
            </w:r>
            <w:r w:rsidR="00B979E2">
              <w:rPr>
                <w:webHidden/>
              </w:rPr>
              <w:fldChar w:fldCharType="begin"/>
            </w:r>
            <w:r w:rsidR="00B979E2">
              <w:rPr>
                <w:webHidden/>
              </w:rPr>
              <w:instrText xml:space="preserve"> PAGEREF _Toc53388918 \h </w:instrText>
            </w:r>
            <w:r w:rsidR="00B979E2">
              <w:rPr>
                <w:webHidden/>
              </w:rPr>
            </w:r>
            <w:r w:rsidR="00B979E2">
              <w:rPr>
                <w:webHidden/>
              </w:rPr>
              <w:fldChar w:fldCharType="separate"/>
            </w:r>
            <w:r w:rsidR="00B979E2">
              <w:rPr>
                <w:webHidden/>
              </w:rPr>
              <w:t>4</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19" w:history="1">
            <w:r w:rsidR="00B979E2" w:rsidRPr="002526A0">
              <w:rPr>
                <w:rStyle w:val="Hyperlink"/>
              </w:rPr>
              <w:t>Makroekonomiskās attīstības scenārijs</w:t>
            </w:r>
            <w:r w:rsidR="00B979E2">
              <w:rPr>
                <w:webHidden/>
              </w:rPr>
              <w:tab/>
            </w:r>
            <w:r w:rsidR="00B979E2">
              <w:rPr>
                <w:webHidden/>
              </w:rPr>
              <w:fldChar w:fldCharType="begin"/>
            </w:r>
            <w:r w:rsidR="00B979E2">
              <w:rPr>
                <w:webHidden/>
              </w:rPr>
              <w:instrText xml:space="preserve"> PAGEREF _Toc53388919 \h </w:instrText>
            </w:r>
            <w:r w:rsidR="00B979E2">
              <w:rPr>
                <w:webHidden/>
              </w:rPr>
            </w:r>
            <w:r w:rsidR="00B979E2">
              <w:rPr>
                <w:webHidden/>
              </w:rPr>
              <w:fldChar w:fldCharType="separate"/>
            </w:r>
            <w:r w:rsidR="00B979E2">
              <w:rPr>
                <w:webHidden/>
              </w:rPr>
              <w:t>5</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0" w:history="1">
            <w:r w:rsidR="00B979E2" w:rsidRPr="002526A0">
              <w:rPr>
                <w:rStyle w:val="Hyperlink"/>
              </w:rPr>
              <w:t>Tabula 0.i). Ārējās vides pamata pieņēmumi</w:t>
            </w:r>
            <w:r w:rsidR="00B979E2">
              <w:rPr>
                <w:webHidden/>
              </w:rPr>
              <w:tab/>
            </w:r>
            <w:r w:rsidR="00B979E2">
              <w:rPr>
                <w:webHidden/>
              </w:rPr>
              <w:fldChar w:fldCharType="begin"/>
            </w:r>
            <w:r w:rsidR="00B979E2">
              <w:rPr>
                <w:webHidden/>
              </w:rPr>
              <w:instrText xml:space="preserve"> PAGEREF _Toc53388920 \h </w:instrText>
            </w:r>
            <w:r w:rsidR="00B979E2">
              <w:rPr>
                <w:webHidden/>
              </w:rPr>
            </w:r>
            <w:r w:rsidR="00B979E2">
              <w:rPr>
                <w:webHidden/>
              </w:rPr>
              <w:fldChar w:fldCharType="separate"/>
            </w:r>
            <w:r w:rsidR="00B979E2">
              <w:rPr>
                <w:webHidden/>
              </w:rPr>
              <w:t>6</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1" w:history="1">
            <w:r w:rsidR="00B979E2" w:rsidRPr="002526A0">
              <w:rPr>
                <w:rStyle w:val="Hyperlink"/>
              </w:rPr>
              <w:t>Tabula 1a: Izaugsme un ar to saistītie faktori</w:t>
            </w:r>
            <w:r w:rsidR="00B979E2">
              <w:rPr>
                <w:webHidden/>
              </w:rPr>
              <w:tab/>
            </w:r>
            <w:r w:rsidR="00B979E2">
              <w:rPr>
                <w:webHidden/>
              </w:rPr>
              <w:fldChar w:fldCharType="begin"/>
            </w:r>
            <w:r w:rsidR="00B979E2">
              <w:rPr>
                <w:webHidden/>
              </w:rPr>
              <w:instrText xml:space="preserve"> PAGEREF _Toc53388921 \h </w:instrText>
            </w:r>
            <w:r w:rsidR="00B979E2">
              <w:rPr>
                <w:webHidden/>
              </w:rPr>
            </w:r>
            <w:r w:rsidR="00B979E2">
              <w:rPr>
                <w:webHidden/>
              </w:rPr>
              <w:fldChar w:fldCharType="separate"/>
            </w:r>
            <w:r w:rsidR="00B979E2">
              <w:rPr>
                <w:webHidden/>
              </w:rPr>
              <w:t>7</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2" w:history="1">
            <w:r w:rsidR="00B979E2" w:rsidRPr="002526A0">
              <w:rPr>
                <w:rStyle w:val="Hyperlink"/>
              </w:rPr>
              <w:t>Tabula 1b: Patēriņa cenu izmaiņas</w:t>
            </w:r>
            <w:r w:rsidR="00B979E2">
              <w:rPr>
                <w:webHidden/>
              </w:rPr>
              <w:tab/>
            </w:r>
            <w:r w:rsidR="00B979E2">
              <w:rPr>
                <w:webHidden/>
              </w:rPr>
              <w:fldChar w:fldCharType="begin"/>
            </w:r>
            <w:r w:rsidR="00B979E2">
              <w:rPr>
                <w:webHidden/>
              </w:rPr>
              <w:instrText xml:space="preserve"> PAGEREF _Toc53388922 \h </w:instrText>
            </w:r>
            <w:r w:rsidR="00B979E2">
              <w:rPr>
                <w:webHidden/>
              </w:rPr>
            </w:r>
            <w:r w:rsidR="00B979E2">
              <w:rPr>
                <w:webHidden/>
              </w:rPr>
              <w:fldChar w:fldCharType="separate"/>
            </w:r>
            <w:r w:rsidR="00B979E2">
              <w:rPr>
                <w:webHidden/>
              </w:rPr>
              <w:t>8</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3" w:history="1">
            <w:r w:rsidR="00B979E2" w:rsidRPr="002526A0">
              <w:rPr>
                <w:rStyle w:val="Hyperlink"/>
              </w:rPr>
              <w:t>Tabula 1c: Darba tirgus attīstība</w:t>
            </w:r>
            <w:r w:rsidR="00B979E2">
              <w:rPr>
                <w:webHidden/>
              </w:rPr>
              <w:tab/>
            </w:r>
            <w:r w:rsidR="00B979E2">
              <w:rPr>
                <w:webHidden/>
              </w:rPr>
              <w:fldChar w:fldCharType="begin"/>
            </w:r>
            <w:r w:rsidR="00B979E2">
              <w:rPr>
                <w:webHidden/>
              </w:rPr>
              <w:instrText xml:space="preserve"> PAGEREF _Toc53388923 \h </w:instrText>
            </w:r>
            <w:r w:rsidR="00B979E2">
              <w:rPr>
                <w:webHidden/>
              </w:rPr>
            </w:r>
            <w:r w:rsidR="00B979E2">
              <w:rPr>
                <w:webHidden/>
              </w:rPr>
              <w:fldChar w:fldCharType="separate"/>
            </w:r>
            <w:r w:rsidR="00B979E2">
              <w:rPr>
                <w:webHidden/>
              </w:rPr>
              <w:t>8</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4" w:history="1">
            <w:r w:rsidR="00B979E2" w:rsidRPr="002526A0">
              <w:rPr>
                <w:rStyle w:val="Hyperlink"/>
              </w:rPr>
              <w:t>Tabula 1d: Sektoru bilances</w:t>
            </w:r>
            <w:r w:rsidR="00B979E2">
              <w:rPr>
                <w:webHidden/>
              </w:rPr>
              <w:tab/>
            </w:r>
            <w:r w:rsidR="00B979E2">
              <w:rPr>
                <w:webHidden/>
              </w:rPr>
              <w:fldChar w:fldCharType="begin"/>
            </w:r>
            <w:r w:rsidR="00B979E2">
              <w:rPr>
                <w:webHidden/>
              </w:rPr>
              <w:instrText xml:space="preserve"> PAGEREF _Toc53388924 \h </w:instrText>
            </w:r>
            <w:r w:rsidR="00B979E2">
              <w:rPr>
                <w:webHidden/>
              </w:rPr>
            </w:r>
            <w:r w:rsidR="00B979E2">
              <w:rPr>
                <w:webHidden/>
              </w:rPr>
              <w:fldChar w:fldCharType="separate"/>
            </w:r>
            <w:r w:rsidR="00B979E2">
              <w:rPr>
                <w:webHidden/>
              </w:rPr>
              <w:t>8</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5" w:history="1">
            <w:r w:rsidR="00B979E2" w:rsidRPr="002526A0">
              <w:rPr>
                <w:rStyle w:val="Hyperlink"/>
              </w:rPr>
              <w:t>Fiskālā stratēģija un strukturālās bilances mērķi</w:t>
            </w:r>
            <w:r w:rsidR="00B979E2">
              <w:rPr>
                <w:webHidden/>
              </w:rPr>
              <w:tab/>
            </w:r>
            <w:r w:rsidR="00B979E2">
              <w:rPr>
                <w:webHidden/>
              </w:rPr>
              <w:fldChar w:fldCharType="begin"/>
            </w:r>
            <w:r w:rsidR="00B979E2">
              <w:rPr>
                <w:webHidden/>
              </w:rPr>
              <w:instrText xml:space="preserve"> PAGEREF _Toc53388925 \h </w:instrText>
            </w:r>
            <w:r w:rsidR="00B979E2">
              <w:rPr>
                <w:webHidden/>
              </w:rPr>
            </w:r>
            <w:r w:rsidR="00B979E2">
              <w:rPr>
                <w:webHidden/>
              </w:rPr>
              <w:fldChar w:fldCharType="separate"/>
            </w:r>
            <w:r w:rsidR="00B979E2">
              <w:rPr>
                <w:webHidden/>
              </w:rPr>
              <w:t>9</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6" w:history="1">
            <w:r w:rsidR="00B979E2" w:rsidRPr="002526A0">
              <w:rPr>
                <w:rStyle w:val="Hyperlink"/>
              </w:rPr>
              <w:t>Tabula 2.a: Vispārējās valdības budžeta mērķi sadalījumā pa apakšsektoriem</w:t>
            </w:r>
            <w:r w:rsidR="00B979E2">
              <w:rPr>
                <w:webHidden/>
              </w:rPr>
              <w:tab/>
            </w:r>
            <w:r w:rsidR="00B979E2">
              <w:rPr>
                <w:webHidden/>
              </w:rPr>
              <w:fldChar w:fldCharType="begin"/>
            </w:r>
            <w:r w:rsidR="00B979E2">
              <w:rPr>
                <w:webHidden/>
              </w:rPr>
              <w:instrText xml:space="preserve"> PAGEREF _Toc53388926 \h </w:instrText>
            </w:r>
            <w:r w:rsidR="00B979E2">
              <w:rPr>
                <w:webHidden/>
              </w:rPr>
            </w:r>
            <w:r w:rsidR="00B979E2">
              <w:rPr>
                <w:webHidden/>
              </w:rPr>
              <w:fldChar w:fldCharType="separate"/>
            </w:r>
            <w:r w:rsidR="00B979E2">
              <w:rPr>
                <w:webHidden/>
              </w:rPr>
              <w:t>11</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7" w:history="1">
            <w:r w:rsidR="00B979E2" w:rsidRPr="002526A0">
              <w:rPr>
                <w:rStyle w:val="Hyperlink"/>
              </w:rPr>
              <w:t>Tabula 2.b: Vispārējās valdības parāda attīstība 2020.–2021.gadā</w:t>
            </w:r>
            <w:r w:rsidR="00B979E2">
              <w:rPr>
                <w:webHidden/>
              </w:rPr>
              <w:tab/>
            </w:r>
            <w:r w:rsidR="00B979E2">
              <w:rPr>
                <w:webHidden/>
              </w:rPr>
              <w:fldChar w:fldCharType="begin"/>
            </w:r>
            <w:r w:rsidR="00B979E2">
              <w:rPr>
                <w:webHidden/>
              </w:rPr>
              <w:instrText xml:space="preserve"> PAGEREF _Toc53388927 \h </w:instrText>
            </w:r>
            <w:r w:rsidR="00B979E2">
              <w:rPr>
                <w:webHidden/>
              </w:rPr>
            </w:r>
            <w:r w:rsidR="00B979E2">
              <w:rPr>
                <w:webHidden/>
              </w:rPr>
              <w:fldChar w:fldCharType="separate"/>
            </w:r>
            <w:r w:rsidR="00B979E2">
              <w:rPr>
                <w:webHidden/>
              </w:rPr>
              <w:t>12</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8" w:history="1">
            <w:r w:rsidR="00B979E2" w:rsidRPr="002526A0">
              <w:rPr>
                <w:rStyle w:val="Hyperlink"/>
              </w:rPr>
              <w:t>Tabula 2.c: Netiešās saistības</w:t>
            </w:r>
            <w:r w:rsidR="00B979E2">
              <w:rPr>
                <w:webHidden/>
              </w:rPr>
              <w:tab/>
            </w:r>
            <w:r w:rsidR="00B979E2">
              <w:rPr>
                <w:webHidden/>
              </w:rPr>
              <w:fldChar w:fldCharType="begin"/>
            </w:r>
            <w:r w:rsidR="00B979E2">
              <w:rPr>
                <w:webHidden/>
              </w:rPr>
              <w:instrText xml:space="preserve"> PAGEREF _Toc53388928 \h </w:instrText>
            </w:r>
            <w:r w:rsidR="00B979E2">
              <w:rPr>
                <w:webHidden/>
              </w:rPr>
            </w:r>
            <w:r w:rsidR="00B979E2">
              <w:rPr>
                <w:webHidden/>
              </w:rPr>
              <w:fldChar w:fldCharType="separate"/>
            </w:r>
            <w:r w:rsidR="00B979E2">
              <w:rPr>
                <w:webHidden/>
              </w:rPr>
              <w:t>12</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29" w:history="1">
            <w:r w:rsidR="00B979E2" w:rsidRPr="002526A0">
              <w:rPr>
                <w:rStyle w:val="Hyperlink"/>
              </w:rPr>
              <w:t>Tabula 3: Vispārējās valdības izdevumu un ieņēmumu prognozes pie nemainīgas politikas sadalījumā pa galvenajām komponentēm</w:t>
            </w:r>
            <w:r w:rsidR="00B979E2">
              <w:rPr>
                <w:webHidden/>
              </w:rPr>
              <w:tab/>
            </w:r>
            <w:r w:rsidR="00B979E2">
              <w:rPr>
                <w:webHidden/>
              </w:rPr>
              <w:fldChar w:fldCharType="begin"/>
            </w:r>
            <w:r w:rsidR="00B979E2">
              <w:rPr>
                <w:webHidden/>
              </w:rPr>
              <w:instrText xml:space="preserve"> PAGEREF _Toc53388929 \h </w:instrText>
            </w:r>
            <w:r w:rsidR="00B979E2">
              <w:rPr>
                <w:webHidden/>
              </w:rPr>
            </w:r>
            <w:r w:rsidR="00B979E2">
              <w:rPr>
                <w:webHidden/>
              </w:rPr>
              <w:fldChar w:fldCharType="separate"/>
            </w:r>
            <w:r w:rsidR="00B979E2">
              <w:rPr>
                <w:webHidden/>
              </w:rPr>
              <w:t>13</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0" w:history="1">
            <w:r w:rsidR="00B979E2" w:rsidRPr="002526A0">
              <w:rPr>
                <w:rStyle w:val="Hyperlink"/>
              </w:rPr>
              <w:t>Tabula 4.a: Vispārējās valdības izdevumu un ieņēmumu mērķi sadalījumā pa galvenajām komponentēm</w:t>
            </w:r>
            <w:r w:rsidR="00B979E2">
              <w:rPr>
                <w:webHidden/>
              </w:rPr>
              <w:tab/>
            </w:r>
            <w:r w:rsidR="00B979E2">
              <w:rPr>
                <w:webHidden/>
              </w:rPr>
              <w:fldChar w:fldCharType="begin"/>
            </w:r>
            <w:r w:rsidR="00B979E2">
              <w:rPr>
                <w:webHidden/>
              </w:rPr>
              <w:instrText xml:space="preserve"> PAGEREF _Toc53388930 \h </w:instrText>
            </w:r>
            <w:r w:rsidR="00B979E2">
              <w:rPr>
                <w:webHidden/>
              </w:rPr>
            </w:r>
            <w:r w:rsidR="00B979E2">
              <w:rPr>
                <w:webHidden/>
              </w:rPr>
              <w:fldChar w:fldCharType="separate"/>
            </w:r>
            <w:r w:rsidR="00B979E2">
              <w:rPr>
                <w:webHidden/>
              </w:rPr>
              <w:t>14</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1" w:history="1">
            <w:r w:rsidR="00B979E2" w:rsidRPr="002526A0">
              <w:rPr>
                <w:rStyle w:val="Hyperlink"/>
              </w:rPr>
              <w:t>Tabula 4.c Vispārējās valdības izdevumi funkciju sadalījumā</w:t>
            </w:r>
            <w:r w:rsidR="00B979E2">
              <w:rPr>
                <w:webHidden/>
              </w:rPr>
              <w:tab/>
            </w:r>
            <w:r w:rsidR="00B979E2">
              <w:rPr>
                <w:webHidden/>
              </w:rPr>
              <w:fldChar w:fldCharType="begin"/>
            </w:r>
            <w:r w:rsidR="00B979E2">
              <w:rPr>
                <w:webHidden/>
              </w:rPr>
              <w:instrText xml:space="preserve"> PAGEREF _Toc53388931 \h </w:instrText>
            </w:r>
            <w:r w:rsidR="00B979E2">
              <w:rPr>
                <w:webHidden/>
              </w:rPr>
            </w:r>
            <w:r w:rsidR="00B979E2">
              <w:rPr>
                <w:webHidden/>
              </w:rPr>
              <w:fldChar w:fldCharType="separate"/>
            </w:r>
            <w:r w:rsidR="00B979E2">
              <w:rPr>
                <w:webHidden/>
              </w:rPr>
              <w:t>14</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2" w:history="1">
            <w:r w:rsidR="00B979E2" w:rsidRPr="002526A0">
              <w:rPr>
                <w:rStyle w:val="Hyperlink"/>
              </w:rPr>
              <w:t>Tabula 4.c.i) Vispārējās valdības izdevumi izglītībai, veselības aprūpei un nodarbinātībai</w:t>
            </w:r>
            <w:r w:rsidR="00B979E2">
              <w:rPr>
                <w:webHidden/>
              </w:rPr>
              <w:tab/>
            </w:r>
            <w:r w:rsidR="00B979E2">
              <w:rPr>
                <w:webHidden/>
              </w:rPr>
              <w:fldChar w:fldCharType="begin"/>
            </w:r>
            <w:r w:rsidR="00B979E2">
              <w:rPr>
                <w:webHidden/>
              </w:rPr>
              <w:instrText xml:space="preserve"> PAGEREF _Toc53388932 \h </w:instrText>
            </w:r>
            <w:r w:rsidR="00B979E2">
              <w:rPr>
                <w:webHidden/>
              </w:rPr>
            </w:r>
            <w:r w:rsidR="00B979E2">
              <w:rPr>
                <w:webHidden/>
              </w:rPr>
              <w:fldChar w:fldCharType="separate"/>
            </w:r>
            <w:r w:rsidR="00B979E2">
              <w:rPr>
                <w:webHidden/>
              </w:rPr>
              <w:t>14</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3" w:history="1">
            <w:r w:rsidR="00B979E2" w:rsidRPr="002526A0">
              <w:rPr>
                <w:rStyle w:val="Hyperlink"/>
              </w:rPr>
              <w:t>Tabula 4.c.ii) Vispārējās valdības izdevumi funkciju sadalījumā</w:t>
            </w:r>
            <w:r w:rsidR="00B979E2">
              <w:rPr>
                <w:webHidden/>
              </w:rPr>
              <w:tab/>
            </w:r>
            <w:r w:rsidR="00B979E2">
              <w:rPr>
                <w:webHidden/>
              </w:rPr>
              <w:fldChar w:fldCharType="begin"/>
            </w:r>
            <w:r w:rsidR="00B979E2">
              <w:rPr>
                <w:webHidden/>
              </w:rPr>
              <w:instrText xml:space="preserve"> PAGEREF _Toc53388933 \h </w:instrText>
            </w:r>
            <w:r w:rsidR="00B979E2">
              <w:rPr>
                <w:webHidden/>
              </w:rPr>
            </w:r>
            <w:r w:rsidR="00B979E2">
              <w:rPr>
                <w:webHidden/>
              </w:rPr>
              <w:fldChar w:fldCharType="separate"/>
            </w:r>
            <w:r w:rsidR="00B979E2">
              <w:rPr>
                <w:webHidden/>
              </w:rPr>
              <w:t>15</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4" w:history="1">
            <w:r w:rsidR="00B979E2" w:rsidRPr="002526A0">
              <w:rPr>
                <w:rStyle w:val="Hyperlink"/>
              </w:rPr>
              <w:t>Vidēja termiņa budžeta politikas prioritāro attīstības virzienu īstenošana</w:t>
            </w:r>
            <w:r w:rsidR="00B979E2">
              <w:rPr>
                <w:webHidden/>
              </w:rPr>
              <w:tab/>
            </w:r>
            <w:r w:rsidR="00B979E2">
              <w:rPr>
                <w:webHidden/>
              </w:rPr>
              <w:fldChar w:fldCharType="begin"/>
            </w:r>
            <w:r w:rsidR="00B979E2">
              <w:rPr>
                <w:webHidden/>
              </w:rPr>
              <w:instrText xml:space="preserve"> PAGEREF _Toc53388934 \h </w:instrText>
            </w:r>
            <w:r w:rsidR="00B979E2">
              <w:rPr>
                <w:webHidden/>
              </w:rPr>
            </w:r>
            <w:r w:rsidR="00B979E2">
              <w:rPr>
                <w:webHidden/>
              </w:rPr>
              <w:fldChar w:fldCharType="separate"/>
            </w:r>
            <w:r w:rsidR="00B979E2">
              <w:rPr>
                <w:webHidden/>
              </w:rPr>
              <w:t>16</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5" w:history="1">
            <w:r w:rsidR="00B979E2" w:rsidRPr="002526A0">
              <w:rPr>
                <w:rStyle w:val="Hyperlink"/>
              </w:rPr>
              <w:t>Tabula 5: Diskrecionāro pasākumu apraksts, kas iekļauti budžeta projektā</w:t>
            </w:r>
            <w:r w:rsidR="00B979E2">
              <w:rPr>
                <w:webHidden/>
              </w:rPr>
              <w:tab/>
            </w:r>
            <w:r w:rsidR="00B979E2">
              <w:rPr>
                <w:webHidden/>
              </w:rPr>
              <w:fldChar w:fldCharType="begin"/>
            </w:r>
            <w:r w:rsidR="00B979E2">
              <w:rPr>
                <w:webHidden/>
              </w:rPr>
              <w:instrText xml:space="preserve"> PAGEREF _Toc53388935 \h </w:instrText>
            </w:r>
            <w:r w:rsidR="00B979E2">
              <w:rPr>
                <w:webHidden/>
              </w:rPr>
            </w:r>
            <w:r w:rsidR="00B979E2">
              <w:rPr>
                <w:webHidden/>
              </w:rPr>
              <w:fldChar w:fldCharType="separate"/>
            </w:r>
            <w:r w:rsidR="00B979E2">
              <w:rPr>
                <w:webHidden/>
              </w:rPr>
              <w:t>20</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6" w:history="1">
            <w:r w:rsidR="00B979E2" w:rsidRPr="002526A0">
              <w:rPr>
                <w:rStyle w:val="Hyperlink"/>
              </w:rPr>
              <w:t>Tabula 5.a.i): Diskrecionārie ieņēmumu pasākumi vispārējās valdības budžetā</w:t>
            </w:r>
            <w:r w:rsidR="00B979E2">
              <w:rPr>
                <w:webHidden/>
              </w:rPr>
              <w:tab/>
            </w:r>
            <w:r w:rsidR="00B979E2">
              <w:rPr>
                <w:webHidden/>
              </w:rPr>
              <w:fldChar w:fldCharType="begin"/>
            </w:r>
            <w:r w:rsidR="00B979E2">
              <w:rPr>
                <w:webHidden/>
              </w:rPr>
              <w:instrText xml:space="preserve"> PAGEREF _Toc53388936 \h </w:instrText>
            </w:r>
            <w:r w:rsidR="00B979E2">
              <w:rPr>
                <w:webHidden/>
              </w:rPr>
            </w:r>
            <w:r w:rsidR="00B979E2">
              <w:rPr>
                <w:webHidden/>
              </w:rPr>
              <w:fldChar w:fldCharType="separate"/>
            </w:r>
            <w:r w:rsidR="00B979E2">
              <w:rPr>
                <w:webHidden/>
              </w:rPr>
              <w:t>20</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7" w:history="1">
            <w:r w:rsidR="00B979E2" w:rsidRPr="002526A0">
              <w:rPr>
                <w:rStyle w:val="Hyperlink"/>
              </w:rPr>
              <w:t>Tabula 5.a.ii) Diskrecionārie izdevumu pasākumi vispārējās valdības budžetā</w:t>
            </w:r>
            <w:r w:rsidR="00B979E2">
              <w:rPr>
                <w:webHidden/>
              </w:rPr>
              <w:tab/>
            </w:r>
            <w:r w:rsidR="00B979E2">
              <w:rPr>
                <w:webHidden/>
              </w:rPr>
              <w:fldChar w:fldCharType="begin"/>
            </w:r>
            <w:r w:rsidR="00B979E2">
              <w:rPr>
                <w:webHidden/>
              </w:rPr>
              <w:instrText xml:space="preserve"> PAGEREF _Toc53388937 \h </w:instrText>
            </w:r>
            <w:r w:rsidR="00B979E2">
              <w:rPr>
                <w:webHidden/>
              </w:rPr>
            </w:r>
            <w:r w:rsidR="00B979E2">
              <w:rPr>
                <w:webHidden/>
              </w:rPr>
              <w:fldChar w:fldCharType="separate"/>
            </w:r>
            <w:r w:rsidR="00B979E2">
              <w:rPr>
                <w:webHidden/>
              </w:rPr>
              <w:t>23</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8" w:history="1">
            <w:r w:rsidR="00B979E2" w:rsidRPr="002526A0">
              <w:rPr>
                <w:rStyle w:val="Hyperlink"/>
              </w:rPr>
              <w:t>Tabula 5.b.i): Diskrecionārie ieņēmumu pasākumi centrālās valdības budžetā</w:t>
            </w:r>
            <w:r w:rsidR="00B979E2">
              <w:rPr>
                <w:webHidden/>
              </w:rPr>
              <w:tab/>
            </w:r>
            <w:r w:rsidR="00B979E2">
              <w:rPr>
                <w:webHidden/>
              </w:rPr>
              <w:fldChar w:fldCharType="begin"/>
            </w:r>
            <w:r w:rsidR="00B979E2">
              <w:rPr>
                <w:webHidden/>
              </w:rPr>
              <w:instrText xml:space="preserve"> PAGEREF _Toc53388938 \h </w:instrText>
            </w:r>
            <w:r w:rsidR="00B979E2">
              <w:rPr>
                <w:webHidden/>
              </w:rPr>
            </w:r>
            <w:r w:rsidR="00B979E2">
              <w:rPr>
                <w:webHidden/>
              </w:rPr>
              <w:fldChar w:fldCharType="separate"/>
            </w:r>
            <w:r w:rsidR="00B979E2">
              <w:rPr>
                <w:webHidden/>
              </w:rPr>
              <w:t>27</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39" w:history="1">
            <w:r w:rsidR="00B979E2" w:rsidRPr="002526A0">
              <w:rPr>
                <w:rStyle w:val="Hyperlink"/>
              </w:rPr>
              <w:t>Tabula 5.b.ii): Diskrecionārie izdevumi pasākumi centrālās valdības budžetā</w:t>
            </w:r>
            <w:r w:rsidR="00B979E2">
              <w:rPr>
                <w:webHidden/>
              </w:rPr>
              <w:tab/>
            </w:r>
            <w:r w:rsidR="00B979E2">
              <w:rPr>
                <w:webHidden/>
              </w:rPr>
              <w:fldChar w:fldCharType="begin"/>
            </w:r>
            <w:r w:rsidR="00B979E2">
              <w:rPr>
                <w:webHidden/>
              </w:rPr>
              <w:instrText xml:space="preserve"> PAGEREF _Toc53388939 \h </w:instrText>
            </w:r>
            <w:r w:rsidR="00B979E2">
              <w:rPr>
                <w:webHidden/>
              </w:rPr>
            </w:r>
            <w:r w:rsidR="00B979E2">
              <w:rPr>
                <w:webHidden/>
              </w:rPr>
              <w:fldChar w:fldCharType="separate"/>
            </w:r>
            <w:r w:rsidR="00B979E2">
              <w:rPr>
                <w:webHidden/>
              </w:rPr>
              <w:t>30</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40" w:history="1">
            <w:r w:rsidR="00B979E2" w:rsidRPr="002526A0">
              <w:rPr>
                <w:rStyle w:val="Hyperlink"/>
              </w:rPr>
              <w:t>Tabula 5.c: Diskrecionārie ieņēmumu pasākumi vietējās valdības budžetā</w:t>
            </w:r>
            <w:r w:rsidR="00B979E2">
              <w:rPr>
                <w:webHidden/>
              </w:rPr>
              <w:tab/>
            </w:r>
            <w:r w:rsidR="00B979E2">
              <w:rPr>
                <w:webHidden/>
              </w:rPr>
              <w:fldChar w:fldCharType="begin"/>
            </w:r>
            <w:r w:rsidR="00B979E2">
              <w:rPr>
                <w:webHidden/>
              </w:rPr>
              <w:instrText xml:space="preserve"> PAGEREF _Toc53388940 \h </w:instrText>
            </w:r>
            <w:r w:rsidR="00B979E2">
              <w:rPr>
                <w:webHidden/>
              </w:rPr>
            </w:r>
            <w:r w:rsidR="00B979E2">
              <w:rPr>
                <w:webHidden/>
              </w:rPr>
              <w:fldChar w:fldCharType="separate"/>
            </w:r>
            <w:r w:rsidR="00B979E2">
              <w:rPr>
                <w:webHidden/>
              </w:rPr>
              <w:t>34</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41" w:history="1">
            <w:r w:rsidR="00B979E2" w:rsidRPr="002526A0">
              <w:rPr>
                <w:rStyle w:val="Hyperlink"/>
              </w:rPr>
              <w:t>Tabula 6.a Valsts specifiskās rekomendācijas</w:t>
            </w:r>
            <w:r w:rsidR="00B979E2">
              <w:rPr>
                <w:webHidden/>
              </w:rPr>
              <w:tab/>
            </w:r>
            <w:r w:rsidR="00B979E2">
              <w:rPr>
                <w:webHidden/>
              </w:rPr>
              <w:fldChar w:fldCharType="begin"/>
            </w:r>
            <w:r w:rsidR="00B979E2">
              <w:rPr>
                <w:webHidden/>
              </w:rPr>
              <w:instrText xml:space="preserve"> PAGEREF _Toc53388941 \h </w:instrText>
            </w:r>
            <w:r w:rsidR="00B979E2">
              <w:rPr>
                <w:webHidden/>
              </w:rPr>
            </w:r>
            <w:r w:rsidR="00B979E2">
              <w:rPr>
                <w:webHidden/>
              </w:rPr>
              <w:fldChar w:fldCharType="separate"/>
            </w:r>
            <w:r w:rsidR="00B979E2">
              <w:rPr>
                <w:webHidden/>
              </w:rPr>
              <w:t>35</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42" w:history="1">
            <w:r w:rsidR="00B979E2" w:rsidRPr="002526A0">
              <w:rPr>
                <w:rStyle w:val="Hyperlink"/>
              </w:rPr>
              <w:t>Tabula 6.b ES Stratēģijas noteiktie mērķi attiecibā uz izaugsmi un darbu</w:t>
            </w:r>
            <w:r w:rsidR="00B979E2">
              <w:rPr>
                <w:webHidden/>
              </w:rPr>
              <w:tab/>
            </w:r>
            <w:r w:rsidR="00B979E2">
              <w:rPr>
                <w:webHidden/>
              </w:rPr>
              <w:fldChar w:fldCharType="begin"/>
            </w:r>
            <w:r w:rsidR="00B979E2">
              <w:rPr>
                <w:webHidden/>
              </w:rPr>
              <w:instrText xml:space="preserve"> PAGEREF _Toc53388942 \h </w:instrText>
            </w:r>
            <w:r w:rsidR="00B979E2">
              <w:rPr>
                <w:webHidden/>
              </w:rPr>
            </w:r>
            <w:r w:rsidR="00B979E2">
              <w:rPr>
                <w:webHidden/>
              </w:rPr>
              <w:fldChar w:fldCharType="separate"/>
            </w:r>
            <w:r w:rsidR="00B979E2">
              <w:rPr>
                <w:webHidden/>
              </w:rPr>
              <w:t>42</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43" w:history="1">
            <w:r w:rsidR="00B979E2" w:rsidRPr="002526A0">
              <w:rPr>
                <w:rStyle w:val="Hyperlink"/>
              </w:rPr>
              <w:t>Tabula 7: Salīdzinājums ar Stabilitātes programmu 2020.–2023.gadam</w:t>
            </w:r>
            <w:r w:rsidR="00B979E2">
              <w:rPr>
                <w:webHidden/>
              </w:rPr>
              <w:tab/>
            </w:r>
            <w:r w:rsidR="00B979E2">
              <w:rPr>
                <w:webHidden/>
              </w:rPr>
              <w:fldChar w:fldCharType="begin"/>
            </w:r>
            <w:r w:rsidR="00B979E2">
              <w:rPr>
                <w:webHidden/>
              </w:rPr>
              <w:instrText xml:space="preserve"> PAGEREF _Toc53388943 \h </w:instrText>
            </w:r>
            <w:r w:rsidR="00B979E2">
              <w:rPr>
                <w:webHidden/>
              </w:rPr>
            </w:r>
            <w:r w:rsidR="00B979E2">
              <w:rPr>
                <w:webHidden/>
              </w:rPr>
              <w:fldChar w:fldCharType="separate"/>
            </w:r>
            <w:r w:rsidR="00B979E2">
              <w:rPr>
                <w:webHidden/>
              </w:rPr>
              <w:t>62</w:t>
            </w:r>
            <w:r w:rsidR="00B979E2">
              <w:rPr>
                <w:webHidden/>
              </w:rPr>
              <w:fldChar w:fldCharType="end"/>
            </w:r>
          </w:hyperlink>
        </w:p>
        <w:p w:rsidR="00B979E2" w:rsidRDefault="00BC2533">
          <w:pPr>
            <w:pStyle w:val="TOC1"/>
            <w:rPr>
              <w:rFonts w:asciiTheme="minorHAnsi" w:eastAsiaTheme="minorEastAsia" w:hAnsiTheme="minorHAnsi" w:cstheme="minorBidi"/>
              <w:sz w:val="22"/>
              <w:szCs w:val="22"/>
              <w:lang w:eastAsia="lv-LV"/>
            </w:rPr>
          </w:pPr>
          <w:hyperlink w:anchor="_Toc53388944" w:history="1">
            <w:r w:rsidR="00B979E2" w:rsidRPr="002526A0">
              <w:rPr>
                <w:rStyle w:val="Hyperlink"/>
              </w:rPr>
              <w:t>Pielikums: Metodoloģiskie aspekti</w:t>
            </w:r>
            <w:r w:rsidR="00B979E2">
              <w:rPr>
                <w:webHidden/>
              </w:rPr>
              <w:tab/>
            </w:r>
            <w:r w:rsidR="00B979E2">
              <w:rPr>
                <w:webHidden/>
              </w:rPr>
              <w:fldChar w:fldCharType="begin"/>
            </w:r>
            <w:r w:rsidR="00B979E2">
              <w:rPr>
                <w:webHidden/>
              </w:rPr>
              <w:instrText xml:space="preserve"> PAGEREF _Toc53388944 \h </w:instrText>
            </w:r>
            <w:r w:rsidR="00B979E2">
              <w:rPr>
                <w:webHidden/>
              </w:rPr>
            </w:r>
            <w:r w:rsidR="00B979E2">
              <w:rPr>
                <w:webHidden/>
              </w:rPr>
              <w:fldChar w:fldCharType="separate"/>
            </w:r>
            <w:r w:rsidR="00B979E2">
              <w:rPr>
                <w:webHidden/>
              </w:rPr>
              <w:t>63</w:t>
            </w:r>
            <w:r w:rsidR="00B979E2">
              <w:rPr>
                <w:webHidden/>
              </w:rPr>
              <w:fldChar w:fldCharType="end"/>
            </w:r>
          </w:hyperlink>
        </w:p>
        <w:p w:rsidR="007369A9" w:rsidRPr="00BF5371" w:rsidRDefault="007369A9">
          <w:pPr>
            <w:rPr>
              <w:highlight w:val="yellow"/>
            </w:rPr>
          </w:pPr>
          <w:r w:rsidRPr="00BF5371">
            <w:rPr>
              <w:b/>
              <w:bCs/>
              <w:noProof/>
              <w:highlight w:val="yellow"/>
            </w:rPr>
            <w:fldChar w:fldCharType="end"/>
          </w:r>
        </w:p>
      </w:sdtContent>
    </w:sdt>
    <w:p w:rsidR="00A922FB" w:rsidRPr="00BF5371" w:rsidRDefault="00A922FB">
      <w:pPr>
        <w:spacing w:after="0"/>
        <w:ind w:firstLine="0"/>
        <w:jc w:val="left"/>
        <w:rPr>
          <w:color w:val="18185E"/>
          <w:sz w:val="28"/>
          <w:highlight w:val="yellow"/>
        </w:rPr>
      </w:pPr>
    </w:p>
    <w:p w:rsidR="001A1170" w:rsidRPr="00BF5371" w:rsidRDefault="001A1170">
      <w:pPr>
        <w:spacing w:after="0"/>
        <w:ind w:firstLine="0"/>
        <w:jc w:val="left"/>
        <w:rPr>
          <w:color w:val="18185E"/>
          <w:sz w:val="28"/>
          <w:highlight w:val="yellow"/>
        </w:rPr>
      </w:pPr>
      <w:r w:rsidRPr="00BF5371">
        <w:rPr>
          <w:color w:val="18185E"/>
          <w:sz w:val="28"/>
          <w:highlight w:val="yellow"/>
        </w:rPr>
        <w:br w:type="page"/>
      </w:r>
    </w:p>
    <w:p w:rsidR="001A1170" w:rsidRPr="00DD4CB4" w:rsidRDefault="001A1170" w:rsidP="001A1170">
      <w:pPr>
        <w:pStyle w:val="Heading1"/>
        <w:tabs>
          <w:tab w:val="left" w:pos="1276"/>
        </w:tabs>
        <w:spacing w:before="0" w:after="240"/>
        <w:jc w:val="center"/>
        <w:rPr>
          <w:rFonts w:ascii="Times New Roman" w:hAnsi="Times New Roman"/>
          <w:color w:val="18185E"/>
          <w:sz w:val="28"/>
        </w:rPr>
      </w:pPr>
      <w:bookmarkStart w:id="0" w:name="_Toc494786334"/>
      <w:bookmarkStart w:id="1" w:name="_Toc53388917"/>
      <w:r w:rsidRPr="00DD4CB4">
        <w:rPr>
          <w:rFonts w:ascii="Times New Roman" w:hAnsi="Times New Roman"/>
          <w:color w:val="18185E"/>
          <w:sz w:val="28"/>
        </w:rPr>
        <w:lastRenderedPageBreak/>
        <w:t>Saīsinājumu apzīmējumi</w:t>
      </w:r>
      <w:bookmarkEnd w:id="0"/>
      <w:bookmarkEnd w:id="1"/>
    </w:p>
    <w:p w:rsidR="005137D2" w:rsidRPr="006A4499" w:rsidRDefault="005137D2" w:rsidP="000E6165">
      <w:pPr>
        <w:spacing w:after="0"/>
        <w:ind w:firstLine="0"/>
        <w:rPr>
          <w:szCs w:val="24"/>
          <w:highlight w:val="yellow"/>
        </w:rPr>
      </w:pPr>
      <w:r w:rsidRPr="006A4499">
        <w:rPr>
          <w:szCs w:val="24"/>
        </w:rPr>
        <w:t>ALTUM</w:t>
      </w:r>
      <w:r w:rsidRPr="006A4499">
        <w:rPr>
          <w:szCs w:val="24"/>
        </w:rPr>
        <w:tab/>
      </w:r>
      <w:r w:rsidRPr="006A4499">
        <w:rPr>
          <w:szCs w:val="24"/>
        </w:rPr>
        <w:tab/>
        <w:t>Akciju sabiedrība “Attīstības finanšu institūcija “</w:t>
      </w:r>
      <w:proofErr w:type="spellStart"/>
      <w:r w:rsidRPr="006A4499">
        <w:rPr>
          <w:szCs w:val="24"/>
        </w:rPr>
        <w:t>Altum</w:t>
      </w:r>
      <w:proofErr w:type="spellEnd"/>
      <w:r w:rsidRPr="006A4499">
        <w:rPr>
          <w:szCs w:val="24"/>
        </w:rPr>
        <w:t>””</w:t>
      </w:r>
    </w:p>
    <w:p w:rsidR="000E6165" w:rsidRDefault="000E6165" w:rsidP="000E6165">
      <w:pPr>
        <w:spacing w:after="0"/>
        <w:ind w:firstLine="0"/>
        <w:rPr>
          <w:szCs w:val="24"/>
        </w:rPr>
      </w:pPr>
      <w:r w:rsidRPr="00C20C92">
        <w:rPr>
          <w:szCs w:val="24"/>
        </w:rPr>
        <w:t>CSP</w:t>
      </w:r>
      <w:r w:rsidRPr="00C20C92">
        <w:rPr>
          <w:szCs w:val="24"/>
        </w:rPr>
        <w:tab/>
      </w:r>
      <w:r w:rsidRPr="00C20C92">
        <w:rPr>
          <w:szCs w:val="24"/>
        </w:rPr>
        <w:tab/>
      </w:r>
      <w:r w:rsidR="005D41CC" w:rsidRPr="00C20C92">
        <w:rPr>
          <w:szCs w:val="24"/>
        </w:rPr>
        <w:tab/>
      </w:r>
      <w:r w:rsidRPr="00C20C92">
        <w:rPr>
          <w:szCs w:val="24"/>
        </w:rPr>
        <w:t>Centrālā statistikas pārvalde</w:t>
      </w:r>
    </w:p>
    <w:p w:rsidR="0097496D" w:rsidRPr="00C20C92" w:rsidRDefault="0097496D" w:rsidP="000E6165">
      <w:pPr>
        <w:spacing w:after="0"/>
        <w:ind w:firstLine="0"/>
        <w:rPr>
          <w:szCs w:val="24"/>
        </w:rPr>
      </w:pPr>
      <w:r>
        <w:rPr>
          <w:szCs w:val="24"/>
        </w:rPr>
        <w:t>DNM</w:t>
      </w:r>
      <w:r>
        <w:rPr>
          <w:szCs w:val="24"/>
        </w:rPr>
        <w:tab/>
      </w:r>
      <w:r>
        <w:rPr>
          <w:szCs w:val="24"/>
        </w:rPr>
        <w:tab/>
      </w:r>
      <w:r>
        <w:rPr>
          <w:szCs w:val="24"/>
        </w:rPr>
        <w:tab/>
      </w:r>
      <w:r w:rsidRPr="0097496D">
        <w:rPr>
          <w:rFonts w:eastAsia="Calibri"/>
          <w:color w:val="000000"/>
          <w:szCs w:val="24"/>
        </w:rPr>
        <w:t>Diferencētais neapliekamais minimums</w:t>
      </w:r>
    </w:p>
    <w:p w:rsidR="000E6165" w:rsidRPr="00C20C92" w:rsidRDefault="001C0A2C" w:rsidP="000E6165">
      <w:pPr>
        <w:pStyle w:val="teksts"/>
        <w:spacing w:after="0"/>
        <w:rPr>
          <w:rFonts w:ascii="Times New Roman" w:eastAsia="Calibri" w:hAnsi="Times New Roman"/>
          <w:color w:val="000000"/>
          <w:szCs w:val="24"/>
        </w:rPr>
      </w:pPr>
      <w:r w:rsidRPr="00C20C92">
        <w:rPr>
          <w:rFonts w:ascii="Times New Roman" w:eastAsia="Calibri" w:hAnsi="Times New Roman"/>
          <w:color w:val="000000"/>
          <w:szCs w:val="24"/>
        </w:rPr>
        <w:t>EK</w:t>
      </w:r>
      <w:r w:rsidR="000E6165" w:rsidRPr="00C20C92">
        <w:rPr>
          <w:rFonts w:ascii="Times New Roman" w:eastAsia="Calibri" w:hAnsi="Times New Roman"/>
          <w:color w:val="000000"/>
          <w:szCs w:val="24"/>
        </w:rPr>
        <w:tab/>
      </w:r>
      <w:r w:rsidR="000E6165" w:rsidRPr="00C20C92">
        <w:rPr>
          <w:rFonts w:ascii="Times New Roman" w:eastAsia="Calibri" w:hAnsi="Times New Roman"/>
          <w:color w:val="000000"/>
          <w:szCs w:val="24"/>
        </w:rPr>
        <w:tab/>
      </w:r>
      <w:r w:rsidR="005D41CC" w:rsidRPr="00C20C92">
        <w:rPr>
          <w:rFonts w:ascii="Times New Roman" w:eastAsia="Calibri" w:hAnsi="Times New Roman"/>
          <w:color w:val="000000"/>
          <w:szCs w:val="24"/>
        </w:rPr>
        <w:tab/>
      </w:r>
      <w:r w:rsidR="000E6165" w:rsidRPr="00C20C92">
        <w:rPr>
          <w:rFonts w:ascii="Times New Roman" w:eastAsia="Calibri" w:hAnsi="Times New Roman"/>
          <w:color w:val="000000"/>
          <w:szCs w:val="24"/>
        </w:rPr>
        <w:t>Eiropas Komisija</w:t>
      </w:r>
    </w:p>
    <w:p w:rsidR="000E6165" w:rsidRPr="00C20C92" w:rsidRDefault="00C20C92" w:rsidP="000E6165">
      <w:pPr>
        <w:pStyle w:val="teksts"/>
        <w:spacing w:after="0"/>
        <w:rPr>
          <w:rFonts w:ascii="Times New Roman" w:eastAsia="Calibri" w:hAnsi="Times New Roman"/>
          <w:color w:val="000000"/>
          <w:szCs w:val="24"/>
        </w:rPr>
      </w:pPr>
      <w:r w:rsidRPr="00C20C92">
        <w:rPr>
          <w:rFonts w:ascii="Times New Roman" w:eastAsia="Calibri" w:hAnsi="Times New Roman"/>
          <w:color w:val="000000"/>
          <w:szCs w:val="24"/>
        </w:rPr>
        <w:t>EKII</w:t>
      </w:r>
      <w:r w:rsidR="000E6165" w:rsidRPr="00C20C92">
        <w:rPr>
          <w:rFonts w:ascii="Times New Roman" w:eastAsia="Calibri" w:hAnsi="Times New Roman"/>
          <w:color w:val="000000"/>
          <w:szCs w:val="24"/>
        </w:rPr>
        <w:tab/>
      </w:r>
      <w:r w:rsidR="005D41CC" w:rsidRPr="00C20C92">
        <w:rPr>
          <w:rFonts w:ascii="Times New Roman" w:eastAsia="Calibri" w:hAnsi="Times New Roman"/>
          <w:color w:val="000000"/>
          <w:szCs w:val="24"/>
        </w:rPr>
        <w:tab/>
      </w:r>
      <w:r w:rsidR="005D41CC" w:rsidRPr="00C20C92">
        <w:rPr>
          <w:rFonts w:ascii="Times New Roman" w:eastAsia="Calibri" w:hAnsi="Times New Roman"/>
          <w:color w:val="000000"/>
          <w:szCs w:val="24"/>
        </w:rPr>
        <w:tab/>
      </w:r>
      <w:r w:rsidR="000E6165" w:rsidRPr="00C20C92">
        <w:rPr>
          <w:rFonts w:ascii="Times New Roman" w:eastAsia="Calibri" w:hAnsi="Times New Roman"/>
          <w:color w:val="000000"/>
          <w:szCs w:val="24"/>
        </w:rPr>
        <w:t>Emisijas kvotu izsolīšanas instruments</w:t>
      </w:r>
    </w:p>
    <w:p w:rsidR="000E6165" w:rsidRPr="0054517B" w:rsidRDefault="000E6165" w:rsidP="000E6165">
      <w:pPr>
        <w:pStyle w:val="teksts"/>
        <w:spacing w:after="0"/>
        <w:rPr>
          <w:rFonts w:ascii="Times New Roman" w:eastAsia="Calibri" w:hAnsi="Times New Roman"/>
          <w:color w:val="000000"/>
          <w:szCs w:val="24"/>
        </w:rPr>
      </w:pPr>
      <w:r w:rsidRPr="0054517B">
        <w:rPr>
          <w:rFonts w:ascii="Times New Roman" w:eastAsia="Calibri" w:hAnsi="Times New Roman"/>
          <w:color w:val="000000"/>
          <w:szCs w:val="24"/>
        </w:rPr>
        <w:t>EKS</w:t>
      </w:r>
      <w:r w:rsidRPr="0054517B">
        <w:rPr>
          <w:rFonts w:ascii="Times New Roman" w:eastAsia="Calibri" w:hAnsi="Times New Roman"/>
          <w:color w:val="000000"/>
          <w:szCs w:val="24"/>
        </w:rPr>
        <w:tab/>
      </w:r>
      <w:r w:rsidRPr="0054517B">
        <w:rPr>
          <w:rFonts w:ascii="Times New Roman" w:eastAsia="Calibri" w:hAnsi="Times New Roman"/>
          <w:color w:val="000000"/>
          <w:szCs w:val="24"/>
        </w:rPr>
        <w:tab/>
      </w:r>
      <w:r w:rsidRPr="0054517B">
        <w:rPr>
          <w:rFonts w:ascii="Times New Roman" w:eastAsia="Calibri" w:hAnsi="Times New Roman"/>
          <w:color w:val="000000"/>
          <w:szCs w:val="24"/>
        </w:rPr>
        <w:tab/>
        <w:t>Eiropas Kontu sistēma</w:t>
      </w:r>
    </w:p>
    <w:p w:rsidR="004A5AB1" w:rsidRPr="0054517B" w:rsidRDefault="004A5AB1" w:rsidP="000E6165">
      <w:pPr>
        <w:pStyle w:val="teksts"/>
        <w:spacing w:after="0"/>
        <w:rPr>
          <w:rFonts w:ascii="Times New Roman" w:eastAsia="Calibri" w:hAnsi="Times New Roman"/>
          <w:color w:val="000000"/>
          <w:szCs w:val="24"/>
        </w:rPr>
      </w:pPr>
      <w:r w:rsidRPr="0054517B">
        <w:rPr>
          <w:rFonts w:ascii="Times New Roman" w:eastAsia="Calibri" w:hAnsi="Times New Roman"/>
          <w:color w:val="000000"/>
          <w:szCs w:val="24"/>
        </w:rPr>
        <w:t>EM</w:t>
      </w:r>
      <w:r w:rsidRPr="0054517B">
        <w:rPr>
          <w:rFonts w:ascii="Times New Roman" w:eastAsia="Calibri" w:hAnsi="Times New Roman"/>
          <w:color w:val="000000"/>
          <w:szCs w:val="24"/>
        </w:rPr>
        <w:tab/>
      </w:r>
      <w:r w:rsidRPr="0054517B">
        <w:rPr>
          <w:rFonts w:ascii="Times New Roman" w:eastAsia="Calibri" w:hAnsi="Times New Roman"/>
          <w:color w:val="000000"/>
          <w:szCs w:val="24"/>
        </w:rPr>
        <w:tab/>
      </w:r>
      <w:r w:rsidRPr="0054517B">
        <w:rPr>
          <w:rFonts w:ascii="Times New Roman" w:eastAsia="Calibri" w:hAnsi="Times New Roman"/>
          <w:color w:val="000000"/>
          <w:szCs w:val="24"/>
        </w:rPr>
        <w:tab/>
        <w:t>Ekonomikas ministrija</w:t>
      </w:r>
    </w:p>
    <w:p w:rsidR="000E6165" w:rsidRPr="0054517B" w:rsidRDefault="000E6165" w:rsidP="000E6165">
      <w:pPr>
        <w:pStyle w:val="teksts"/>
        <w:spacing w:after="0"/>
        <w:rPr>
          <w:rFonts w:ascii="Times New Roman" w:eastAsia="Calibri" w:hAnsi="Times New Roman"/>
          <w:color w:val="000000"/>
          <w:szCs w:val="24"/>
        </w:rPr>
      </w:pPr>
      <w:r w:rsidRPr="0054517B">
        <w:rPr>
          <w:rFonts w:ascii="Times New Roman" w:eastAsia="Calibri" w:hAnsi="Times New Roman"/>
          <w:color w:val="000000"/>
          <w:szCs w:val="24"/>
        </w:rPr>
        <w:t>ERAF</w:t>
      </w:r>
      <w:r w:rsidRPr="0054517B">
        <w:rPr>
          <w:rFonts w:ascii="Times New Roman" w:eastAsia="Calibri" w:hAnsi="Times New Roman"/>
          <w:color w:val="000000"/>
          <w:szCs w:val="24"/>
        </w:rPr>
        <w:tab/>
      </w:r>
      <w:r w:rsidRPr="0054517B">
        <w:rPr>
          <w:rFonts w:ascii="Times New Roman" w:eastAsia="Calibri" w:hAnsi="Times New Roman"/>
          <w:color w:val="000000"/>
          <w:szCs w:val="24"/>
        </w:rPr>
        <w:tab/>
      </w:r>
      <w:r w:rsidR="005D41CC" w:rsidRPr="0054517B">
        <w:rPr>
          <w:rFonts w:ascii="Times New Roman" w:eastAsia="Calibri" w:hAnsi="Times New Roman"/>
          <w:color w:val="000000"/>
          <w:szCs w:val="24"/>
        </w:rPr>
        <w:tab/>
      </w:r>
      <w:r w:rsidRPr="0054517B">
        <w:rPr>
          <w:rFonts w:ascii="Times New Roman" w:eastAsia="Calibri" w:hAnsi="Times New Roman"/>
          <w:color w:val="000000"/>
          <w:szCs w:val="24"/>
        </w:rPr>
        <w:t xml:space="preserve">Eiropas Reģionālās attīstības fonds </w:t>
      </w:r>
    </w:p>
    <w:p w:rsidR="000E6165" w:rsidRPr="00BD27D1" w:rsidRDefault="000E6165" w:rsidP="000E6165">
      <w:pPr>
        <w:pStyle w:val="teksts"/>
        <w:spacing w:after="0"/>
        <w:rPr>
          <w:rFonts w:ascii="Times New Roman" w:eastAsia="Calibri" w:hAnsi="Times New Roman"/>
          <w:color w:val="000000"/>
          <w:szCs w:val="24"/>
        </w:rPr>
      </w:pPr>
      <w:r w:rsidRPr="00BD27D1">
        <w:rPr>
          <w:rFonts w:ascii="Times New Roman" w:eastAsia="Calibri" w:hAnsi="Times New Roman"/>
          <w:color w:val="000000"/>
          <w:szCs w:val="24"/>
        </w:rPr>
        <w:t>ES</w:t>
      </w:r>
      <w:r w:rsidRPr="00BD27D1">
        <w:rPr>
          <w:rFonts w:ascii="Times New Roman" w:eastAsia="Calibri" w:hAnsi="Times New Roman"/>
          <w:color w:val="000000"/>
          <w:szCs w:val="24"/>
        </w:rPr>
        <w:tab/>
      </w:r>
      <w:r w:rsidRPr="00BD27D1">
        <w:rPr>
          <w:rFonts w:ascii="Times New Roman" w:eastAsia="Calibri" w:hAnsi="Times New Roman"/>
          <w:color w:val="000000"/>
          <w:szCs w:val="24"/>
        </w:rPr>
        <w:tab/>
      </w:r>
      <w:r w:rsidR="005D41CC" w:rsidRPr="00BD27D1">
        <w:rPr>
          <w:rFonts w:ascii="Times New Roman" w:eastAsia="Calibri" w:hAnsi="Times New Roman"/>
          <w:color w:val="000000"/>
          <w:szCs w:val="24"/>
        </w:rPr>
        <w:tab/>
      </w:r>
      <w:r w:rsidR="00BD27D1" w:rsidRPr="00BD27D1">
        <w:rPr>
          <w:rFonts w:ascii="Times New Roman" w:eastAsia="Calibri" w:hAnsi="Times New Roman"/>
          <w:color w:val="000000"/>
          <w:szCs w:val="24"/>
        </w:rPr>
        <w:t>Eiropas Savienīb</w:t>
      </w:r>
      <w:r w:rsidRPr="00BD27D1">
        <w:rPr>
          <w:rFonts w:ascii="Times New Roman" w:eastAsia="Calibri" w:hAnsi="Times New Roman"/>
          <w:color w:val="000000"/>
          <w:szCs w:val="24"/>
        </w:rPr>
        <w:t>a</w:t>
      </w:r>
    </w:p>
    <w:p w:rsidR="00BF11E3" w:rsidRPr="001819B8" w:rsidRDefault="00BF11E3" w:rsidP="00BF11E3">
      <w:pPr>
        <w:pStyle w:val="teksts"/>
        <w:tabs>
          <w:tab w:val="left" w:pos="2127"/>
        </w:tabs>
        <w:spacing w:after="0"/>
        <w:rPr>
          <w:rFonts w:ascii="Times New Roman" w:eastAsia="Calibri" w:hAnsi="Times New Roman"/>
          <w:color w:val="000000"/>
          <w:szCs w:val="24"/>
        </w:rPr>
      </w:pPr>
      <w:r w:rsidRPr="001819B8">
        <w:rPr>
          <w:rFonts w:ascii="Times New Roman" w:eastAsia="Calibri" w:hAnsi="Times New Roman"/>
          <w:color w:val="000000"/>
          <w:szCs w:val="24"/>
        </w:rPr>
        <w:t>FDL</w:t>
      </w:r>
      <w:r w:rsidRPr="001819B8">
        <w:rPr>
          <w:rFonts w:ascii="Times New Roman" w:eastAsia="Calibri" w:hAnsi="Times New Roman"/>
          <w:color w:val="000000"/>
          <w:szCs w:val="24"/>
        </w:rPr>
        <w:tab/>
        <w:t>Fiskālās disciplīnas likums</w:t>
      </w:r>
    </w:p>
    <w:p w:rsidR="000E6165" w:rsidRPr="001819B8" w:rsidRDefault="000E6165" w:rsidP="000E6165">
      <w:pPr>
        <w:pStyle w:val="teksts"/>
        <w:spacing w:after="0"/>
        <w:rPr>
          <w:rFonts w:ascii="Times New Roman" w:eastAsia="Calibri" w:hAnsi="Times New Roman"/>
          <w:color w:val="000000"/>
          <w:szCs w:val="24"/>
        </w:rPr>
      </w:pPr>
      <w:r w:rsidRPr="001819B8">
        <w:rPr>
          <w:rFonts w:ascii="Times New Roman" w:eastAsia="Calibri" w:hAnsi="Times New Roman"/>
          <w:color w:val="000000"/>
          <w:szCs w:val="24"/>
        </w:rPr>
        <w:t>FM</w:t>
      </w:r>
      <w:r w:rsidRPr="001819B8">
        <w:rPr>
          <w:rFonts w:ascii="Times New Roman" w:eastAsia="Calibri" w:hAnsi="Times New Roman"/>
          <w:color w:val="000000"/>
          <w:szCs w:val="24"/>
        </w:rPr>
        <w:tab/>
      </w:r>
      <w:r w:rsidRPr="001819B8">
        <w:rPr>
          <w:rFonts w:ascii="Times New Roman" w:eastAsia="Calibri" w:hAnsi="Times New Roman"/>
          <w:color w:val="000000"/>
          <w:szCs w:val="24"/>
        </w:rPr>
        <w:tab/>
      </w:r>
      <w:r w:rsidR="005D41CC" w:rsidRPr="001819B8">
        <w:rPr>
          <w:rFonts w:ascii="Times New Roman" w:eastAsia="Calibri" w:hAnsi="Times New Roman"/>
          <w:color w:val="000000"/>
          <w:szCs w:val="24"/>
        </w:rPr>
        <w:tab/>
      </w:r>
      <w:r w:rsidRPr="001819B8">
        <w:rPr>
          <w:rFonts w:ascii="Times New Roman" w:eastAsia="Calibri" w:hAnsi="Times New Roman"/>
          <w:color w:val="000000"/>
          <w:szCs w:val="24"/>
        </w:rPr>
        <w:t>Finanšu ministrija</w:t>
      </w:r>
    </w:p>
    <w:p w:rsidR="00430175" w:rsidRPr="00BF0E38" w:rsidRDefault="006A676E"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IE</w:t>
      </w:r>
      <w:r w:rsidR="00430175" w:rsidRPr="00BF0E38">
        <w:rPr>
          <w:rFonts w:ascii="Times New Roman" w:eastAsia="Calibri" w:hAnsi="Times New Roman"/>
          <w:color w:val="000000"/>
          <w:szCs w:val="24"/>
        </w:rPr>
        <w:t>M</w:t>
      </w:r>
      <w:r w:rsidR="00430175" w:rsidRPr="00BF0E38">
        <w:rPr>
          <w:rFonts w:ascii="Times New Roman" w:eastAsia="Calibri" w:hAnsi="Times New Roman"/>
          <w:color w:val="000000"/>
          <w:szCs w:val="24"/>
        </w:rPr>
        <w:tab/>
      </w:r>
      <w:r w:rsidR="00430175" w:rsidRPr="00BF0E38">
        <w:rPr>
          <w:rFonts w:ascii="Times New Roman" w:eastAsia="Calibri" w:hAnsi="Times New Roman"/>
          <w:color w:val="000000"/>
          <w:szCs w:val="24"/>
        </w:rPr>
        <w:tab/>
      </w:r>
      <w:r w:rsidR="00430175" w:rsidRPr="00BF0E38">
        <w:rPr>
          <w:rFonts w:ascii="Times New Roman" w:eastAsia="Calibri" w:hAnsi="Times New Roman"/>
          <w:color w:val="000000"/>
          <w:szCs w:val="24"/>
        </w:rPr>
        <w:tab/>
      </w:r>
      <w:proofErr w:type="spellStart"/>
      <w:r w:rsidR="00430175" w:rsidRPr="00BF0E38">
        <w:rPr>
          <w:rFonts w:ascii="Times New Roman" w:eastAsia="Calibri" w:hAnsi="Times New Roman"/>
          <w:color w:val="000000"/>
          <w:szCs w:val="24"/>
        </w:rPr>
        <w:t>Iekšlietu</w:t>
      </w:r>
      <w:proofErr w:type="spellEnd"/>
      <w:r w:rsidR="00430175" w:rsidRPr="00BF0E38">
        <w:rPr>
          <w:rFonts w:ascii="Times New Roman" w:eastAsia="Calibri" w:hAnsi="Times New Roman"/>
          <w:color w:val="000000"/>
          <w:szCs w:val="24"/>
        </w:rPr>
        <w:t xml:space="preserve"> ministrija</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Ietvara likums</w:t>
      </w:r>
      <w:r w:rsidRPr="00BF0E38">
        <w:rPr>
          <w:rFonts w:ascii="Times New Roman" w:eastAsia="Calibri" w:hAnsi="Times New Roman"/>
          <w:color w:val="000000"/>
          <w:szCs w:val="24"/>
        </w:rPr>
        <w:tab/>
      </w:r>
      <w:r w:rsidRPr="00BF0E38">
        <w:rPr>
          <w:rFonts w:ascii="Times New Roman" w:eastAsia="Calibri" w:hAnsi="Times New Roman"/>
          <w:color w:val="000000"/>
          <w:szCs w:val="24"/>
        </w:rPr>
        <w:tab/>
        <w:t>Vidēja termiņa budžeta ietvara likums</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IIN</w:t>
      </w:r>
      <w:r w:rsidRPr="00BF0E38">
        <w:rPr>
          <w:rFonts w:ascii="Times New Roman" w:eastAsia="Calibri" w:hAnsi="Times New Roman"/>
          <w:color w:val="000000"/>
          <w:szCs w:val="24"/>
        </w:rPr>
        <w:tab/>
      </w:r>
      <w:r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Pr="00BF0E38">
        <w:rPr>
          <w:rFonts w:ascii="Times New Roman" w:eastAsia="Calibri" w:hAnsi="Times New Roman"/>
          <w:color w:val="000000"/>
          <w:szCs w:val="24"/>
        </w:rPr>
        <w:t>Iedzīvotāju ienākumu nodoklis</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IKP</w:t>
      </w:r>
      <w:r w:rsidRPr="00BF0E38">
        <w:rPr>
          <w:rFonts w:ascii="Times New Roman" w:eastAsia="Calibri" w:hAnsi="Times New Roman"/>
          <w:color w:val="000000"/>
          <w:szCs w:val="24"/>
        </w:rPr>
        <w:tab/>
      </w:r>
      <w:r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Pr="00BF0E38">
        <w:rPr>
          <w:rFonts w:ascii="Times New Roman" w:eastAsia="Calibri" w:hAnsi="Times New Roman"/>
          <w:color w:val="000000"/>
          <w:szCs w:val="24"/>
        </w:rPr>
        <w:t>Iekšzemes kopprodukts</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IZM</w:t>
      </w:r>
      <w:r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Pr="00BF0E38">
        <w:rPr>
          <w:rFonts w:ascii="Times New Roman" w:eastAsia="Calibri" w:hAnsi="Times New Roman"/>
          <w:color w:val="000000"/>
          <w:szCs w:val="24"/>
        </w:rPr>
        <w:t>Izglītības un zinātnes ministrija</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 xml:space="preserve">KNAB </w:t>
      </w:r>
      <w:r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Pr="00BF0E38">
        <w:rPr>
          <w:rFonts w:ascii="Times New Roman" w:eastAsia="Calibri" w:hAnsi="Times New Roman"/>
          <w:color w:val="000000"/>
          <w:szCs w:val="24"/>
        </w:rPr>
        <w:t xml:space="preserve">Korupcijas novēršanas un apkarošanas birojs </w:t>
      </w:r>
    </w:p>
    <w:p w:rsidR="00FA2036" w:rsidRPr="00BF0E38" w:rsidRDefault="00FA2036"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LM</w:t>
      </w:r>
      <w:r w:rsidRPr="00BF0E38">
        <w:rPr>
          <w:rFonts w:ascii="Times New Roman" w:eastAsia="Calibri" w:hAnsi="Times New Roman"/>
          <w:color w:val="000000"/>
          <w:szCs w:val="24"/>
        </w:rPr>
        <w:tab/>
      </w:r>
      <w:r w:rsidRPr="00BF0E38">
        <w:rPr>
          <w:rFonts w:ascii="Times New Roman" w:eastAsia="Calibri" w:hAnsi="Times New Roman"/>
          <w:color w:val="000000"/>
          <w:szCs w:val="24"/>
        </w:rPr>
        <w:tab/>
      </w:r>
      <w:r w:rsidRPr="00BF0E38">
        <w:rPr>
          <w:rFonts w:ascii="Times New Roman" w:eastAsia="Calibri" w:hAnsi="Times New Roman"/>
          <w:color w:val="000000"/>
          <w:szCs w:val="24"/>
        </w:rPr>
        <w:tab/>
        <w:t>Labklājības ministrija</w:t>
      </w:r>
    </w:p>
    <w:p w:rsidR="000E6165" w:rsidRPr="00BF0E38" w:rsidRDefault="000E6165" w:rsidP="000E6165">
      <w:pPr>
        <w:pStyle w:val="teksts"/>
        <w:spacing w:after="0"/>
        <w:rPr>
          <w:rFonts w:ascii="Times New Roman" w:eastAsia="Calibri" w:hAnsi="Times New Roman"/>
          <w:color w:val="000000"/>
          <w:szCs w:val="24"/>
        </w:rPr>
      </w:pPr>
      <w:r w:rsidRPr="00BF0E38">
        <w:rPr>
          <w:rFonts w:ascii="Times New Roman" w:eastAsia="Calibri" w:hAnsi="Times New Roman"/>
          <w:color w:val="000000"/>
          <w:szCs w:val="24"/>
        </w:rPr>
        <w:t>MK</w:t>
      </w:r>
      <w:r w:rsidRPr="00BF0E38">
        <w:rPr>
          <w:rFonts w:ascii="Times New Roman" w:eastAsia="Calibri" w:hAnsi="Times New Roman"/>
          <w:color w:val="000000"/>
          <w:szCs w:val="24"/>
        </w:rPr>
        <w:tab/>
      </w:r>
      <w:r w:rsidRPr="00BF0E38">
        <w:rPr>
          <w:rFonts w:ascii="Times New Roman" w:eastAsia="Calibri" w:hAnsi="Times New Roman"/>
          <w:color w:val="000000"/>
          <w:szCs w:val="24"/>
        </w:rPr>
        <w:tab/>
      </w:r>
      <w:r w:rsidR="005D41CC" w:rsidRPr="00BF0E38">
        <w:rPr>
          <w:rFonts w:ascii="Times New Roman" w:eastAsia="Calibri" w:hAnsi="Times New Roman"/>
          <w:color w:val="000000"/>
          <w:szCs w:val="24"/>
        </w:rPr>
        <w:tab/>
      </w:r>
      <w:r w:rsidRPr="00BF0E38">
        <w:rPr>
          <w:rFonts w:ascii="Times New Roman" w:eastAsia="Calibri" w:hAnsi="Times New Roman"/>
          <w:color w:val="000000"/>
          <w:szCs w:val="24"/>
        </w:rPr>
        <w:t>Ministru kabinets</w:t>
      </w:r>
    </w:p>
    <w:p w:rsidR="00440269" w:rsidRPr="00C93F6B" w:rsidRDefault="00440269" w:rsidP="000E6165">
      <w:pPr>
        <w:pStyle w:val="teksts"/>
        <w:spacing w:after="0"/>
        <w:rPr>
          <w:rFonts w:ascii="Times New Roman" w:eastAsia="Calibri" w:hAnsi="Times New Roman"/>
          <w:color w:val="000000"/>
          <w:szCs w:val="24"/>
        </w:rPr>
      </w:pPr>
      <w:r w:rsidRPr="007A6D73">
        <w:rPr>
          <w:rFonts w:ascii="Times New Roman" w:eastAsia="Calibri" w:hAnsi="Times New Roman"/>
          <w:color w:val="000000"/>
          <w:szCs w:val="24"/>
        </w:rPr>
        <w:t>MUN</w:t>
      </w:r>
      <w:r w:rsidRPr="00C93F6B">
        <w:tab/>
      </w:r>
      <w:r w:rsidRPr="00C93F6B">
        <w:tab/>
      </w:r>
      <w:r w:rsidRPr="00C93F6B">
        <w:tab/>
      </w:r>
      <w:proofErr w:type="spellStart"/>
      <w:r w:rsidRPr="00C93F6B">
        <w:rPr>
          <w:rFonts w:ascii="Times New Roman" w:eastAsia="Calibri" w:hAnsi="Times New Roman"/>
          <w:color w:val="000000"/>
          <w:szCs w:val="24"/>
        </w:rPr>
        <w:t>Mikrouzņēmumu</w:t>
      </w:r>
      <w:proofErr w:type="spellEnd"/>
      <w:r w:rsidRPr="00C93F6B">
        <w:rPr>
          <w:rFonts w:ascii="Times New Roman" w:eastAsia="Calibri" w:hAnsi="Times New Roman"/>
          <w:color w:val="000000"/>
          <w:szCs w:val="24"/>
        </w:rPr>
        <w:t xml:space="preserve"> nodoklis</w:t>
      </w:r>
    </w:p>
    <w:p w:rsidR="0035710E" w:rsidRPr="006B22C1" w:rsidRDefault="00EE6214" w:rsidP="0026605B">
      <w:pPr>
        <w:spacing w:after="0"/>
        <w:ind w:firstLine="0"/>
        <w:rPr>
          <w:color w:val="000000" w:themeColor="text1"/>
          <w:szCs w:val="24"/>
        </w:rPr>
      </w:pPr>
      <w:r w:rsidRPr="006B22C1">
        <w:rPr>
          <w:color w:val="000000" w:themeColor="text1"/>
          <w:szCs w:val="24"/>
        </w:rPr>
        <w:t>OECD</w:t>
      </w:r>
      <w:r w:rsidR="0035710E" w:rsidRPr="006B22C1">
        <w:rPr>
          <w:color w:val="000000" w:themeColor="text1"/>
          <w:szCs w:val="24"/>
        </w:rPr>
        <w:tab/>
      </w:r>
      <w:r w:rsidR="0035710E" w:rsidRPr="006B22C1">
        <w:rPr>
          <w:color w:val="000000" w:themeColor="text1"/>
          <w:szCs w:val="24"/>
        </w:rPr>
        <w:tab/>
      </w:r>
      <w:r w:rsidR="0035710E" w:rsidRPr="006B22C1">
        <w:rPr>
          <w:color w:val="000000" w:themeColor="text1"/>
          <w:szCs w:val="24"/>
        </w:rPr>
        <w:tab/>
        <w:t>Ekonomiskās sadarbības un attīstības organizācija</w:t>
      </w:r>
    </w:p>
    <w:p w:rsidR="000E6165" w:rsidRPr="006B22C1" w:rsidRDefault="000E6165" w:rsidP="000E6165">
      <w:pPr>
        <w:pStyle w:val="teksts"/>
        <w:spacing w:after="0"/>
        <w:rPr>
          <w:rFonts w:ascii="Times New Roman" w:eastAsia="Calibri" w:hAnsi="Times New Roman"/>
          <w:color w:val="000000"/>
          <w:szCs w:val="24"/>
        </w:rPr>
      </w:pPr>
      <w:r w:rsidRPr="006B22C1">
        <w:rPr>
          <w:rFonts w:ascii="Times New Roman" w:eastAsia="Calibri" w:hAnsi="Times New Roman"/>
          <w:color w:val="000000"/>
          <w:szCs w:val="24"/>
        </w:rPr>
        <w:t>PVN</w:t>
      </w:r>
      <w:r w:rsidRPr="006B22C1">
        <w:rPr>
          <w:rFonts w:ascii="Times New Roman" w:eastAsia="Calibri" w:hAnsi="Times New Roman"/>
          <w:color w:val="000000"/>
          <w:szCs w:val="24"/>
        </w:rPr>
        <w:tab/>
      </w:r>
      <w:r w:rsidRPr="006B22C1">
        <w:rPr>
          <w:rFonts w:ascii="Times New Roman" w:eastAsia="Calibri" w:hAnsi="Times New Roman"/>
          <w:color w:val="000000"/>
          <w:szCs w:val="24"/>
        </w:rPr>
        <w:tab/>
      </w:r>
      <w:r w:rsidR="005D41CC" w:rsidRPr="006B22C1">
        <w:rPr>
          <w:rFonts w:ascii="Times New Roman" w:eastAsia="Calibri" w:hAnsi="Times New Roman"/>
          <w:color w:val="000000"/>
          <w:szCs w:val="24"/>
        </w:rPr>
        <w:tab/>
      </w:r>
      <w:r w:rsidRPr="006B22C1">
        <w:rPr>
          <w:rFonts w:ascii="Times New Roman" w:eastAsia="Calibri" w:hAnsi="Times New Roman"/>
          <w:color w:val="000000"/>
          <w:szCs w:val="24"/>
        </w:rPr>
        <w:t>Pievienotās vērtības nodoklis</w:t>
      </w:r>
    </w:p>
    <w:p w:rsidR="000E6165" w:rsidRPr="006B22C1" w:rsidRDefault="000E6165" w:rsidP="000E6165">
      <w:pPr>
        <w:pStyle w:val="teksts"/>
        <w:spacing w:after="0"/>
        <w:rPr>
          <w:rFonts w:ascii="Times New Roman" w:eastAsia="Calibri" w:hAnsi="Times New Roman"/>
          <w:color w:val="000000"/>
          <w:szCs w:val="24"/>
        </w:rPr>
      </w:pPr>
      <w:r w:rsidRPr="006B22C1">
        <w:rPr>
          <w:rFonts w:ascii="Times New Roman" w:eastAsia="Calibri" w:hAnsi="Times New Roman"/>
          <w:color w:val="000000"/>
          <w:szCs w:val="24"/>
        </w:rPr>
        <w:t>SAM</w:t>
      </w:r>
      <w:r w:rsidRPr="006B22C1">
        <w:rPr>
          <w:rFonts w:ascii="Times New Roman" w:eastAsia="Calibri" w:hAnsi="Times New Roman"/>
          <w:color w:val="000000"/>
          <w:szCs w:val="24"/>
        </w:rPr>
        <w:tab/>
      </w:r>
      <w:r w:rsidRPr="006B22C1">
        <w:rPr>
          <w:rFonts w:ascii="Times New Roman" w:eastAsia="Calibri" w:hAnsi="Times New Roman"/>
          <w:color w:val="000000"/>
          <w:szCs w:val="24"/>
        </w:rPr>
        <w:tab/>
      </w:r>
      <w:r w:rsidR="005D41CC" w:rsidRPr="006B22C1">
        <w:rPr>
          <w:rFonts w:ascii="Times New Roman" w:eastAsia="Calibri" w:hAnsi="Times New Roman"/>
          <w:color w:val="000000"/>
          <w:szCs w:val="24"/>
        </w:rPr>
        <w:tab/>
      </w:r>
      <w:r w:rsidRPr="006B22C1">
        <w:rPr>
          <w:rFonts w:ascii="Times New Roman" w:eastAsia="Calibri" w:hAnsi="Times New Roman"/>
          <w:color w:val="000000"/>
          <w:szCs w:val="24"/>
        </w:rPr>
        <w:t>Specifiskā atbalsta mērķis</w:t>
      </w:r>
    </w:p>
    <w:p w:rsidR="000E6165" w:rsidRPr="004F5836" w:rsidRDefault="000E6165" w:rsidP="000E6165">
      <w:pPr>
        <w:pStyle w:val="teksts"/>
        <w:spacing w:after="0"/>
        <w:rPr>
          <w:rFonts w:ascii="Times New Roman" w:eastAsia="Calibri" w:hAnsi="Times New Roman"/>
          <w:color w:val="000000"/>
          <w:szCs w:val="24"/>
        </w:rPr>
      </w:pPr>
      <w:r w:rsidRPr="004F5836">
        <w:rPr>
          <w:rFonts w:ascii="Times New Roman" w:eastAsia="Calibri" w:hAnsi="Times New Roman"/>
          <w:bCs/>
          <w:color w:val="000000"/>
          <w:szCs w:val="24"/>
        </w:rPr>
        <w:t>SEG</w:t>
      </w:r>
      <w:r w:rsidRPr="004F5836">
        <w:rPr>
          <w:rFonts w:ascii="Times New Roman" w:eastAsia="Calibri" w:hAnsi="Times New Roman"/>
          <w:bCs/>
          <w:color w:val="000000"/>
          <w:szCs w:val="24"/>
        </w:rPr>
        <w:tab/>
      </w:r>
      <w:r w:rsidR="005D41CC" w:rsidRPr="004F5836">
        <w:rPr>
          <w:rFonts w:ascii="Times New Roman" w:eastAsia="Calibri" w:hAnsi="Times New Roman"/>
          <w:bCs/>
          <w:color w:val="000000"/>
          <w:szCs w:val="24"/>
        </w:rPr>
        <w:tab/>
      </w:r>
      <w:r w:rsidR="005D41CC" w:rsidRPr="004F5836">
        <w:rPr>
          <w:rFonts w:ascii="Times New Roman" w:eastAsia="Calibri" w:hAnsi="Times New Roman"/>
          <w:bCs/>
          <w:color w:val="000000"/>
          <w:szCs w:val="24"/>
        </w:rPr>
        <w:tab/>
      </w:r>
      <w:r w:rsidRPr="004F5836">
        <w:rPr>
          <w:rFonts w:ascii="Times New Roman" w:eastAsia="Calibri" w:hAnsi="Times New Roman"/>
          <w:color w:val="000000"/>
          <w:szCs w:val="24"/>
        </w:rPr>
        <w:t>Siltumnīcefekta gāzes</w:t>
      </w:r>
    </w:p>
    <w:p w:rsidR="00D63F1B" w:rsidRPr="004F5836" w:rsidRDefault="00D63F1B" w:rsidP="00D63F1B">
      <w:pPr>
        <w:pStyle w:val="teksts"/>
        <w:tabs>
          <w:tab w:val="left" w:pos="2127"/>
        </w:tabs>
        <w:spacing w:after="0"/>
        <w:rPr>
          <w:rFonts w:ascii="Times New Roman" w:eastAsia="Calibri" w:hAnsi="Times New Roman"/>
          <w:color w:val="000000"/>
          <w:szCs w:val="24"/>
        </w:rPr>
      </w:pPr>
      <w:r w:rsidRPr="004F5836">
        <w:rPr>
          <w:rFonts w:ascii="Times New Roman" w:eastAsia="Calibri" w:hAnsi="Times New Roman"/>
          <w:color w:val="000000"/>
          <w:szCs w:val="24"/>
        </w:rPr>
        <w:t>SIP</w:t>
      </w:r>
      <w:r w:rsidRPr="004F5836">
        <w:rPr>
          <w:rFonts w:ascii="Times New Roman" w:eastAsia="Calibri" w:hAnsi="Times New Roman"/>
          <w:color w:val="000000"/>
          <w:szCs w:val="24"/>
        </w:rPr>
        <w:tab/>
      </w:r>
      <w:r w:rsidR="004F5836" w:rsidRPr="004F5836">
        <w:rPr>
          <w:rFonts w:ascii="Times New Roman" w:eastAsia="Calibri" w:hAnsi="Times New Roman"/>
          <w:color w:val="000000"/>
          <w:szCs w:val="24"/>
        </w:rPr>
        <w:t xml:space="preserve">Stabilitātes un izaugsmes </w:t>
      </w:r>
      <w:r w:rsidRPr="004F5836">
        <w:rPr>
          <w:rFonts w:ascii="Times New Roman" w:eastAsia="Calibri" w:hAnsi="Times New Roman"/>
          <w:color w:val="000000"/>
          <w:szCs w:val="24"/>
        </w:rPr>
        <w:t>pakts</w:t>
      </w:r>
    </w:p>
    <w:p w:rsidR="000E6165" w:rsidRPr="004F5836" w:rsidRDefault="000E6165" w:rsidP="000E6165">
      <w:pPr>
        <w:spacing w:after="0"/>
        <w:ind w:firstLine="0"/>
        <w:rPr>
          <w:color w:val="000000"/>
          <w:szCs w:val="24"/>
          <w:lang w:eastAsia="lv-LV"/>
        </w:rPr>
      </w:pPr>
      <w:r w:rsidRPr="004F5836">
        <w:rPr>
          <w:color w:val="000000"/>
          <w:szCs w:val="24"/>
          <w:lang w:eastAsia="lv-LV"/>
        </w:rPr>
        <w:t xml:space="preserve">SOC </w:t>
      </w:r>
      <w:r w:rsidR="005D41CC" w:rsidRPr="004F5836">
        <w:rPr>
          <w:color w:val="000000"/>
          <w:szCs w:val="24"/>
          <w:lang w:eastAsia="lv-LV"/>
        </w:rPr>
        <w:tab/>
      </w:r>
      <w:r w:rsidR="005D41CC" w:rsidRPr="004F5836">
        <w:rPr>
          <w:color w:val="000000"/>
          <w:szCs w:val="24"/>
          <w:lang w:eastAsia="lv-LV"/>
        </w:rPr>
        <w:tab/>
      </w:r>
      <w:r w:rsidR="005D41CC" w:rsidRPr="004F5836">
        <w:rPr>
          <w:color w:val="000000"/>
          <w:szCs w:val="24"/>
          <w:lang w:eastAsia="lv-LV"/>
        </w:rPr>
        <w:tab/>
        <w:t>S</w:t>
      </w:r>
      <w:r w:rsidR="008B627E" w:rsidRPr="004F5836">
        <w:rPr>
          <w:color w:val="000000"/>
          <w:szCs w:val="24"/>
          <w:lang w:eastAsia="lv-LV"/>
        </w:rPr>
        <w:t>ociālas apdrošināšanas iemaksas</w:t>
      </w:r>
    </w:p>
    <w:p w:rsidR="000E6165" w:rsidRPr="004F5836" w:rsidRDefault="000E6165" w:rsidP="00D61164">
      <w:pPr>
        <w:pStyle w:val="teksts"/>
        <w:spacing w:after="0"/>
        <w:ind w:left="2127" w:hanging="2171"/>
        <w:rPr>
          <w:rFonts w:ascii="Times New Roman" w:eastAsia="Calibri" w:hAnsi="Times New Roman"/>
          <w:color w:val="000000"/>
          <w:szCs w:val="24"/>
        </w:rPr>
      </w:pPr>
      <w:r w:rsidRPr="004F5836">
        <w:rPr>
          <w:rFonts w:ascii="Times New Roman" w:eastAsia="Calibri" w:hAnsi="Times New Roman"/>
          <w:color w:val="000000"/>
          <w:szCs w:val="24"/>
        </w:rPr>
        <w:t>STEM</w:t>
      </w:r>
      <w:r w:rsidRPr="004F5836">
        <w:rPr>
          <w:rFonts w:ascii="Times New Roman" w:eastAsia="Calibri" w:hAnsi="Times New Roman"/>
          <w:color w:val="000000"/>
          <w:szCs w:val="24"/>
        </w:rPr>
        <w:tab/>
      </w:r>
      <w:r w:rsidR="005D41CC" w:rsidRPr="004F5836">
        <w:rPr>
          <w:rFonts w:ascii="Times New Roman" w:eastAsia="Calibri" w:hAnsi="Times New Roman"/>
          <w:color w:val="000000"/>
          <w:szCs w:val="24"/>
        </w:rPr>
        <w:tab/>
      </w:r>
      <w:r w:rsidRPr="004F5836">
        <w:rPr>
          <w:rFonts w:ascii="Times New Roman" w:eastAsia="Calibri" w:hAnsi="Times New Roman"/>
          <w:color w:val="000000"/>
          <w:szCs w:val="24"/>
        </w:rPr>
        <w:t>Zinātne, tehnoloģijas, inženierzinātnes un matemātika (</w:t>
      </w:r>
      <w:proofErr w:type="spellStart"/>
      <w:r w:rsidR="00D61164" w:rsidRPr="004F5836">
        <w:rPr>
          <w:rFonts w:ascii="Times New Roman" w:eastAsia="Calibri" w:hAnsi="Times New Roman"/>
          <w:i/>
          <w:color w:val="000000"/>
          <w:szCs w:val="24"/>
        </w:rPr>
        <w:t>science</w:t>
      </w:r>
      <w:proofErr w:type="spellEnd"/>
      <w:r w:rsidR="00D61164" w:rsidRPr="004F5836">
        <w:rPr>
          <w:rFonts w:ascii="Times New Roman" w:eastAsia="Calibri" w:hAnsi="Times New Roman"/>
          <w:i/>
          <w:color w:val="000000"/>
          <w:szCs w:val="24"/>
        </w:rPr>
        <w:t xml:space="preserve">, </w:t>
      </w:r>
      <w:proofErr w:type="spellStart"/>
      <w:r w:rsidRPr="004F5836">
        <w:rPr>
          <w:rFonts w:ascii="Times New Roman" w:eastAsia="Calibri" w:hAnsi="Times New Roman"/>
          <w:i/>
          <w:color w:val="000000"/>
          <w:szCs w:val="24"/>
        </w:rPr>
        <w:t>technology</w:t>
      </w:r>
      <w:proofErr w:type="spellEnd"/>
      <w:r w:rsidRPr="004F5836">
        <w:rPr>
          <w:rFonts w:ascii="Times New Roman" w:eastAsia="Calibri" w:hAnsi="Times New Roman"/>
          <w:i/>
          <w:color w:val="000000"/>
          <w:szCs w:val="24"/>
        </w:rPr>
        <w:t xml:space="preserve">, </w:t>
      </w:r>
      <w:proofErr w:type="spellStart"/>
      <w:r w:rsidRPr="004F5836">
        <w:rPr>
          <w:rFonts w:ascii="Times New Roman" w:eastAsia="Calibri" w:hAnsi="Times New Roman"/>
          <w:i/>
          <w:color w:val="000000"/>
          <w:szCs w:val="24"/>
        </w:rPr>
        <w:t>engineering</w:t>
      </w:r>
      <w:proofErr w:type="spellEnd"/>
      <w:r w:rsidRPr="004F5836">
        <w:rPr>
          <w:rFonts w:ascii="Times New Roman" w:eastAsia="Calibri" w:hAnsi="Times New Roman"/>
          <w:i/>
          <w:color w:val="000000"/>
          <w:szCs w:val="24"/>
        </w:rPr>
        <w:t xml:space="preserve"> </w:t>
      </w:r>
      <w:proofErr w:type="spellStart"/>
      <w:r w:rsidRPr="004F5836">
        <w:rPr>
          <w:rFonts w:ascii="Times New Roman" w:eastAsia="Calibri" w:hAnsi="Times New Roman"/>
          <w:i/>
          <w:color w:val="000000"/>
          <w:szCs w:val="24"/>
        </w:rPr>
        <w:t>and</w:t>
      </w:r>
      <w:proofErr w:type="spellEnd"/>
      <w:r w:rsidRPr="004F5836">
        <w:rPr>
          <w:rFonts w:ascii="Times New Roman" w:eastAsia="Calibri" w:hAnsi="Times New Roman"/>
          <w:i/>
          <w:color w:val="000000"/>
          <w:szCs w:val="24"/>
        </w:rPr>
        <w:t xml:space="preserve"> </w:t>
      </w:r>
      <w:proofErr w:type="spellStart"/>
      <w:r w:rsidRPr="004F5836">
        <w:rPr>
          <w:rFonts w:ascii="Times New Roman" w:eastAsia="Calibri" w:hAnsi="Times New Roman"/>
          <w:i/>
          <w:color w:val="000000"/>
          <w:szCs w:val="24"/>
        </w:rPr>
        <w:t>mathematics</w:t>
      </w:r>
      <w:proofErr w:type="spellEnd"/>
      <w:r w:rsidRPr="004F5836">
        <w:rPr>
          <w:rFonts w:ascii="Times New Roman" w:eastAsia="Calibri" w:hAnsi="Times New Roman"/>
          <w:color w:val="000000"/>
          <w:szCs w:val="24"/>
        </w:rPr>
        <w:t>)</w:t>
      </w:r>
    </w:p>
    <w:p w:rsidR="000E6165" w:rsidRPr="00045B49" w:rsidRDefault="000E6165" w:rsidP="000E6165">
      <w:pPr>
        <w:pStyle w:val="teksts"/>
        <w:spacing w:after="0"/>
        <w:rPr>
          <w:rFonts w:ascii="Times New Roman" w:eastAsia="Calibri" w:hAnsi="Times New Roman"/>
          <w:color w:val="000000"/>
          <w:szCs w:val="24"/>
        </w:rPr>
      </w:pPr>
      <w:r w:rsidRPr="00045B49">
        <w:rPr>
          <w:rFonts w:ascii="Times New Roman" w:eastAsia="Calibri" w:hAnsi="Times New Roman"/>
          <w:color w:val="000000"/>
          <w:szCs w:val="24"/>
        </w:rPr>
        <w:t>UIN</w:t>
      </w:r>
      <w:r w:rsidRPr="00045B49">
        <w:rPr>
          <w:rFonts w:ascii="Times New Roman" w:eastAsia="Calibri" w:hAnsi="Times New Roman"/>
          <w:color w:val="000000"/>
          <w:szCs w:val="24"/>
        </w:rPr>
        <w:tab/>
      </w:r>
      <w:r w:rsidRPr="00045B49">
        <w:rPr>
          <w:rFonts w:ascii="Times New Roman" w:eastAsia="Calibri" w:hAnsi="Times New Roman"/>
          <w:color w:val="000000"/>
          <w:szCs w:val="24"/>
        </w:rPr>
        <w:tab/>
      </w:r>
      <w:r w:rsidR="005D41CC" w:rsidRPr="00045B49">
        <w:rPr>
          <w:rFonts w:ascii="Times New Roman" w:eastAsia="Calibri" w:hAnsi="Times New Roman"/>
          <w:color w:val="000000"/>
          <w:szCs w:val="24"/>
        </w:rPr>
        <w:tab/>
      </w:r>
      <w:r w:rsidRPr="00045B49">
        <w:rPr>
          <w:rFonts w:ascii="Times New Roman" w:eastAsia="Calibri" w:hAnsi="Times New Roman"/>
          <w:color w:val="000000"/>
          <w:szCs w:val="24"/>
        </w:rPr>
        <w:t>Uzņēmuma ienākumu nodoklis</w:t>
      </w:r>
    </w:p>
    <w:p w:rsidR="000E6165" w:rsidRPr="00045B49" w:rsidRDefault="005D41CC" w:rsidP="000E6165">
      <w:pPr>
        <w:spacing w:after="0"/>
        <w:ind w:firstLine="0"/>
        <w:rPr>
          <w:szCs w:val="24"/>
        </w:rPr>
      </w:pPr>
      <w:r w:rsidRPr="00045B49">
        <w:rPr>
          <w:szCs w:val="24"/>
        </w:rPr>
        <w:t>VAS</w:t>
      </w:r>
      <w:r w:rsidRPr="00045B49">
        <w:rPr>
          <w:szCs w:val="24"/>
        </w:rPr>
        <w:tab/>
      </w:r>
      <w:r w:rsidRPr="00045B49">
        <w:rPr>
          <w:szCs w:val="24"/>
        </w:rPr>
        <w:tab/>
      </w:r>
      <w:r w:rsidRPr="00045B49">
        <w:rPr>
          <w:szCs w:val="24"/>
        </w:rPr>
        <w:tab/>
      </w:r>
      <w:r w:rsidR="000E6165" w:rsidRPr="00045B49">
        <w:rPr>
          <w:szCs w:val="24"/>
        </w:rPr>
        <w:t>Valsts akciju sabiedrība</w:t>
      </w:r>
    </w:p>
    <w:p w:rsidR="00893AB6" w:rsidRPr="002726B3" w:rsidRDefault="00893AB6" w:rsidP="000E6165">
      <w:pPr>
        <w:spacing w:after="0"/>
        <w:ind w:firstLine="0"/>
        <w:rPr>
          <w:szCs w:val="24"/>
        </w:rPr>
      </w:pPr>
      <w:r w:rsidRPr="002726B3">
        <w:rPr>
          <w:szCs w:val="24"/>
        </w:rPr>
        <w:t>VID</w:t>
      </w:r>
      <w:r w:rsidRPr="002726B3">
        <w:rPr>
          <w:szCs w:val="24"/>
        </w:rPr>
        <w:tab/>
      </w:r>
      <w:r w:rsidRPr="002726B3">
        <w:rPr>
          <w:szCs w:val="24"/>
        </w:rPr>
        <w:tab/>
      </w:r>
      <w:r w:rsidRPr="002726B3">
        <w:rPr>
          <w:szCs w:val="24"/>
        </w:rPr>
        <w:tab/>
        <w:t>Valsts ieņēmumu dienests</w:t>
      </w:r>
    </w:p>
    <w:p w:rsidR="00001BA0" w:rsidRPr="002726B3" w:rsidRDefault="00001BA0" w:rsidP="000E6165">
      <w:pPr>
        <w:spacing w:after="0"/>
        <w:ind w:firstLine="0"/>
        <w:rPr>
          <w:szCs w:val="24"/>
        </w:rPr>
      </w:pPr>
      <w:r w:rsidRPr="002726B3">
        <w:rPr>
          <w:szCs w:val="24"/>
        </w:rPr>
        <w:t>VM</w:t>
      </w:r>
      <w:r w:rsidRPr="002726B3">
        <w:rPr>
          <w:szCs w:val="24"/>
        </w:rPr>
        <w:tab/>
      </w:r>
      <w:r w:rsidRPr="002726B3">
        <w:rPr>
          <w:szCs w:val="24"/>
        </w:rPr>
        <w:tab/>
      </w:r>
      <w:r w:rsidRPr="002726B3">
        <w:rPr>
          <w:szCs w:val="24"/>
        </w:rPr>
        <w:tab/>
        <w:t>Veselības ministrija</w:t>
      </w:r>
    </w:p>
    <w:p w:rsidR="00EE6214" w:rsidRPr="00480B66" w:rsidRDefault="00EE6214" w:rsidP="000E6165">
      <w:pPr>
        <w:spacing w:after="0"/>
        <w:ind w:firstLine="0"/>
        <w:rPr>
          <w:szCs w:val="24"/>
        </w:rPr>
      </w:pPr>
      <w:r w:rsidRPr="00480B66">
        <w:rPr>
          <w:szCs w:val="24"/>
        </w:rPr>
        <w:t>VSAA</w:t>
      </w:r>
      <w:r w:rsidRPr="00480B66">
        <w:rPr>
          <w:szCs w:val="24"/>
        </w:rPr>
        <w:tab/>
      </w:r>
      <w:r w:rsidRPr="00480B66">
        <w:rPr>
          <w:szCs w:val="24"/>
        </w:rPr>
        <w:tab/>
      </w:r>
      <w:r w:rsidRPr="00480B66">
        <w:rPr>
          <w:szCs w:val="24"/>
        </w:rPr>
        <w:tab/>
        <w:t>Valsts sociālās apdrošināšanas aģentūra</w:t>
      </w:r>
    </w:p>
    <w:p w:rsidR="00005C7D" w:rsidRPr="00480B66" w:rsidRDefault="00005C7D" w:rsidP="00005C7D">
      <w:pPr>
        <w:spacing w:after="0"/>
        <w:ind w:firstLine="0"/>
        <w:rPr>
          <w:szCs w:val="24"/>
        </w:rPr>
      </w:pPr>
      <w:r w:rsidRPr="00480B66">
        <w:rPr>
          <w:szCs w:val="24"/>
        </w:rPr>
        <w:t>VSAOI</w:t>
      </w:r>
      <w:r w:rsidRPr="00480B66">
        <w:rPr>
          <w:szCs w:val="24"/>
        </w:rPr>
        <w:tab/>
      </w:r>
      <w:r w:rsidRPr="00480B66">
        <w:rPr>
          <w:szCs w:val="24"/>
        </w:rPr>
        <w:tab/>
        <w:t>Valsts sociālās apdrošināšanas obligātās iemaksas</w:t>
      </w:r>
    </w:p>
    <w:p w:rsidR="00AA720B" w:rsidRPr="00BF5371" w:rsidRDefault="00AA720B" w:rsidP="00DA2011">
      <w:pPr>
        <w:pStyle w:val="Heading1"/>
        <w:tabs>
          <w:tab w:val="left" w:pos="1276"/>
        </w:tabs>
        <w:spacing w:before="0" w:after="240"/>
        <w:jc w:val="center"/>
        <w:rPr>
          <w:rFonts w:ascii="Times New Roman" w:hAnsi="Times New Roman"/>
          <w:color w:val="18185E"/>
          <w:sz w:val="28"/>
          <w:highlight w:val="yellow"/>
        </w:rPr>
      </w:pPr>
    </w:p>
    <w:p w:rsidR="00243A27" w:rsidRPr="00BF5371" w:rsidRDefault="00243A27" w:rsidP="00243A27">
      <w:pPr>
        <w:rPr>
          <w:highlight w:val="yellow"/>
          <w:lang w:val="x-none" w:eastAsia="x-none"/>
        </w:rPr>
        <w:sectPr w:rsidR="00243A27" w:rsidRPr="00BF5371"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p>
    <w:p w:rsidR="001F5AEA" w:rsidRPr="00CF09EA" w:rsidRDefault="001F5AEA" w:rsidP="00DA2011">
      <w:pPr>
        <w:pStyle w:val="Heading1"/>
        <w:tabs>
          <w:tab w:val="left" w:pos="1276"/>
        </w:tabs>
        <w:spacing w:before="0" w:after="240"/>
        <w:jc w:val="center"/>
        <w:rPr>
          <w:rFonts w:ascii="Times New Roman" w:hAnsi="Times New Roman"/>
          <w:color w:val="18185E"/>
        </w:rPr>
      </w:pPr>
      <w:bookmarkStart w:id="2" w:name="_Toc53388918"/>
      <w:r w:rsidRPr="00CF09EA">
        <w:rPr>
          <w:rFonts w:ascii="Times New Roman" w:hAnsi="Times New Roman"/>
          <w:color w:val="18185E"/>
          <w:sz w:val="28"/>
        </w:rPr>
        <w:lastRenderedPageBreak/>
        <w:t>Ievads</w:t>
      </w:r>
      <w:bookmarkEnd w:id="2"/>
    </w:p>
    <w:p w:rsidR="007E3339" w:rsidRPr="007E3339" w:rsidRDefault="007E3339" w:rsidP="007E3339">
      <w:pPr>
        <w:pStyle w:val="teksts"/>
        <w:spacing w:after="0"/>
        <w:ind w:firstLine="720"/>
        <w:rPr>
          <w:rFonts w:ascii="Times New Roman" w:eastAsiaTheme="minorHAnsi" w:hAnsi="Times New Roman"/>
          <w:szCs w:val="24"/>
        </w:rPr>
      </w:pPr>
      <w:r w:rsidRPr="007E3339">
        <w:rPr>
          <w:rFonts w:ascii="Times New Roman" w:eastAsiaTheme="minorHAnsi" w:hAnsi="Times New Roman"/>
          <w:szCs w:val="24"/>
        </w:rPr>
        <w:t>Latvijas Republika iesniedz Vispārējās valdības budžeta plāna projektu 2021.gadam.</w:t>
      </w:r>
    </w:p>
    <w:p w:rsidR="007E3339" w:rsidRPr="007E3339" w:rsidRDefault="007E3339" w:rsidP="007E3339">
      <w:pPr>
        <w:pStyle w:val="teksts"/>
        <w:spacing w:after="0"/>
        <w:ind w:firstLine="720"/>
        <w:rPr>
          <w:rFonts w:ascii="Times New Roman" w:eastAsiaTheme="minorHAnsi" w:hAnsi="Times New Roman"/>
          <w:szCs w:val="24"/>
        </w:rPr>
      </w:pPr>
      <w:r w:rsidRPr="007E3339">
        <w:rPr>
          <w:rFonts w:ascii="Times New Roman" w:eastAsiaTheme="minorHAnsi" w:hAnsi="Times New Roman"/>
          <w:szCs w:val="24"/>
        </w:rPr>
        <w:t xml:space="preserve">Vispārējās valdības budžeta plāna projekts 2021.gadam ir sagatavots bastoties uz š.g. jūnijā izstrādāto makroekonomiskās attīstības scenāriju, kas </w:t>
      </w:r>
      <w:r w:rsidRPr="007E3339">
        <w:rPr>
          <w:rFonts w:ascii="Times New Roman" w:hAnsi="Times New Roman"/>
          <w:szCs w:val="24"/>
        </w:rPr>
        <w:t xml:space="preserve">2021.gadam paredz IKP pieaugumu 5,1% apmērā. Fiskālās attīstības scenārijs 2021.gadam ietver scenāriju pie nemainīgas politikas, kā arī mainīgas politikas </w:t>
      </w:r>
      <w:r w:rsidR="00DD4CB4">
        <w:rPr>
          <w:rFonts w:ascii="Times New Roman" w:hAnsi="Times New Roman"/>
          <w:szCs w:val="24"/>
        </w:rPr>
        <w:t xml:space="preserve">scenāriju, kurā ietverti MK </w:t>
      </w:r>
      <w:r w:rsidRPr="007E3339">
        <w:rPr>
          <w:rFonts w:ascii="Times New Roman" w:hAnsi="Times New Roman"/>
          <w:szCs w:val="24"/>
        </w:rPr>
        <w:t xml:space="preserve">pieņemtie </w:t>
      </w:r>
      <w:proofErr w:type="spellStart"/>
      <w:r w:rsidRPr="007E3339">
        <w:rPr>
          <w:rFonts w:ascii="Times New Roman" w:hAnsi="Times New Roman"/>
          <w:szCs w:val="24"/>
        </w:rPr>
        <w:t>diskrecionārie</w:t>
      </w:r>
      <w:proofErr w:type="spellEnd"/>
      <w:r w:rsidRPr="007E3339">
        <w:rPr>
          <w:rFonts w:ascii="Times New Roman" w:hAnsi="Times New Roman"/>
          <w:szCs w:val="24"/>
        </w:rPr>
        <w:t xml:space="preserve"> ieņēmumu un izdevumu pasākumi. 2021.gada budžets ir sagatavots, prognozējot, ka </w:t>
      </w:r>
      <w:r w:rsidRPr="007E3339">
        <w:rPr>
          <w:rFonts w:ascii="Times New Roman" w:eastAsiaTheme="minorHAnsi" w:hAnsi="Times New Roman"/>
          <w:szCs w:val="24"/>
        </w:rPr>
        <w:t>vispārējās valdības</w:t>
      </w:r>
      <w:r w:rsidR="00DD4CB4">
        <w:rPr>
          <w:rFonts w:ascii="Times New Roman" w:eastAsiaTheme="minorHAnsi" w:hAnsi="Times New Roman"/>
          <w:szCs w:val="24"/>
        </w:rPr>
        <w:t xml:space="preserve"> budžeta</w:t>
      </w:r>
      <w:r w:rsidRPr="007E3339">
        <w:rPr>
          <w:rFonts w:ascii="Times New Roman" w:eastAsiaTheme="minorHAnsi" w:hAnsi="Times New Roman"/>
          <w:szCs w:val="24"/>
        </w:rPr>
        <w:t xml:space="preserve"> nominālais deficīts 2021.gadā ir 3,9 % no IKP.</w:t>
      </w:r>
    </w:p>
    <w:p w:rsidR="007E3339" w:rsidRPr="00CF09EA" w:rsidRDefault="007E3339" w:rsidP="007E3339">
      <w:pPr>
        <w:pStyle w:val="teksts"/>
        <w:spacing w:after="0"/>
        <w:ind w:firstLine="720"/>
        <w:rPr>
          <w:rFonts w:ascii="Times New Roman" w:eastAsiaTheme="minorHAnsi" w:hAnsi="Times New Roman"/>
          <w:szCs w:val="24"/>
        </w:rPr>
      </w:pPr>
      <w:r w:rsidRPr="007E3339">
        <w:rPr>
          <w:rFonts w:ascii="Times New Roman" w:eastAsiaTheme="minorHAnsi" w:hAnsi="Times New Roman"/>
          <w:szCs w:val="24"/>
        </w:rPr>
        <w:t>Vispārējās valdības budžeta plāna projektu 2021.gadam š.g. 13.oktobrī ir apstiprinājis MK.</w:t>
      </w:r>
    </w:p>
    <w:p w:rsidR="0095691A" w:rsidRPr="00BF5371" w:rsidRDefault="001F5AEA" w:rsidP="000448AD">
      <w:pPr>
        <w:pStyle w:val="Heading1"/>
        <w:tabs>
          <w:tab w:val="left" w:pos="1276"/>
        </w:tabs>
        <w:spacing w:before="0" w:after="240"/>
        <w:ind w:firstLine="0"/>
        <w:jc w:val="center"/>
        <w:rPr>
          <w:rFonts w:ascii="Times New Roman" w:hAnsi="Times New Roman"/>
          <w:color w:val="18185E"/>
          <w:sz w:val="28"/>
          <w:highlight w:val="yellow"/>
        </w:rPr>
      </w:pPr>
      <w:r w:rsidRPr="00BF5371">
        <w:rPr>
          <w:rFonts w:eastAsia="Calibri"/>
          <w:b w:val="0"/>
          <w:color w:val="000000"/>
          <w:highlight w:val="yellow"/>
        </w:rPr>
        <w:br w:type="page"/>
      </w:r>
      <w:bookmarkStart w:id="3" w:name="_Toc53388919"/>
      <w:r w:rsidRPr="00E81E9A">
        <w:rPr>
          <w:rFonts w:ascii="Times New Roman" w:hAnsi="Times New Roman"/>
          <w:color w:val="18185E"/>
          <w:sz w:val="28"/>
        </w:rPr>
        <w:lastRenderedPageBreak/>
        <w:t>Makroekonomiskās attīstības scenārijs</w:t>
      </w:r>
      <w:bookmarkEnd w:id="3"/>
    </w:p>
    <w:p w:rsidR="00E81E9A" w:rsidRPr="00500638" w:rsidRDefault="00E81E9A" w:rsidP="00E81E9A">
      <w:pPr>
        <w:spacing w:after="0"/>
        <w:ind w:firstLine="720"/>
        <w:rPr>
          <w:szCs w:val="24"/>
        </w:rPr>
      </w:pPr>
      <w:r w:rsidRPr="00500638">
        <w:rPr>
          <w:szCs w:val="24"/>
        </w:rPr>
        <w:t>Vidēja termiņa makroekonomiskās attīstības scenārijs 2020.</w:t>
      </w:r>
      <w:r w:rsidR="005657AF" w:rsidRPr="00500638">
        <w:rPr>
          <w:szCs w:val="24"/>
        </w:rPr>
        <w:t>–</w:t>
      </w:r>
      <w:r w:rsidRPr="00500638">
        <w:rPr>
          <w:szCs w:val="24"/>
        </w:rPr>
        <w:t>2023.gadam izstrādāts 2020.gada jūnijā, balstoties uz konservatīviem pieņēmumiem, ņemot vērā 2020.gada pirmā ceturkšņa IKP datus un līdz 2020.gada jūnijam pieejamo īstermiņa makroekonomisko informāciju, kā arī valdības apstiprinātos atbalsta pasākumus Covid-19 izraisītās krīzes seku mazināšanai tautsaimniecībā.</w:t>
      </w:r>
    </w:p>
    <w:p w:rsidR="00E81E9A" w:rsidRPr="00500638" w:rsidRDefault="00E81E9A" w:rsidP="00E81E9A">
      <w:pPr>
        <w:spacing w:after="0"/>
        <w:ind w:firstLine="720"/>
        <w:rPr>
          <w:szCs w:val="24"/>
        </w:rPr>
      </w:pPr>
      <w:r w:rsidRPr="00500638">
        <w:rPr>
          <w:szCs w:val="24"/>
        </w:rPr>
        <w:t>Izstrādājot vidēja termiņa makroekonomiskās attīstības scenāriju, FM ir konsultējusies ar Starptautiskā Valūtas fonda un EK ekspertiem. Makroekonomisko rādītāju prognozes ir saskaņotas ar Latvijas Banku un E</w:t>
      </w:r>
      <w:r w:rsidR="006A4D6F">
        <w:rPr>
          <w:szCs w:val="24"/>
        </w:rPr>
        <w:t>M</w:t>
      </w:r>
      <w:r w:rsidRPr="00500638">
        <w:rPr>
          <w:szCs w:val="24"/>
        </w:rPr>
        <w:t>, kā arī tās 15.jūnijā ir apstiprinājusi Fiskālās disciplīnas padome.</w:t>
      </w:r>
    </w:p>
    <w:p w:rsidR="00E81E9A" w:rsidRDefault="00E81E9A" w:rsidP="00E81E9A">
      <w:pPr>
        <w:spacing w:after="0"/>
        <w:ind w:firstLine="720"/>
        <w:rPr>
          <w:szCs w:val="24"/>
        </w:rPr>
      </w:pPr>
      <w:r w:rsidRPr="006B5818">
        <w:rPr>
          <w:szCs w:val="24"/>
        </w:rPr>
        <w:t xml:space="preserve">Atbilstoši atjaunotajam makroekonomiskās attīstības scenārijam, Latvijas </w:t>
      </w:r>
      <w:r w:rsidR="005657AF">
        <w:rPr>
          <w:szCs w:val="24"/>
        </w:rPr>
        <w:t>IKP</w:t>
      </w:r>
      <w:r w:rsidRPr="006B5818">
        <w:rPr>
          <w:szCs w:val="24"/>
        </w:rPr>
        <w:t xml:space="preserve"> šogad samazināsies par 7,0%. Šis IKP kritums ir tāds pats, kā FM aprīlī izstrādātajā scenārijā, sagatavojot Latvijas Stabilitātes programmu 2020.</w:t>
      </w:r>
      <w:r w:rsidR="005657AF" w:rsidRPr="00500638">
        <w:rPr>
          <w:szCs w:val="24"/>
        </w:rPr>
        <w:t>–</w:t>
      </w:r>
      <w:r w:rsidRPr="006B5818">
        <w:rPr>
          <w:szCs w:val="24"/>
        </w:rPr>
        <w:t xml:space="preserve">2023.gadam, taču ir mainījušās prognozes pa IKP komponentēm no izlietojuma un ienākumu puses. 2021.gadā Latvijas </w:t>
      </w:r>
      <w:r w:rsidR="0088069E">
        <w:rPr>
          <w:szCs w:val="24"/>
        </w:rPr>
        <w:t>IKP</w:t>
      </w:r>
      <w:r w:rsidRPr="006B5818">
        <w:rPr>
          <w:szCs w:val="24"/>
        </w:rPr>
        <w:t xml:space="preserve"> palielināsies par 5,1%, kas ir par 4,1 procentpunktu vairāk nekā iepriekšējā prognoze. Savukārt 2022. un 2023.gadā IKP palielināsies par 3,1%, kas attiecīgi ir par 0,4</w:t>
      </w:r>
      <w:r w:rsidR="005657AF" w:rsidRPr="00A70F3E">
        <w:rPr>
          <w:szCs w:val="24"/>
          <w:lang w:eastAsia="lv-LV"/>
        </w:rPr>
        <w:t> </w:t>
      </w:r>
      <w:r w:rsidRPr="006B5818">
        <w:rPr>
          <w:szCs w:val="24"/>
        </w:rPr>
        <w:t>procentpunktiem mazāk un par 0,7 procentpunktiem vairāk nekā iepriekšējās prognozēs.</w:t>
      </w:r>
    </w:p>
    <w:p w:rsidR="00E81E9A" w:rsidRPr="00500638" w:rsidRDefault="00E81E9A" w:rsidP="00E81E9A">
      <w:pPr>
        <w:spacing w:after="0"/>
        <w:ind w:firstLine="720"/>
        <w:rPr>
          <w:szCs w:val="24"/>
        </w:rPr>
      </w:pPr>
      <w:r w:rsidRPr="00500638">
        <w:rPr>
          <w:szCs w:val="24"/>
        </w:rPr>
        <w:t>Makroekonomiskās attīstības scenārijs balstās uz pieņēmumu, ka Covid-19 pandēmija 2020.gada pirmajā pusē tiek ierobežota un pēc tam ekonomiskā aktivitāte pasaulē un Latvijā pakāpeniski atjaunojas. Šāds pieņēmums bija pamatā visu starptautisko institūciju makroekonomikas prognozēm, kas balstījās uz Covid-19 izplatības dinamikas pēdējiem datiem. Scenārijs paredz, ka pēc 1,5% lejupslīdes 2020.gada pirmajā ceturksnī, otrajā ceturksnī Latvijas ekonomika piedzīvo krasu kritumu līdz zemākajam punktam un pēc tam aktivitātes līmenis sāk atjaunoties. Trešajā un ceturksnī samazinājumi gada griezumā prognozēti aptuveni uz pusi</w:t>
      </w:r>
      <w:r w:rsidR="00E9602B">
        <w:rPr>
          <w:szCs w:val="24"/>
        </w:rPr>
        <w:t xml:space="preserve"> mazāki nekā </w:t>
      </w:r>
      <w:r w:rsidR="005657AF">
        <w:rPr>
          <w:szCs w:val="24"/>
        </w:rPr>
        <w:t>otrajā ceturksnī.</w:t>
      </w:r>
      <w:r w:rsidRPr="00500638">
        <w:rPr>
          <w:szCs w:val="24"/>
        </w:rPr>
        <w:t xml:space="preserve"> Krīzes smagāk skartajās nozarēs </w:t>
      </w:r>
      <w:r w:rsidR="005657AF" w:rsidRPr="00500638">
        <w:rPr>
          <w:szCs w:val="24"/>
        </w:rPr>
        <w:t>–</w:t>
      </w:r>
      <w:r w:rsidR="005657AF">
        <w:rPr>
          <w:szCs w:val="24"/>
          <w:lang w:eastAsia="lv-LV"/>
        </w:rPr>
        <w:t xml:space="preserve"> </w:t>
      </w:r>
      <w:r w:rsidRPr="00500638">
        <w:rPr>
          <w:szCs w:val="24"/>
        </w:rPr>
        <w:t>transportā, izmitināšanā un ēdināšanā, mākslas, izklaides un atpūtas nozarē, profesionālo pakalpojumu nozarē izlaides apjomi līdz 2020.gada beigām neatgriežas 2019.gada līmenī.</w:t>
      </w:r>
    </w:p>
    <w:p w:rsidR="00E81E9A" w:rsidRPr="00500638" w:rsidRDefault="00E81E9A" w:rsidP="00E81E9A">
      <w:pPr>
        <w:spacing w:after="0"/>
        <w:ind w:firstLine="720"/>
        <w:rPr>
          <w:szCs w:val="24"/>
        </w:rPr>
      </w:pPr>
      <w:r w:rsidRPr="00500638">
        <w:rPr>
          <w:szCs w:val="24"/>
        </w:rPr>
        <w:t>Nākamajos gados ekonomikas izaugsme pakāpeniski atjaunosies, IKP pieaugumam 2021.gadā veidojot 5,1%</w:t>
      </w:r>
      <w:r w:rsidR="00C81901">
        <w:rPr>
          <w:szCs w:val="24"/>
        </w:rPr>
        <w:t>,</w:t>
      </w:r>
      <w:r w:rsidRPr="00500638">
        <w:rPr>
          <w:szCs w:val="24"/>
        </w:rPr>
        <w:t xml:space="preserve"> tomēr IKP vēl neatgriežoties 2019.gada līmenī un to pārsniedzot tikai 2022.gadā, kad tāpat kā 2023.gadā, prognozēta ekonomikas izaugsme 3,1% apmērā.</w:t>
      </w:r>
    </w:p>
    <w:p w:rsidR="00E81E9A" w:rsidRDefault="00E81E9A" w:rsidP="00E81E9A">
      <w:pPr>
        <w:spacing w:after="0"/>
        <w:ind w:firstLine="720"/>
        <w:rPr>
          <w:szCs w:val="24"/>
        </w:rPr>
      </w:pPr>
      <w:r w:rsidRPr="00500638">
        <w:rPr>
          <w:szCs w:val="24"/>
        </w:rPr>
        <w:t>Gada vidējā inflācija 2020.gadā prognozēta 0,2% un 2021.gadā 1,2% līmenī. Salīdzinājumā ar Latvijas Stabilitātes programmas 2020.</w:t>
      </w:r>
      <w:r w:rsidR="005657AF" w:rsidRPr="00500638">
        <w:rPr>
          <w:szCs w:val="24"/>
        </w:rPr>
        <w:t>–</w:t>
      </w:r>
      <w:r w:rsidRPr="00500638">
        <w:rPr>
          <w:szCs w:val="24"/>
        </w:rPr>
        <w:t>2023.gadam prognozēm inflācijas prognoze 2020.gadam ir samazināta par 0,2 procentpunktiem un 2021.gadam – par 0,5</w:t>
      </w:r>
      <w:r w:rsidR="005657AF" w:rsidRPr="00A70F3E">
        <w:rPr>
          <w:szCs w:val="24"/>
          <w:lang w:eastAsia="lv-LV"/>
        </w:rPr>
        <w:t> </w:t>
      </w:r>
      <w:r w:rsidRPr="00500638">
        <w:rPr>
          <w:szCs w:val="24"/>
        </w:rPr>
        <w:t>procentpunktiem, galvenokārt straujā energoresursu cenu krituma dēļ, kā arī mazinoties pakalpojumu cenu pieaugumam. Nākamajos divos gados patēriņa cenu pieaugums atjaunosies 2% līmenī.</w:t>
      </w:r>
    </w:p>
    <w:p w:rsidR="00E81E9A" w:rsidRPr="00A00889" w:rsidRDefault="00E81E9A" w:rsidP="00E81E9A">
      <w:pPr>
        <w:spacing w:after="0"/>
        <w:ind w:firstLine="720"/>
        <w:rPr>
          <w:szCs w:val="24"/>
        </w:rPr>
      </w:pPr>
      <w:r w:rsidRPr="00A00889">
        <w:rPr>
          <w:szCs w:val="24"/>
        </w:rPr>
        <w:t xml:space="preserve">Makroekonomiskās attīstības scenārijā pieņemts, ka vīrusa izplatības un tā ierobežošanas pasākumu ietekmē tautsaimniecībā nodarbināto iedzīvotāju skaits 2020.gadā samazināsies vidēji par 40 tūkstošiem jeb 4,4%, darbu zaudējot daļai darbinieku ierobežojumu tieši skartajās nozarēs, tajā skaitā transportā, tirdzniecībā, izmitināšanā un ēdināšanā, profesionālajos un administratīvajos pakalpojumos, kā arī nedaudz samazinoties strādājošo skaitam arī netieši ietekmētajās nozarēs. Attiecīgi sagaidāms, ka bezdarba līmenis 2020.gadā salīdzinājumā ar 2019.gadu pieaugs par 4,2 procentpunktiem līdz 10,5%. 2021. un 2022.gadā, ekonomikas izaugsmei atjaunojoties, nodarbināto skaits nedaudz palielināsies, līdz 2023.gadam stabilizējoties 883 tūkstošu līmenī, bet bezdarba līmenis 2021.gadā pazemināsies līdz 9,8%. </w:t>
      </w:r>
    </w:p>
    <w:p w:rsidR="00E81E9A" w:rsidRPr="00A00889" w:rsidRDefault="00E81E9A" w:rsidP="00E81E9A">
      <w:pPr>
        <w:spacing w:after="0"/>
        <w:ind w:firstLine="720"/>
        <w:rPr>
          <w:szCs w:val="24"/>
        </w:rPr>
      </w:pPr>
      <w:r w:rsidRPr="00A00889">
        <w:rPr>
          <w:szCs w:val="24"/>
        </w:rPr>
        <w:t xml:space="preserve">Atbilstoši makroekonomiskās attīstības scenārijam, mēneša vidējā darba samaksa 2020.gadā samazināsies par 1,0%, gada pirmajā ceturksnī vēl saglabājoties spēcīgam algu pieaugumam, bet pēc tam uzņēmējiem vairs nespējot saglabāt esošo algu līmeni strauja ekonomikas krituma apstākļos. Nākamajos gados algu pieaugums pakāpeniski atjaunosies, </w:t>
      </w:r>
      <w:r w:rsidRPr="00A00889">
        <w:rPr>
          <w:szCs w:val="24"/>
        </w:rPr>
        <w:lastRenderedPageBreak/>
        <w:t>2021.gadā mēneša vidējai darba samaksai palielinoties par 3,0% un pēc tam pieaugumam stabilizējoties līmenī, kas ir tuvs kopējam produktivitātes pieaugumam tautsaimniecībā.</w:t>
      </w:r>
    </w:p>
    <w:p w:rsidR="0022783B" w:rsidRDefault="0022783B" w:rsidP="00FB71F0">
      <w:pPr>
        <w:spacing w:after="0"/>
        <w:ind w:firstLine="720"/>
        <w:rPr>
          <w:szCs w:val="24"/>
          <w:highlight w:val="yellow"/>
        </w:rPr>
      </w:pPr>
    </w:p>
    <w:p w:rsidR="001E29EF" w:rsidRDefault="001E29EF" w:rsidP="00FB71F0">
      <w:pPr>
        <w:spacing w:after="0"/>
        <w:ind w:firstLine="720"/>
        <w:rPr>
          <w:szCs w:val="24"/>
          <w:highlight w:val="yellow"/>
        </w:rPr>
      </w:pPr>
    </w:p>
    <w:p w:rsidR="00527C18" w:rsidRPr="00E81E9A" w:rsidRDefault="007369A9" w:rsidP="00527C18">
      <w:pPr>
        <w:pStyle w:val="Heading1"/>
        <w:tabs>
          <w:tab w:val="left" w:pos="1276"/>
        </w:tabs>
        <w:spacing w:before="0" w:after="240"/>
        <w:ind w:firstLine="0"/>
        <w:jc w:val="left"/>
        <w:rPr>
          <w:rFonts w:ascii="Times New Roman" w:hAnsi="Times New Roman"/>
          <w:color w:val="18185E"/>
          <w:sz w:val="24"/>
        </w:rPr>
      </w:pPr>
      <w:bookmarkStart w:id="4" w:name="_Toc53388920"/>
      <w:r w:rsidRPr="00E81E9A">
        <w:rPr>
          <w:rFonts w:ascii="Times New Roman" w:hAnsi="Times New Roman"/>
          <w:color w:val="18185E"/>
          <w:sz w:val="24"/>
        </w:rPr>
        <w:t>Tabula 0.i)</w:t>
      </w:r>
      <w:r w:rsidR="00527C18" w:rsidRPr="00E81E9A">
        <w:rPr>
          <w:rFonts w:ascii="Times New Roman" w:hAnsi="Times New Roman"/>
          <w:color w:val="18185E"/>
          <w:sz w:val="24"/>
        </w:rPr>
        <w:t>. Ārējās vides pamata pieņēmumi</w:t>
      </w:r>
      <w:bookmarkEnd w:id="4"/>
    </w:p>
    <w:tbl>
      <w:tblPr>
        <w:tblStyle w:val="GridTable6Colorful-Accent11"/>
        <w:tblW w:w="9067" w:type="dxa"/>
        <w:jc w:val="center"/>
        <w:tblLayout w:type="fixed"/>
        <w:tblLook w:val="04A0" w:firstRow="1" w:lastRow="0" w:firstColumn="1" w:lastColumn="0" w:noHBand="0" w:noVBand="1"/>
      </w:tblPr>
      <w:tblGrid>
        <w:gridCol w:w="6799"/>
        <w:gridCol w:w="788"/>
        <w:gridCol w:w="744"/>
        <w:gridCol w:w="736"/>
      </w:tblGrid>
      <w:tr w:rsidR="00E81E9A" w:rsidRPr="00B64775" w:rsidTr="004E29F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rsidR="00E81E9A" w:rsidRPr="00B64775" w:rsidRDefault="00E81E9A" w:rsidP="00E81E9A">
            <w:pPr>
              <w:spacing w:after="0"/>
              <w:ind w:firstLine="0"/>
              <w:jc w:val="left"/>
              <w:rPr>
                <w:rFonts w:ascii="Arial" w:hAnsi="Arial" w:cs="Arial"/>
                <w:color w:val="auto"/>
                <w:szCs w:val="24"/>
                <w:lang w:eastAsia="lv-LV"/>
              </w:rPr>
            </w:pPr>
            <w:r w:rsidRPr="00B64775">
              <w:rPr>
                <w:rFonts w:ascii="Arial" w:hAnsi="Arial" w:cs="Arial"/>
                <w:color w:val="auto"/>
                <w:szCs w:val="24"/>
                <w:lang w:eastAsia="lv-LV"/>
              </w:rPr>
              <w:t> </w:t>
            </w:r>
          </w:p>
        </w:tc>
        <w:tc>
          <w:tcPr>
            <w:tcW w:w="788" w:type="dxa"/>
            <w:vAlign w:val="center"/>
            <w:hideMark/>
          </w:tcPr>
          <w:p w:rsidR="00E81E9A" w:rsidRPr="00B64775" w:rsidRDefault="00E81E9A" w:rsidP="00E81E9A">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B64775">
              <w:rPr>
                <w:color w:val="auto"/>
                <w:szCs w:val="24"/>
                <w:lang w:eastAsia="lv-LV"/>
              </w:rPr>
              <w:t>2019</w:t>
            </w:r>
          </w:p>
        </w:tc>
        <w:tc>
          <w:tcPr>
            <w:tcW w:w="744" w:type="dxa"/>
            <w:vAlign w:val="center"/>
            <w:hideMark/>
          </w:tcPr>
          <w:p w:rsidR="00E81E9A" w:rsidRPr="00B64775" w:rsidRDefault="00E81E9A" w:rsidP="00E81E9A">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B64775">
              <w:rPr>
                <w:color w:val="auto"/>
                <w:szCs w:val="24"/>
                <w:lang w:eastAsia="lv-LV"/>
              </w:rPr>
              <w:t>2020</w:t>
            </w:r>
          </w:p>
        </w:tc>
        <w:tc>
          <w:tcPr>
            <w:tcW w:w="736" w:type="dxa"/>
            <w:vAlign w:val="center"/>
          </w:tcPr>
          <w:p w:rsidR="00E81E9A" w:rsidRPr="00B64775" w:rsidRDefault="00E81E9A" w:rsidP="00E81E9A">
            <w:pPr>
              <w:spacing w:after="0"/>
              <w:ind w:firstLine="0"/>
              <w:jc w:val="left"/>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B64775">
              <w:rPr>
                <w:color w:val="auto"/>
                <w:szCs w:val="24"/>
                <w:lang w:eastAsia="lv-LV"/>
              </w:rPr>
              <w:t>2021</w:t>
            </w:r>
          </w:p>
        </w:tc>
      </w:tr>
      <w:tr w:rsidR="00E81E9A" w:rsidRPr="00B64775" w:rsidTr="004E29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 xml:space="preserve">Īstermiņa procentu likme </w:t>
            </w:r>
            <w:proofErr w:type="spellStart"/>
            <w:r w:rsidRPr="00B64775">
              <w:rPr>
                <w:i/>
                <w:color w:val="auto"/>
                <w:szCs w:val="24"/>
                <w:lang w:eastAsia="lv-LV"/>
              </w:rPr>
              <w:t>euro</w:t>
            </w:r>
            <w:proofErr w:type="spellEnd"/>
            <w:r w:rsidRPr="00B64775">
              <w:rPr>
                <w:color w:val="auto"/>
                <w:szCs w:val="24"/>
                <w:lang w:eastAsia="lv-LV"/>
              </w:rPr>
              <w:t xml:space="preserve"> zonā (gada vidējā)</w:t>
            </w:r>
          </w:p>
        </w:tc>
        <w:tc>
          <w:tcPr>
            <w:tcW w:w="788"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-0,4</w:t>
            </w:r>
          </w:p>
        </w:tc>
        <w:tc>
          <w:tcPr>
            <w:tcW w:w="744"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-0,3</w:t>
            </w:r>
          </w:p>
        </w:tc>
        <w:tc>
          <w:tcPr>
            <w:tcW w:w="736"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-0,4</w:t>
            </w:r>
          </w:p>
        </w:tc>
      </w:tr>
      <w:tr w:rsidR="00E81E9A" w:rsidRPr="00B64775" w:rsidTr="004E29F9">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 xml:space="preserve">Ilgtermiņa procentu likme </w:t>
            </w:r>
            <w:proofErr w:type="spellStart"/>
            <w:r w:rsidRPr="00B64775">
              <w:rPr>
                <w:i/>
                <w:color w:val="auto"/>
                <w:szCs w:val="24"/>
                <w:lang w:eastAsia="lv-LV"/>
              </w:rPr>
              <w:t>euro</w:t>
            </w:r>
            <w:proofErr w:type="spellEnd"/>
            <w:r w:rsidRPr="00B64775">
              <w:rPr>
                <w:color w:val="auto"/>
                <w:szCs w:val="24"/>
                <w:lang w:eastAsia="lv-LV"/>
              </w:rPr>
              <w:t xml:space="preserve"> zonā (gada vidējā)</w:t>
            </w:r>
          </w:p>
        </w:tc>
        <w:tc>
          <w:tcPr>
            <w:tcW w:w="788"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-0,3</w:t>
            </w:r>
          </w:p>
        </w:tc>
        <w:tc>
          <w:tcPr>
            <w:tcW w:w="744"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-0,4</w:t>
            </w:r>
          </w:p>
        </w:tc>
        <w:tc>
          <w:tcPr>
            <w:tcW w:w="736"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-0,3</w:t>
            </w:r>
          </w:p>
        </w:tc>
      </w:tr>
      <w:tr w:rsidR="00E81E9A" w:rsidRPr="00B64775" w:rsidTr="004E29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USD/EUR kurss (gada vidējais)</w:t>
            </w:r>
          </w:p>
        </w:tc>
        <w:tc>
          <w:tcPr>
            <w:tcW w:w="788"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1,12</w:t>
            </w:r>
          </w:p>
        </w:tc>
        <w:tc>
          <w:tcPr>
            <w:tcW w:w="744"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1,09</w:t>
            </w:r>
          </w:p>
        </w:tc>
        <w:tc>
          <w:tcPr>
            <w:tcW w:w="736"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1,09</w:t>
            </w:r>
          </w:p>
        </w:tc>
      </w:tr>
      <w:tr w:rsidR="00E81E9A" w:rsidRPr="00B64775" w:rsidTr="004E29F9">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Nominālais efektīvais maiņas kurss ES</w:t>
            </w:r>
          </w:p>
        </w:tc>
        <w:tc>
          <w:tcPr>
            <w:tcW w:w="788"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-1,2</w:t>
            </w:r>
          </w:p>
        </w:tc>
        <w:tc>
          <w:tcPr>
            <w:tcW w:w="744"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1,5</w:t>
            </w:r>
          </w:p>
        </w:tc>
        <w:tc>
          <w:tcPr>
            <w:tcW w:w="736"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0,5</w:t>
            </w:r>
          </w:p>
        </w:tc>
      </w:tr>
      <w:tr w:rsidR="00E81E9A" w:rsidRPr="00B64775" w:rsidTr="004E29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Pasaules IKP, izņemot ES, pieaugums salīdzināmās cenās, %</w:t>
            </w:r>
          </w:p>
        </w:tc>
        <w:tc>
          <w:tcPr>
            <w:tcW w:w="788"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3,0</w:t>
            </w:r>
          </w:p>
        </w:tc>
        <w:tc>
          <w:tcPr>
            <w:tcW w:w="744"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-3,0</w:t>
            </w:r>
          </w:p>
        </w:tc>
        <w:tc>
          <w:tcPr>
            <w:tcW w:w="736"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5,0</w:t>
            </w:r>
          </w:p>
        </w:tc>
      </w:tr>
      <w:tr w:rsidR="00E81E9A" w:rsidRPr="00B64775" w:rsidTr="004E29F9">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ES IKP pieaugums salīdzināmās cenās, %</w:t>
            </w:r>
          </w:p>
        </w:tc>
        <w:tc>
          <w:tcPr>
            <w:tcW w:w="788"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1,5</w:t>
            </w:r>
          </w:p>
        </w:tc>
        <w:tc>
          <w:tcPr>
            <w:tcW w:w="744"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-7,4</w:t>
            </w:r>
          </w:p>
        </w:tc>
        <w:tc>
          <w:tcPr>
            <w:tcW w:w="736"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6,1</w:t>
            </w:r>
          </w:p>
        </w:tc>
      </w:tr>
      <w:tr w:rsidR="00E81E9A" w:rsidRPr="00B64775" w:rsidTr="004E29F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Pasaules preču un pakalpojumu tirdzniecības apjomu izmaiņas ES eksporta tirgos, izslēdzot ES, %</w:t>
            </w:r>
          </w:p>
        </w:tc>
        <w:tc>
          <w:tcPr>
            <w:tcW w:w="788"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0,4</w:t>
            </w:r>
          </w:p>
        </w:tc>
        <w:tc>
          <w:tcPr>
            <w:tcW w:w="744"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-11,8</w:t>
            </w:r>
          </w:p>
        </w:tc>
        <w:tc>
          <w:tcPr>
            <w:tcW w:w="736"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6,2</w:t>
            </w:r>
          </w:p>
        </w:tc>
      </w:tr>
      <w:tr w:rsidR="00E81E9A" w:rsidRPr="00B64775" w:rsidTr="004E29F9">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Pasaules preču un pakalpojumu importa apjomu izmaiņas, izslēdzot ES, %</w:t>
            </w:r>
          </w:p>
        </w:tc>
        <w:tc>
          <w:tcPr>
            <w:tcW w:w="788"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0,1</w:t>
            </w:r>
          </w:p>
        </w:tc>
        <w:tc>
          <w:tcPr>
            <w:tcW w:w="744"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-10,3</w:t>
            </w:r>
          </w:p>
        </w:tc>
        <w:tc>
          <w:tcPr>
            <w:tcW w:w="736" w:type="dxa"/>
            <w:vAlign w:val="center"/>
          </w:tcPr>
          <w:p w:rsidR="00E81E9A" w:rsidRPr="00B64775"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B64775">
              <w:rPr>
                <w:color w:val="000000" w:themeColor="text1"/>
                <w:szCs w:val="24"/>
              </w:rPr>
              <w:t>6,7</w:t>
            </w:r>
          </w:p>
        </w:tc>
      </w:tr>
      <w:tr w:rsidR="00E81E9A" w:rsidRPr="00B64775" w:rsidTr="004E29F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rsidR="00E81E9A" w:rsidRPr="00B64775" w:rsidRDefault="00E81E9A" w:rsidP="00E81E9A">
            <w:pPr>
              <w:spacing w:after="0"/>
              <w:ind w:firstLine="0"/>
              <w:jc w:val="left"/>
              <w:rPr>
                <w:color w:val="auto"/>
                <w:szCs w:val="24"/>
                <w:lang w:eastAsia="lv-LV"/>
              </w:rPr>
            </w:pPr>
            <w:r w:rsidRPr="00B64775">
              <w:rPr>
                <w:color w:val="auto"/>
                <w:szCs w:val="24"/>
                <w:lang w:eastAsia="lv-LV"/>
              </w:rPr>
              <w:t>Naftas cena (</w:t>
            </w:r>
            <w:proofErr w:type="spellStart"/>
            <w:r w:rsidRPr="00B64775">
              <w:rPr>
                <w:i/>
                <w:color w:val="auto"/>
                <w:szCs w:val="24"/>
                <w:lang w:eastAsia="lv-LV"/>
              </w:rPr>
              <w:t>Brent</w:t>
            </w:r>
            <w:proofErr w:type="spellEnd"/>
            <w:r w:rsidRPr="00B64775">
              <w:rPr>
                <w:color w:val="auto"/>
                <w:szCs w:val="24"/>
                <w:lang w:eastAsia="lv-LV"/>
              </w:rPr>
              <w:t>, USD par barelu)</w:t>
            </w:r>
          </w:p>
        </w:tc>
        <w:tc>
          <w:tcPr>
            <w:tcW w:w="788"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64,1</w:t>
            </w:r>
          </w:p>
        </w:tc>
        <w:tc>
          <w:tcPr>
            <w:tcW w:w="744"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40,8</w:t>
            </w:r>
          </w:p>
        </w:tc>
        <w:tc>
          <w:tcPr>
            <w:tcW w:w="736" w:type="dxa"/>
            <w:vAlign w:val="center"/>
          </w:tcPr>
          <w:p w:rsidR="00E81E9A" w:rsidRPr="00B64775"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B64775">
              <w:rPr>
                <w:color w:val="000000" w:themeColor="text1"/>
                <w:szCs w:val="24"/>
              </w:rPr>
              <w:t>44,8</w:t>
            </w:r>
          </w:p>
        </w:tc>
      </w:tr>
    </w:tbl>
    <w:p w:rsidR="00527C18" w:rsidRPr="00BF5371" w:rsidRDefault="00527C18" w:rsidP="002E3D3D">
      <w:pPr>
        <w:spacing w:after="0"/>
        <w:ind w:firstLine="720"/>
        <w:rPr>
          <w:szCs w:val="24"/>
          <w:highlight w:val="yellow"/>
        </w:rPr>
      </w:pPr>
    </w:p>
    <w:p w:rsidR="00D47730" w:rsidRPr="00BF5371" w:rsidRDefault="00D47730">
      <w:pPr>
        <w:spacing w:after="0"/>
        <w:ind w:firstLine="0"/>
        <w:jc w:val="left"/>
        <w:rPr>
          <w:b/>
          <w:bCs/>
          <w:color w:val="18185E"/>
          <w:szCs w:val="28"/>
          <w:highlight w:val="yellow"/>
          <w:lang w:val="x-none" w:eastAsia="x-none"/>
        </w:rPr>
      </w:pPr>
      <w:r w:rsidRPr="00BF5371">
        <w:rPr>
          <w:color w:val="18185E"/>
          <w:highlight w:val="yellow"/>
        </w:rPr>
        <w:br w:type="page"/>
      </w:r>
    </w:p>
    <w:p w:rsidR="00C32D1D" w:rsidRPr="00E81E9A" w:rsidRDefault="00C32D1D" w:rsidP="00C32D1D">
      <w:pPr>
        <w:pStyle w:val="Heading1"/>
        <w:tabs>
          <w:tab w:val="left" w:pos="1276"/>
        </w:tabs>
        <w:spacing w:before="0" w:after="240"/>
        <w:ind w:firstLine="0"/>
        <w:jc w:val="left"/>
        <w:rPr>
          <w:rFonts w:ascii="Times New Roman" w:hAnsi="Times New Roman"/>
          <w:color w:val="000000" w:themeColor="text1"/>
          <w:sz w:val="24"/>
          <w:szCs w:val="24"/>
        </w:rPr>
      </w:pPr>
      <w:bookmarkStart w:id="5" w:name="_Toc53388921"/>
      <w:r w:rsidRPr="00E81E9A">
        <w:rPr>
          <w:rFonts w:ascii="Times New Roman" w:hAnsi="Times New Roman"/>
          <w:color w:val="000000" w:themeColor="text1"/>
          <w:sz w:val="24"/>
          <w:szCs w:val="24"/>
        </w:rPr>
        <w:lastRenderedPageBreak/>
        <w:t>Tabula 1a: Izaugsme un ar to saistītie faktori</w:t>
      </w:r>
      <w:bookmarkEnd w:id="5"/>
    </w:p>
    <w:tbl>
      <w:tblPr>
        <w:tblStyle w:val="GridTable6Colorful-Accent11"/>
        <w:tblW w:w="8926" w:type="dxa"/>
        <w:jc w:val="center"/>
        <w:tblLayout w:type="fixed"/>
        <w:tblLook w:val="04A0" w:firstRow="1" w:lastRow="0" w:firstColumn="1" w:lastColumn="0" w:noHBand="0" w:noVBand="1"/>
      </w:tblPr>
      <w:tblGrid>
        <w:gridCol w:w="3119"/>
        <w:gridCol w:w="1417"/>
        <w:gridCol w:w="1129"/>
        <w:gridCol w:w="1134"/>
        <w:gridCol w:w="1134"/>
        <w:gridCol w:w="993"/>
      </w:tblGrid>
      <w:tr w:rsidR="00E81E9A" w:rsidRPr="00E81E9A" w:rsidTr="001E2B50">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Chars="100" w:firstLine="240"/>
              <w:jc w:val="left"/>
              <w:rPr>
                <w:color w:val="000000" w:themeColor="text1"/>
                <w:szCs w:val="24"/>
                <w:lang w:eastAsia="lv-LV"/>
              </w:rPr>
            </w:pPr>
            <w:r w:rsidRPr="00E81E9A">
              <w:rPr>
                <w:color w:val="000000" w:themeColor="text1"/>
                <w:szCs w:val="24"/>
                <w:lang w:eastAsia="lv-LV"/>
              </w:rPr>
              <w:t> </w:t>
            </w:r>
          </w:p>
        </w:tc>
        <w:tc>
          <w:tcPr>
            <w:tcW w:w="1417" w:type="dxa"/>
            <w:vAlign w:val="center"/>
            <w:hideMark/>
          </w:tcPr>
          <w:p w:rsidR="00E81E9A" w:rsidRPr="00E81E9A" w:rsidRDefault="00E81E9A" w:rsidP="00E81E9A">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EKS kods</w:t>
            </w:r>
          </w:p>
        </w:tc>
        <w:tc>
          <w:tcPr>
            <w:tcW w:w="1129" w:type="dxa"/>
            <w:vAlign w:val="center"/>
            <w:hideMark/>
          </w:tcPr>
          <w:p w:rsidR="00E81E9A" w:rsidRPr="00E81E9A" w:rsidRDefault="00E81E9A" w:rsidP="00E81E9A">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2019</w:t>
            </w:r>
          </w:p>
        </w:tc>
        <w:tc>
          <w:tcPr>
            <w:tcW w:w="1134" w:type="dxa"/>
            <w:vAlign w:val="center"/>
            <w:hideMark/>
          </w:tcPr>
          <w:p w:rsidR="00E81E9A" w:rsidRPr="00E81E9A" w:rsidRDefault="00E81E9A" w:rsidP="00E81E9A">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2019</w:t>
            </w:r>
          </w:p>
        </w:tc>
        <w:tc>
          <w:tcPr>
            <w:tcW w:w="1134" w:type="dxa"/>
            <w:vAlign w:val="center"/>
            <w:hideMark/>
          </w:tcPr>
          <w:p w:rsidR="00E81E9A" w:rsidRPr="00E81E9A" w:rsidRDefault="00E81E9A" w:rsidP="00E81E9A">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2020</w:t>
            </w:r>
          </w:p>
        </w:tc>
        <w:tc>
          <w:tcPr>
            <w:tcW w:w="993" w:type="dxa"/>
            <w:vAlign w:val="center"/>
            <w:hideMark/>
          </w:tcPr>
          <w:p w:rsidR="00E81E9A" w:rsidRPr="00E81E9A" w:rsidRDefault="00E81E9A" w:rsidP="00E81E9A">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2021</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1E2B50" w:rsidRPr="00E81E9A" w:rsidRDefault="001E2B50" w:rsidP="00F866B5">
            <w:pPr>
              <w:spacing w:after="0"/>
              <w:ind w:firstLineChars="100" w:firstLine="240"/>
              <w:jc w:val="left"/>
              <w:rPr>
                <w:color w:val="000000" w:themeColor="text1"/>
                <w:szCs w:val="24"/>
                <w:lang w:eastAsia="lv-LV"/>
              </w:rPr>
            </w:pPr>
            <w:r w:rsidRPr="00E81E9A">
              <w:rPr>
                <w:color w:val="000000" w:themeColor="text1"/>
                <w:szCs w:val="24"/>
                <w:lang w:eastAsia="lv-LV"/>
              </w:rPr>
              <w:t> </w:t>
            </w:r>
          </w:p>
        </w:tc>
        <w:tc>
          <w:tcPr>
            <w:tcW w:w="1417" w:type="dxa"/>
            <w:vAlign w:val="center"/>
            <w:hideMark/>
          </w:tcPr>
          <w:p w:rsidR="001E2B50" w:rsidRPr="00E81E9A" w:rsidRDefault="001E2B50"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hideMark/>
          </w:tcPr>
          <w:p w:rsidR="001E2B50" w:rsidRPr="00E81E9A" w:rsidRDefault="001E2B50"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Līmenis</w:t>
            </w:r>
          </w:p>
        </w:tc>
        <w:tc>
          <w:tcPr>
            <w:tcW w:w="3261" w:type="dxa"/>
            <w:gridSpan w:val="3"/>
            <w:hideMark/>
          </w:tcPr>
          <w:p w:rsidR="001E2B50" w:rsidRPr="00E81E9A" w:rsidRDefault="001E2B50"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Pieaugums %</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i/>
                <w:color w:val="000000" w:themeColor="text1"/>
                <w:szCs w:val="24"/>
                <w:lang w:eastAsia="lv-LV"/>
              </w:rPr>
            </w:pPr>
            <w:r w:rsidRPr="00E81E9A">
              <w:rPr>
                <w:color w:val="000000" w:themeColor="text1"/>
                <w:szCs w:val="24"/>
                <w:lang w:eastAsia="lv-LV"/>
              </w:rPr>
              <w:t xml:space="preserve">1. Reālais IKP, mljrd. </w:t>
            </w:r>
            <w:proofErr w:type="spellStart"/>
            <w:r w:rsidRPr="00E81E9A">
              <w:rPr>
                <w:i/>
                <w:color w:val="000000" w:themeColor="text1"/>
                <w:szCs w:val="24"/>
                <w:lang w:eastAsia="lv-LV"/>
              </w:rPr>
              <w:t>euro</w:t>
            </w:r>
            <w:proofErr w:type="spellEnd"/>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B1*g</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27,6</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2,1</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-7,0</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5,1</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95442F" w:rsidRPr="00E81E9A" w:rsidRDefault="0095442F" w:rsidP="0095442F">
            <w:pPr>
              <w:spacing w:after="0"/>
              <w:ind w:firstLine="0"/>
              <w:jc w:val="left"/>
              <w:rPr>
                <w:color w:val="000000" w:themeColor="text1"/>
                <w:szCs w:val="24"/>
                <w:lang w:eastAsia="lv-LV"/>
              </w:rPr>
            </w:pPr>
            <w:r w:rsidRPr="00E81E9A">
              <w:rPr>
                <w:color w:val="000000" w:themeColor="text1"/>
                <w:szCs w:val="24"/>
                <w:lang w:eastAsia="lv-LV"/>
              </w:rPr>
              <w:t>no kā</w:t>
            </w:r>
          </w:p>
        </w:tc>
        <w:tc>
          <w:tcPr>
            <w:tcW w:w="1417" w:type="dxa"/>
            <w:vAlign w:val="center"/>
            <w:hideMark/>
          </w:tcPr>
          <w:p w:rsidR="0095442F" w:rsidRPr="00E81E9A"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95442F" w:rsidRPr="00E81E9A"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95442F" w:rsidRPr="00E81E9A"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95442F" w:rsidRPr="00E81E9A"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95442F" w:rsidRPr="00E81E9A"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95442F" w:rsidRPr="00E81E9A" w:rsidRDefault="0095442F" w:rsidP="0095442F">
            <w:pPr>
              <w:spacing w:after="0"/>
              <w:ind w:firstLine="0"/>
              <w:jc w:val="left"/>
              <w:rPr>
                <w:color w:val="000000" w:themeColor="text1"/>
                <w:szCs w:val="24"/>
                <w:lang w:eastAsia="lv-LV"/>
              </w:rPr>
            </w:pPr>
            <w:r w:rsidRPr="00E81E9A">
              <w:rPr>
                <w:color w:val="000000" w:themeColor="text1"/>
                <w:szCs w:val="24"/>
                <w:lang w:eastAsia="lv-LV"/>
              </w:rPr>
              <w:t>pieskaitāmi aprēķinātajai ietekmei no budžeta pasākumiem uz ekonomikas izaugsmi</w:t>
            </w:r>
          </w:p>
        </w:tc>
        <w:tc>
          <w:tcPr>
            <w:tcW w:w="1417" w:type="dxa"/>
            <w:vAlign w:val="center"/>
            <w:hideMark/>
          </w:tcPr>
          <w:p w:rsidR="0095442F" w:rsidRPr="00E81E9A"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p>
        </w:tc>
        <w:tc>
          <w:tcPr>
            <w:tcW w:w="1129" w:type="dxa"/>
            <w:vAlign w:val="center"/>
          </w:tcPr>
          <w:p w:rsidR="0095442F" w:rsidRPr="00E81E9A"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95442F" w:rsidRPr="00E81E9A"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95442F" w:rsidRPr="00E81E9A"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95442F" w:rsidRPr="00E81E9A"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2. Potenciālais IKP</w:t>
            </w:r>
          </w:p>
        </w:tc>
        <w:tc>
          <w:tcPr>
            <w:tcW w:w="1417" w:type="dxa"/>
            <w:vAlign w:val="center"/>
            <w:hideMark/>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27,1</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2,8</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2,4</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2,5</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Devums</w:t>
            </w:r>
          </w:p>
        </w:tc>
        <w:tc>
          <w:tcPr>
            <w:tcW w:w="1417" w:type="dxa"/>
            <w:vAlign w:val="center"/>
            <w:hideMark/>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 xml:space="preserve">Devums </w:t>
            </w:r>
            <w:proofErr w:type="spellStart"/>
            <w:r w:rsidRPr="00E81E9A">
              <w:rPr>
                <w:color w:val="000000" w:themeColor="text1"/>
                <w:szCs w:val="24"/>
                <w:lang w:eastAsia="lv-LV"/>
              </w:rPr>
              <w:t>pot</w:t>
            </w:r>
            <w:proofErr w:type="spellEnd"/>
            <w:r w:rsidRPr="00E81E9A">
              <w:rPr>
                <w:color w:val="000000" w:themeColor="text1"/>
                <w:szCs w:val="24"/>
                <w:lang w:eastAsia="lv-LV"/>
              </w:rPr>
              <w:t>. IKP: darba spēks</w:t>
            </w:r>
          </w:p>
        </w:tc>
        <w:tc>
          <w:tcPr>
            <w:tcW w:w="1417" w:type="dxa"/>
            <w:vAlign w:val="center"/>
            <w:hideMark/>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0,1</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0,0</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0,0</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 xml:space="preserve">Devums </w:t>
            </w:r>
            <w:proofErr w:type="spellStart"/>
            <w:r w:rsidRPr="00E81E9A">
              <w:rPr>
                <w:color w:val="000000" w:themeColor="text1"/>
                <w:szCs w:val="24"/>
                <w:lang w:eastAsia="lv-LV"/>
              </w:rPr>
              <w:t>pot</w:t>
            </w:r>
            <w:proofErr w:type="spellEnd"/>
            <w:r w:rsidRPr="00E81E9A">
              <w:rPr>
                <w:color w:val="000000" w:themeColor="text1"/>
                <w:szCs w:val="24"/>
                <w:lang w:eastAsia="lv-LV"/>
              </w:rPr>
              <w:t>. IKP: kapitāls</w:t>
            </w:r>
          </w:p>
        </w:tc>
        <w:tc>
          <w:tcPr>
            <w:tcW w:w="1417" w:type="dxa"/>
            <w:vAlign w:val="center"/>
            <w:hideMark/>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0,7</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0,7</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0,7</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 xml:space="preserve">Devums </w:t>
            </w:r>
            <w:proofErr w:type="spellStart"/>
            <w:r w:rsidRPr="00E81E9A">
              <w:rPr>
                <w:color w:val="000000" w:themeColor="text1"/>
                <w:szCs w:val="24"/>
                <w:lang w:eastAsia="lv-LV"/>
              </w:rPr>
              <w:t>pot</w:t>
            </w:r>
            <w:proofErr w:type="spellEnd"/>
            <w:r w:rsidRPr="00E81E9A">
              <w:rPr>
                <w:color w:val="000000" w:themeColor="text1"/>
                <w:szCs w:val="24"/>
                <w:lang w:eastAsia="lv-LV"/>
              </w:rPr>
              <w:t>. IKP: faktoru produktivitāte</w:t>
            </w:r>
          </w:p>
        </w:tc>
        <w:tc>
          <w:tcPr>
            <w:tcW w:w="1417" w:type="dxa"/>
            <w:vAlign w:val="center"/>
            <w:hideMark/>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2,0</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1,7</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1,8</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3. Nominālais IKP</w:t>
            </w:r>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B1*g</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30,5</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4,5</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-7,5</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6,5</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Reālā IKP komponentes</w:t>
            </w:r>
          </w:p>
        </w:tc>
        <w:tc>
          <w:tcPr>
            <w:tcW w:w="1417" w:type="dxa"/>
            <w:vAlign w:val="center"/>
            <w:hideMark/>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4. Privātais patēriņš</w:t>
            </w:r>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P.3</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16,2</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5,2</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-7,5</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5,8</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5. Valdības patēriņš</w:t>
            </w:r>
          </w:p>
        </w:tc>
        <w:tc>
          <w:tcPr>
            <w:tcW w:w="1417" w:type="dxa"/>
            <w:vAlign w:val="center"/>
            <w:hideMark/>
          </w:tcPr>
          <w:p w:rsidR="00E81E9A" w:rsidRPr="00E81E9A"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P.3</w:t>
            </w: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4,9</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10,6</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3,2</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1,6</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6. Bruto pamatkapitāla veidošana</w:t>
            </w:r>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P.51</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6,3</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4,8</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-10,2</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12,2</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7. Izmaiņas krājumos</w:t>
            </w:r>
          </w:p>
        </w:tc>
        <w:tc>
          <w:tcPr>
            <w:tcW w:w="1417" w:type="dxa"/>
            <w:vAlign w:val="center"/>
            <w:hideMark/>
          </w:tcPr>
          <w:p w:rsidR="00E81E9A" w:rsidRPr="00E81E9A"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P.52 + P.53</w:t>
            </w: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1,5</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8. Eksports</w:t>
            </w:r>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P.6</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17,4</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2,3</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-14,8</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7,7</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9. Imports</w:t>
            </w:r>
          </w:p>
        </w:tc>
        <w:tc>
          <w:tcPr>
            <w:tcW w:w="1417" w:type="dxa"/>
            <w:vAlign w:val="center"/>
            <w:hideMark/>
          </w:tcPr>
          <w:p w:rsidR="00E81E9A" w:rsidRPr="00E81E9A"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P.7</w:t>
            </w: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18,8</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2,4</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-16,3</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9,0</w:t>
            </w:r>
          </w:p>
        </w:tc>
      </w:tr>
      <w:tr w:rsidR="00E81E9A" w:rsidRPr="00E81E9A"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Devums reālā IKP pieaugumā</w:t>
            </w:r>
          </w:p>
        </w:tc>
        <w:tc>
          <w:tcPr>
            <w:tcW w:w="1417" w:type="dxa"/>
            <w:vAlign w:val="center"/>
            <w:hideMark/>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10. Kopējais iekšzemes pieprasījums</w:t>
            </w:r>
          </w:p>
        </w:tc>
        <w:tc>
          <w:tcPr>
            <w:tcW w:w="1417" w:type="dxa"/>
            <w:vAlign w:val="center"/>
            <w:hideMark/>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2,2</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-6,3</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5,0</w:t>
            </w:r>
          </w:p>
        </w:tc>
      </w:tr>
      <w:tr w:rsidR="00E81E9A" w:rsidRPr="00E81E9A" w:rsidTr="001E2B50">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11. Izmaiņas krājumos</w:t>
            </w:r>
          </w:p>
        </w:tc>
        <w:tc>
          <w:tcPr>
            <w:tcW w:w="1417" w:type="dxa"/>
            <w:vAlign w:val="center"/>
            <w:hideMark/>
          </w:tcPr>
          <w:p w:rsidR="00E81E9A" w:rsidRPr="00E81E9A" w:rsidRDefault="00E81E9A" w:rsidP="00E81E9A">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P.52 + P.53</w:t>
            </w:r>
          </w:p>
        </w:tc>
        <w:tc>
          <w:tcPr>
            <w:tcW w:w="1129"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0,5</w:t>
            </w:r>
          </w:p>
        </w:tc>
        <w:tc>
          <w:tcPr>
            <w:tcW w:w="1134"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-2,0</w:t>
            </w:r>
          </w:p>
        </w:tc>
        <w:tc>
          <w:tcPr>
            <w:tcW w:w="993" w:type="dxa"/>
            <w:vAlign w:val="center"/>
          </w:tcPr>
          <w:p w:rsidR="00E81E9A" w:rsidRPr="00E81E9A" w:rsidRDefault="00E81E9A" w:rsidP="00E81E9A">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eastAsia="lv-LV"/>
              </w:rPr>
            </w:pPr>
            <w:r w:rsidRPr="00E81E9A">
              <w:rPr>
                <w:color w:val="000000" w:themeColor="text1"/>
                <w:szCs w:val="24"/>
              </w:rPr>
              <w:t>0,5</w:t>
            </w:r>
          </w:p>
        </w:tc>
      </w:tr>
      <w:tr w:rsidR="00E81E9A" w:rsidRPr="00E81E9A" w:rsidTr="001E2B5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rsidR="00E81E9A" w:rsidRPr="00E81E9A" w:rsidRDefault="00E81E9A" w:rsidP="00E81E9A">
            <w:pPr>
              <w:spacing w:after="0"/>
              <w:ind w:firstLine="0"/>
              <w:jc w:val="left"/>
              <w:rPr>
                <w:color w:val="000000" w:themeColor="text1"/>
                <w:szCs w:val="24"/>
                <w:lang w:eastAsia="lv-LV"/>
              </w:rPr>
            </w:pPr>
            <w:r w:rsidRPr="00E81E9A">
              <w:rPr>
                <w:color w:val="000000" w:themeColor="text1"/>
                <w:szCs w:val="24"/>
                <w:lang w:eastAsia="lv-LV"/>
              </w:rPr>
              <w:t>12. Preču un pakalpojumu tirdzniecības bilance</w:t>
            </w:r>
          </w:p>
        </w:tc>
        <w:tc>
          <w:tcPr>
            <w:tcW w:w="1417" w:type="dxa"/>
            <w:vAlign w:val="center"/>
            <w:hideMark/>
          </w:tcPr>
          <w:p w:rsidR="00E81E9A" w:rsidRPr="00E81E9A" w:rsidRDefault="00E81E9A" w:rsidP="00E81E9A">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lang w:eastAsia="lv-LV"/>
              </w:rPr>
              <w:t>B.11</w:t>
            </w:r>
          </w:p>
        </w:tc>
        <w:tc>
          <w:tcPr>
            <w:tcW w:w="1129"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 </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-0,7</w:t>
            </w:r>
          </w:p>
        </w:tc>
        <w:tc>
          <w:tcPr>
            <w:tcW w:w="1134"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1,3</w:t>
            </w:r>
          </w:p>
        </w:tc>
        <w:tc>
          <w:tcPr>
            <w:tcW w:w="993" w:type="dxa"/>
            <w:vAlign w:val="center"/>
          </w:tcPr>
          <w:p w:rsidR="00E81E9A" w:rsidRPr="00E81E9A" w:rsidRDefault="00E81E9A" w:rsidP="00E81E9A">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eastAsia="lv-LV"/>
              </w:rPr>
            </w:pPr>
            <w:r w:rsidRPr="00E81E9A">
              <w:rPr>
                <w:color w:val="000000" w:themeColor="text1"/>
                <w:szCs w:val="24"/>
              </w:rPr>
              <w:t>-0,4</w:t>
            </w:r>
          </w:p>
        </w:tc>
      </w:tr>
    </w:tbl>
    <w:p w:rsidR="00C32D1D" w:rsidRPr="00BF5371" w:rsidRDefault="00C32D1D" w:rsidP="00C32D1D">
      <w:pPr>
        <w:ind w:firstLine="0"/>
        <w:jc w:val="left"/>
        <w:rPr>
          <w:szCs w:val="24"/>
          <w:highlight w:val="yellow"/>
        </w:rPr>
      </w:pPr>
    </w:p>
    <w:p w:rsidR="00C32D1D" w:rsidRPr="00D536E1" w:rsidRDefault="00C32D1D" w:rsidP="00C32D1D">
      <w:pPr>
        <w:pStyle w:val="Heading1"/>
        <w:tabs>
          <w:tab w:val="left" w:pos="1276"/>
        </w:tabs>
        <w:spacing w:before="0" w:after="240"/>
        <w:ind w:firstLine="0"/>
        <w:jc w:val="left"/>
        <w:rPr>
          <w:rFonts w:ascii="Times New Roman" w:hAnsi="Times New Roman"/>
        </w:rPr>
      </w:pPr>
      <w:r w:rsidRPr="00BF5371">
        <w:rPr>
          <w:b w:val="0"/>
          <w:highlight w:val="yellow"/>
        </w:rPr>
        <w:br w:type="page"/>
      </w:r>
      <w:bookmarkStart w:id="6" w:name="_Toc53388922"/>
      <w:r w:rsidRPr="00D536E1">
        <w:rPr>
          <w:rFonts w:ascii="Times New Roman" w:hAnsi="Times New Roman"/>
          <w:color w:val="18185E"/>
          <w:sz w:val="24"/>
        </w:rPr>
        <w:lastRenderedPageBreak/>
        <w:t>Tabula 1b: Patēriņa cenu izmaiņas</w:t>
      </w:r>
      <w:bookmarkEnd w:id="6"/>
    </w:p>
    <w:tbl>
      <w:tblPr>
        <w:tblStyle w:val="GridTable6Colorful-Accent11"/>
        <w:tblW w:w="8926" w:type="dxa"/>
        <w:jc w:val="center"/>
        <w:tblLayout w:type="fixed"/>
        <w:tblLook w:val="04A0" w:firstRow="1" w:lastRow="0" w:firstColumn="1" w:lastColumn="0" w:noHBand="0" w:noVBand="1"/>
      </w:tblPr>
      <w:tblGrid>
        <w:gridCol w:w="3644"/>
        <w:gridCol w:w="1298"/>
        <w:gridCol w:w="1056"/>
        <w:gridCol w:w="943"/>
        <w:gridCol w:w="992"/>
        <w:gridCol w:w="993"/>
      </w:tblGrid>
      <w:tr w:rsidR="00D536E1" w:rsidRPr="00D536E1" w:rsidTr="0068791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Chars="100" w:firstLine="240"/>
              <w:jc w:val="center"/>
              <w:rPr>
                <w:b w:val="0"/>
                <w:color w:val="000000"/>
                <w:szCs w:val="24"/>
                <w:lang w:eastAsia="lv-LV"/>
              </w:rPr>
            </w:pPr>
          </w:p>
        </w:tc>
        <w:tc>
          <w:tcPr>
            <w:tcW w:w="1298"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EKS kods</w:t>
            </w:r>
          </w:p>
        </w:tc>
        <w:tc>
          <w:tcPr>
            <w:tcW w:w="1056"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2019</w:t>
            </w:r>
          </w:p>
        </w:tc>
        <w:tc>
          <w:tcPr>
            <w:tcW w:w="943"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2019</w:t>
            </w:r>
          </w:p>
        </w:tc>
        <w:tc>
          <w:tcPr>
            <w:tcW w:w="992"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2020</w:t>
            </w:r>
          </w:p>
        </w:tc>
        <w:tc>
          <w:tcPr>
            <w:tcW w:w="993"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2021</w:t>
            </w:r>
          </w:p>
        </w:tc>
      </w:tr>
      <w:tr w:rsidR="00687919" w:rsidRPr="00D536E1" w:rsidTr="0068791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687919" w:rsidRPr="00D536E1" w:rsidRDefault="00687919" w:rsidP="00F866B5">
            <w:pPr>
              <w:spacing w:after="0"/>
              <w:ind w:firstLineChars="100" w:firstLine="240"/>
              <w:jc w:val="right"/>
              <w:rPr>
                <w:color w:val="000000"/>
                <w:szCs w:val="24"/>
                <w:lang w:eastAsia="lv-LV"/>
              </w:rPr>
            </w:pPr>
            <w:r w:rsidRPr="00D536E1">
              <w:rPr>
                <w:color w:val="000000"/>
                <w:szCs w:val="24"/>
                <w:lang w:eastAsia="lv-LV"/>
              </w:rPr>
              <w:t> </w:t>
            </w:r>
          </w:p>
        </w:tc>
        <w:tc>
          <w:tcPr>
            <w:tcW w:w="1298" w:type="dxa"/>
            <w:vAlign w:val="center"/>
            <w:hideMark/>
          </w:tcPr>
          <w:p w:rsidR="00687919" w:rsidRPr="00D536E1"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rsidR="00687919" w:rsidRPr="00D536E1"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Līmenis</w:t>
            </w:r>
          </w:p>
        </w:tc>
        <w:tc>
          <w:tcPr>
            <w:tcW w:w="2928" w:type="dxa"/>
            <w:gridSpan w:val="3"/>
            <w:vAlign w:val="center"/>
            <w:hideMark/>
          </w:tcPr>
          <w:p w:rsidR="00687919" w:rsidRPr="00D536E1"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Pieaugums %</w:t>
            </w:r>
          </w:p>
        </w:tc>
      </w:tr>
      <w:tr w:rsidR="00D536E1" w:rsidRPr="00D536E1"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1. IKP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2,4</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-0,5</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1,3</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2. Privātā patēriņa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3,0</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0,0</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1,2</w:t>
            </w:r>
          </w:p>
        </w:tc>
      </w:tr>
      <w:tr w:rsidR="00D536E1" w:rsidRPr="00D536E1"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3. Saskaņotā patēriņa cenu indekss</w:t>
            </w:r>
          </w:p>
        </w:tc>
        <w:tc>
          <w:tcPr>
            <w:tcW w:w="1298" w:type="dxa"/>
            <w:hideMark/>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3,0</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0,0</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1,2</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4. Valdības patēriņa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7,8</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0,6</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-1,6</w:t>
            </w:r>
          </w:p>
        </w:tc>
      </w:tr>
      <w:tr w:rsidR="00D536E1" w:rsidRPr="00D536E1"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5. Investīciju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2,7</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0,0</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4,0</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6. Eksporta cenu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0,2</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-5,0</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rPr>
              <w:t>1,1</w:t>
            </w:r>
          </w:p>
        </w:tc>
      </w:tr>
      <w:tr w:rsidR="00D536E1" w:rsidRPr="00BF5371" w:rsidTr="00687919">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7. Importa cenu </w:t>
            </w:r>
            <w:proofErr w:type="spellStart"/>
            <w:r w:rsidRPr="00D536E1">
              <w:rPr>
                <w:color w:val="000000"/>
                <w:szCs w:val="24"/>
                <w:lang w:eastAsia="lv-LV"/>
              </w:rPr>
              <w:t>deflators</w:t>
            </w:r>
            <w:proofErr w:type="spellEnd"/>
          </w:p>
        </w:tc>
        <w:tc>
          <w:tcPr>
            <w:tcW w:w="1298" w:type="dxa"/>
            <w:hideMark/>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 </w:t>
            </w:r>
          </w:p>
        </w:tc>
        <w:tc>
          <w:tcPr>
            <w:tcW w:w="1056" w:type="dxa"/>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-0,5</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-5,5</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rPr>
              <w:t>2,0</w:t>
            </w:r>
          </w:p>
        </w:tc>
      </w:tr>
    </w:tbl>
    <w:p w:rsidR="00C32D1D" w:rsidRPr="00BF5371" w:rsidRDefault="00C32D1D" w:rsidP="00C32D1D">
      <w:pPr>
        <w:ind w:firstLine="0"/>
        <w:jc w:val="left"/>
        <w:rPr>
          <w:szCs w:val="24"/>
          <w:highlight w:val="yellow"/>
        </w:rPr>
      </w:pPr>
    </w:p>
    <w:p w:rsidR="00C32D1D" w:rsidRPr="00BF5371" w:rsidRDefault="00C32D1D" w:rsidP="00C32D1D">
      <w:pPr>
        <w:ind w:firstLine="0"/>
        <w:jc w:val="left"/>
        <w:rPr>
          <w:b/>
          <w:szCs w:val="24"/>
          <w:highlight w:val="yellow"/>
        </w:rPr>
      </w:pPr>
    </w:p>
    <w:p w:rsidR="00C32D1D" w:rsidRPr="00D536E1" w:rsidRDefault="00C32D1D" w:rsidP="00C32D1D">
      <w:pPr>
        <w:pStyle w:val="Heading1"/>
        <w:tabs>
          <w:tab w:val="left" w:pos="1276"/>
        </w:tabs>
        <w:spacing w:before="0" w:after="240"/>
        <w:ind w:firstLine="0"/>
        <w:jc w:val="left"/>
        <w:rPr>
          <w:rFonts w:ascii="Times New Roman" w:hAnsi="Times New Roman"/>
          <w:color w:val="18185E"/>
          <w:sz w:val="24"/>
        </w:rPr>
      </w:pPr>
      <w:bookmarkStart w:id="7" w:name="_Toc53388923"/>
      <w:r w:rsidRPr="00D536E1">
        <w:rPr>
          <w:rFonts w:ascii="Times New Roman" w:hAnsi="Times New Roman"/>
          <w:color w:val="18185E"/>
          <w:sz w:val="24"/>
        </w:rPr>
        <w:t>Tabula 1c: Darba tirgus attīstība</w:t>
      </w:r>
      <w:bookmarkEnd w:id="7"/>
    </w:p>
    <w:tbl>
      <w:tblPr>
        <w:tblStyle w:val="GridTable6Colorful-Accent11"/>
        <w:tblW w:w="8784" w:type="dxa"/>
        <w:jc w:val="center"/>
        <w:tblLayout w:type="fixed"/>
        <w:tblLook w:val="04A0" w:firstRow="1" w:lastRow="0" w:firstColumn="1" w:lastColumn="0" w:noHBand="0" w:noVBand="1"/>
      </w:tblPr>
      <w:tblGrid>
        <w:gridCol w:w="3681"/>
        <w:gridCol w:w="862"/>
        <w:gridCol w:w="1548"/>
        <w:gridCol w:w="850"/>
        <w:gridCol w:w="851"/>
        <w:gridCol w:w="992"/>
      </w:tblGrid>
      <w:tr w:rsidR="00D536E1" w:rsidRPr="00D536E1" w:rsidTr="0068791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Chars="100" w:firstLine="240"/>
              <w:jc w:val="right"/>
              <w:rPr>
                <w:color w:val="000000"/>
                <w:szCs w:val="24"/>
                <w:lang w:eastAsia="lv-LV"/>
              </w:rPr>
            </w:pPr>
            <w:r w:rsidRPr="00D536E1">
              <w:rPr>
                <w:color w:val="000000"/>
                <w:szCs w:val="24"/>
                <w:lang w:eastAsia="lv-LV"/>
              </w:rPr>
              <w:t> </w:t>
            </w:r>
          </w:p>
        </w:tc>
        <w:tc>
          <w:tcPr>
            <w:tcW w:w="862" w:type="dxa"/>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EKS kods</w:t>
            </w:r>
          </w:p>
        </w:tc>
        <w:tc>
          <w:tcPr>
            <w:tcW w:w="1548"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2019</w:t>
            </w:r>
          </w:p>
        </w:tc>
        <w:tc>
          <w:tcPr>
            <w:tcW w:w="850"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2019</w:t>
            </w:r>
          </w:p>
        </w:tc>
        <w:tc>
          <w:tcPr>
            <w:tcW w:w="851"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2020</w:t>
            </w:r>
          </w:p>
        </w:tc>
        <w:tc>
          <w:tcPr>
            <w:tcW w:w="992"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2021</w:t>
            </w:r>
          </w:p>
        </w:tc>
      </w:tr>
      <w:tr w:rsidR="00687919" w:rsidRPr="00D536E1"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687919" w:rsidRPr="00D536E1" w:rsidRDefault="00687919" w:rsidP="00F866B5">
            <w:pPr>
              <w:spacing w:after="0"/>
              <w:ind w:firstLineChars="100" w:firstLine="240"/>
              <w:jc w:val="right"/>
              <w:rPr>
                <w:color w:val="000000"/>
                <w:szCs w:val="24"/>
                <w:lang w:eastAsia="lv-LV"/>
              </w:rPr>
            </w:pPr>
            <w:r w:rsidRPr="00D536E1">
              <w:rPr>
                <w:color w:val="000000"/>
                <w:szCs w:val="24"/>
                <w:lang w:eastAsia="lv-LV"/>
              </w:rPr>
              <w:t> </w:t>
            </w:r>
          </w:p>
        </w:tc>
        <w:tc>
          <w:tcPr>
            <w:tcW w:w="862" w:type="dxa"/>
            <w:hideMark/>
          </w:tcPr>
          <w:p w:rsidR="00687919" w:rsidRPr="00D536E1" w:rsidRDefault="00687919"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 </w:t>
            </w:r>
          </w:p>
        </w:tc>
        <w:tc>
          <w:tcPr>
            <w:tcW w:w="1548" w:type="dxa"/>
            <w:vAlign w:val="center"/>
            <w:hideMark/>
          </w:tcPr>
          <w:p w:rsidR="00687919" w:rsidRPr="00D536E1"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Līmenis</w:t>
            </w:r>
          </w:p>
        </w:tc>
        <w:tc>
          <w:tcPr>
            <w:tcW w:w="2693" w:type="dxa"/>
            <w:gridSpan w:val="3"/>
            <w:vAlign w:val="center"/>
            <w:hideMark/>
          </w:tcPr>
          <w:p w:rsidR="00687919" w:rsidRPr="00D536E1"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Pieaugums %</w:t>
            </w:r>
          </w:p>
        </w:tc>
      </w:tr>
      <w:tr w:rsidR="00D536E1" w:rsidRPr="00D536E1" w:rsidTr="00DD605B">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1. Nodarbinātība, cilvēki, tūkst.</w:t>
            </w:r>
          </w:p>
        </w:tc>
        <w:tc>
          <w:tcPr>
            <w:tcW w:w="862" w:type="dxa"/>
            <w:vAlign w:val="center"/>
            <w:hideMark/>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910,0</w:t>
            </w:r>
          </w:p>
        </w:tc>
        <w:tc>
          <w:tcPr>
            <w:tcW w:w="850"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0,1</w:t>
            </w:r>
          </w:p>
        </w:tc>
        <w:tc>
          <w:tcPr>
            <w:tcW w:w="851"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-4,4</w:t>
            </w:r>
          </w:p>
        </w:tc>
        <w:tc>
          <w:tcPr>
            <w:tcW w:w="992"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0,6</w:t>
            </w:r>
          </w:p>
        </w:tc>
      </w:tr>
      <w:tr w:rsidR="00D536E1" w:rsidRPr="00D536E1" w:rsidTr="00DD605B">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2. Nostrādātās stundas</w:t>
            </w:r>
          </w:p>
        </w:tc>
        <w:tc>
          <w:tcPr>
            <w:tcW w:w="862" w:type="dxa"/>
            <w:vAlign w:val="center"/>
            <w:hideMark/>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rsidR="00D536E1" w:rsidRPr="00D536E1" w:rsidRDefault="00D536E1" w:rsidP="00D536E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1</w:t>
            </w:r>
            <w:r w:rsidR="00A70F3E" w:rsidRPr="00A70F3E">
              <w:rPr>
                <w:color w:val="auto"/>
                <w:szCs w:val="24"/>
                <w:lang w:eastAsia="lv-LV"/>
              </w:rPr>
              <w:t> </w:t>
            </w:r>
            <w:r w:rsidRPr="00D536E1">
              <w:rPr>
                <w:color w:val="000000"/>
                <w:szCs w:val="24"/>
              </w:rPr>
              <w:t>623,6</w:t>
            </w:r>
          </w:p>
        </w:tc>
        <w:tc>
          <w:tcPr>
            <w:tcW w:w="850"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0,9</w:t>
            </w:r>
          </w:p>
        </w:tc>
        <w:tc>
          <w:tcPr>
            <w:tcW w:w="851"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0,0</w:t>
            </w:r>
          </w:p>
        </w:tc>
        <w:tc>
          <w:tcPr>
            <w:tcW w:w="992"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0,0</w:t>
            </w:r>
          </w:p>
        </w:tc>
      </w:tr>
      <w:tr w:rsidR="00D536E1" w:rsidRPr="00D536E1" w:rsidTr="00DD605B">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3. Bezdarbs (%)</w:t>
            </w:r>
          </w:p>
        </w:tc>
        <w:tc>
          <w:tcPr>
            <w:tcW w:w="862" w:type="dxa"/>
            <w:vAlign w:val="center"/>
            <w:hideMark/>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 </w:t>
            </w:r>
          </w:p>
        </w:tc>
        <w:tc>
          <w:tcPr>
            <w:tcW w:w="850"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6,3</w:t>
            </w:r>
          </w:p>
        </w:tc>
        <w:tc>
          <w:tcPr>
            <w:tcW w:w="851"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10,5</w:t>
            </w:r>
          </w:p>
        </w:tc>
        <w:tc>
          <w:tcPr>
            <w:tcW w:w="992"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9,8</w:t>
            </w:r>
          </w:p>
        </w:tc>
      </w:tr>
      <w:tr w:rsidR="00D536E1" w:rsidRPr="00D536E1" w:rsidTr="00DD605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4. Produktivitāte uz nodarbināto</w:t>
            </w:r>
          </w:p>
        </w:tc>
        <w:tc>
          <w:tcPr>
            <w:tcW w:w="862" w:type="dxa"/>
            <w:vAlign w:val="center"/>
            <w:hideMark/>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 </w:t>
            </w:r>
          </w:p>
        </w:tc>
        <w:tc>
          <w:tcPr>
            <w:tcW w:w="850"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2,0</w:t>
            </w:r>
          </w:p>
        </w:tc>
        <w:tc>
          <w:tcPr>
            <w:tcW w:w="851"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-2,7</w:t>
            </w:r>
          </w:p>
        </w:tc>
        <w:tc>
          <w:tcPr>
            <w:tcW w:w="992"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4,5</w:t>
            </w:r>
          </w:p>
        </w:tc>
      </w:tr>
      <w:tr w:rsidR="00D536E1" w:rsidRPr="00D536E1" w:rsidTr="00DD605B">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5. Produktivitāte stundā</w:t>
            </w:r>
          </w:p>
        </w:tc>
        <w:tc>
          <w:tcPr>
            <w:tcW w:w="862" w:type="dxa"/>
            <w:vAlign w:val="center"/>
            <w:hideMark/>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 </w:t>
            </w:r>
          </w:p>
        </w:tc>
        <w:tc>
          <w:tcPr>
            <w:tcW w:w="850"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2,0</w:t>
            </w:r>
          </w:p>
        </w:tc>
        <w:tc>
          <w:tcPr>
            <w:tcW w:w="851"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-2,7</w:t>
            </w:r>
          </w:p>
        </w:tc>
        <w:tc>
          <w:tcPr>
            <w:tcW w:w="992"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4,5</w:t>
            </w:r>
          </w:p>
        </w:tc>
      </w:tr>
      <w:tr w:rsidR="00D536E1" w:rsidRPr="00D536E1" w:rsidTr="00DD60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6. Darbinieku atalgojums kopā, mljrd. </w:t>
            </w:r>
            <w:proofErr w:type="spellStart"/>
            <w:r w:rsidRPr="00D536E1">
              <w:rPr>
                <w:i/>
                <w:color w:val="000000"/>
                <w:szCs w:val="24"/>
                <w:lang w:eastAsia="lv-LV"/>
              </w:rPr>
              <w:t>euro</w:t>
            </w:r>
            <w:proofErr w:type="spellEnd"/>
          </w:p>
        </w:tc>
        <w:tc>
          <w:tcPr>
            <w:tcW w:w="862" w:type="dxa"/>
            <w:vAlign w:val="center"/>
            <w:hideMark/>
          </w:tcPr>
          <w:p w:rsidR="00D536E1" w:rsidRPr="00D536E1" w:rsidRDefault="00D536E1" w:rsidP="00D536E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D.1</w:t>
            </w:r>
          </w:p>
        </w:tc>
        <w:tc>
          <w:tcPr>
            <w:tcW w:w="1548"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15,2</w:t>
            </w:r>
          </w:p>
        </w:tc>
        <w:tc>
          <w:tcPr>
            <w:tcW w:w="850"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8,6</w:t>
            </w:r>
          </w:p>
        </w:tc>
        <w:tc>
          <w:tcPr>
            <w:tcW w:w="851"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-5,4</w:t>
            </w:r>
          </w:p>
        </w:tc>
        <w:tc>
          <w:tcPr>
            <w:tcW w:w="992" w:type="dxa"/>
            <w:vAlign w:val="center"/>
          </w:tcPr>
          <w:p w:rsidR="00D536E1" w:rsidRPr="00DD605B" w:rsidRDefault="00D536E1" w:rsidP="00DD605B">
            <w:pPr>
              <w:pStyle w:val="NoSpacing"/>
              <w:ind w:firstLine="0"/>
              <w:jc w:val="center"/>
              <w:cnfStyle w:val="000000100000" w:firstRow="0" w:lastRow="0" w:firstColumn="0" w:lastColumn="0" w:oddVBand="0" w:evenVBand="0" w:oddHBand="1" w:evenHBand="0" w:firstRowFirstColumn="0" w:firstRowLastColumn="0" w:lastRowFirstColumn="0" w:lastRowLastColumn="0"/>
              <w:rPr>
                <w:color w:val="000000" w:themeColor="text1"/>
                <w:lang w:eastAsia="lv-LV"/>
              </w:rPr>
            </w:pPr>
            <w:r w:rsidRPr="00DD605B">
              <w:rPr>
                <w:color w:val="000000" w:themeColor="text1"/>
              </w:rPr>
              <w:t>3,6</w:t>
            </w:r>
          </w:p>
        </w:tc>
      </w:tr>
      <w:tr w:rsidR="00D536E1" w:rsidRPr="00D536E1" w:rsidTr="00DD605B">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7. Bruto alga, </w:t>
            </w:r>
            <w:proofErr w:type="spellStart"/>
            <w:r w:rsidRPr="00D536E1">
              <w:rPr>
                <w:i/>
                <w:color w:val="000000"/>
                <w:szCs w:val="24"/>
                <w:lang w:eastAsia="lv-LV"/>
              </w:rPr>
              <w:t>euro</w:t>
            </w:r>
            <w:proofErr w:type="spellEnd"/>
          </w:p>
        </w:tc>
        <w:tc>
          <w:tcPr>
            <w:tcW w:w="862" w:type="dxa"/>
            <w:hideMark/>
          </w:tcPr>
          <w:p w:rsidR="00D536E1" w:rsidRPr="00D536E1" w:rsidRDefault="00D536E1" w:rsidP="00D536E1">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 </w:t>
            </w:r>
          </w:p>
        </w:tc>
        <w:tc>
          <w:tcPr>
            <w:tcW w:w="1548"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1</w:t>
            </w:r>
            <w:r w:rsidR="00A70F3E" w:rsidRPr="00A70F3E">
              <w:rPr>
                <w:color w:val="auto"/>
                <w:szCs w:val="24"/>
                <w:lang w:eastAsia="lv-LV"/>
              </w:rPr>
              <w:t> </w:t>
            </w:r>
            <w:r w:rsidRPr="00D536E1">
              <w:rPr>
                <w:color w:val="000000"/>
                <w:szCs w:val="24"/>
              </w:rPr>
              <w:t>076</w:t>
            </w:r>
          </w:p>
        </w:tc>
        <w:tc>
          <w:tcPr>
            <w:tcW w:w="850"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7,2</w:t>
            </w:r>
          </w:p>
        </w:tc>
        <w:tc>
          <w:tcPr>
            <w:tcW w:w="851"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-1,0</w:t>
            </w:r>
          </w:p>
        </w:tc>
        <w:tc>
          <w:tcPr>
            <w:tcW w:w="992" w:type="dxa"/>
            <w:vAlign w:val="center"/>
          </w:tcPr>
          <w:p w:rsidR="00D536E1" w:rsidRPr="00DD605B" w:rsidRDefault="00D536E1" w:rsidP="00DD605B">
            <w:pPr>
              <w:pStyle w:val="NoSpacing"/>
              <w:ind w:firstLine="0"/>
              <w:jc w:val="center"/>
              <w:cnfStyle w:val="000000000000" w:firstRow="0" w:lastRow="0" w:firstColumn="0" w:lastColumn="0" w:oddVBand="0" w:evenVBand="0" w:oddHBand="0" w:evenHBand="0" w:firstRowFirstColumn="0" w:firstRowLastColumn="0" w:lastRowFirstColumn="0" w:lastRowLastColumn="0"/>
              <w:rPr>
                <w:color w:val="000000" w:themeColor="text1"/>
                <w:lang w:eastAsia="lv-LV"/>
              </w:rPr>
            </w:pPr>
            <w:r w:rsidRPr="00DD605B">
              <w:rPr>
                <w:color w:val="000000" w:themeColor="text1"/>
              </w:rPr>
              <w:t>3,0</w:t>
            </w:r>
          </w:p>
        </w:tc>
      </w:tr>
    </w:tbl>
    <w:p w:rsidR="00C32D1D" w:rsidRPr="00BF5371" w:rsidRDefault="00C32D1D" w:rsidP="00C32D1D">
      <w:pPr>
        <w:ind w:firstLine="0"/>
        <w:jc w:val="left"/>
        <w:rPr>
          <w:szCs w:val="24"/>
          <w:highlight w:val="yellow"/>
        </w:rPr>
      </w:pPr>
    </w:p>
    <w:p w:rsidR="00C32D1D" w:rsidRPr="00BF5371" w:rsidRDefault="00C32D1D" w:rsidP="00C32D1D">
      <w:pPr>
        <w:ind w:firstLine="0"/>
        <w:jc w:val="left"/>
        <w:rPr>
          <w:szCs w:val="24"/>
          <w:highlight w:val="yellow"/>
        </w:rPr>
      </w:pPr>
    </w:p>
    <w:p w:rsidR="00C32D1D" w:rsidRPr="00D536E1" w:rsidRDefault="00C32D1D" w:rsidP="001D5709">
      <w:pPr>
        <w:pStyle w:val="Heading1"/>
        <w:tabs>
          <w:tab w:val="left" w:pos="1276"/>
        </w:tabs>
        <w:spacing w:before="0" w:after="240"/>
        <w:ind w:firstLine="0"/>
        <w:jc w:val="left"/>
        <w:rPr>
          <w:rFonts w:ascii="Times New Roman" w:hAnsi="Times New Roman"/>
          <w:color w:val="18185E"/>
          <w:sz w:val="24"/>
        </w:rPr>
      </w:pPr>
      <w:bookmarkStart w:id="8" w:name="_Toc53388924"/>
      <w:r w:rsidRPr="00D536E1">
        <w:rPr>
          <w:rFonts w:ascii="Times New Roman" w:hAnsi="Times New Roman"/>
          <w:color w:val="18185E"/>
          <w:sz w:val="24"/>
        </w:rPr>
        <w:t>Tabula 1d: Sektoru bilances</w:t>
      </w:r>
      <w:bookmarkEnd w:id="8"/>
    </w:p>
    <w:tbl>
      <w:tblPr>
        <w:tblStyle w:val="GridTable6Colorful-Accent11"/>
        <w:tblW w:w="8784" w:type="dxa"/>
        <w:jc w:val="center"/>
        <w:tblLook w:val="04A0" w:firstRow="1" w:lastRow="0" w:firstColumn="1" w:lastColumn="0" w:noHBand="0" w:noVBand="1"/>
      </w:tblPr>
      <w:tblGrid>
        <w:gridCol w:w="4390"/>
        <w:gridCol w:w="1275"/>
        <w:gridCol w:w="1134"/>
        <w:gridCol w:w="993"/>
        <w:gridCol w:w="992"/>
      </w:tblGrid>
      <w:tr w:rsidR="00D536E1" w:rsidRPr="00D536E1" w:rsidTr="0068791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390" w:type="dxa"/>
            <w:hideMark/>
          </w:tcPr>
          <w:p w:rsidR="00D536E1" w:rsidRPr="00D536E1" w:rsidRDefault="00D536E1" w:rsidP="00D536E1">
            <w:pPr>
              <w:spacing w:after="0"/>
              <w:ind w:firstLineChars="100" w:firstLine="240"/>
              <w:jc w:val="right"/>
              <w:rPr>
                <w:color w:val="000000"/>
                <w:szCs w:val="24"/>
                <w:lang w:eastAsia="lv-LV"/>
              </w:rPr>
            </w:pPr>
            <w:r w:rsidRPr="00D536E1">
              <w:rPr>
                <w:color w:val="000000"/>
                <w:szCs w:val="24"/>
                <w:lang w:eastAsia="lv-LV"/>
              </w:rPr>
              <w:t> </w:t>
            </w:r>
          </w:p>
        </w:tc>
        <w:tc>
          <w:tcPr>
            <w:tcW w:w="1275"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EKS kods</w:t>
            </w:r>
          </w:p>
        </w:tc>
        <w:tc>
          <w:tcPr>
            <w:tcW w:w="1134"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2019</w:t>
            </w:r>
          </w:p>
        </w:tc>
        <w:tc>
          <w:tcPr>
            <w:tcW w:w="993"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2020</w:t>
            </w:r>
          </w:p>
        </w:tc>
        <w:tc>
          <w:tcPr>
            <w:tcW w:w="992" w:type="dxa"/>
            <w:vAlign w:val="center"/>
            <w:hideMark/>
          </w:tcPr>
          <w:p w:rsidR="00D536E1" w:rsidRPr="00D536E1" w:rsidRDefault="00D536E1" w:rsidP="00D536E1">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2021</w:t>
            </w:r>
          </w:p>
        </w:tc>
      </w:tr>
      <w:tr w:rsidR="00687919" w:rsidRPr="00D536E1"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hideMark/>
          </w:tcPr>
          <w:p w:rsidR="00687919" w:rsidRPr="00D536E1" w:rsidRDefault="00687919" w:rsidP="00F866B5">
            <w:pPr>
              <w:spacing w:after="0"/>
              <w:ind w:firstLineChars="100" w:firstLine="240"/>
              <w:jc w:val="right"/>
              <w:rPr>
                <w:color w:val="000000"/>
                <w:szCs w:val="24"/>
                <w:lang w:eastAsia="lv-LV"/>
              </w:rPr>
            </w:pPr>
            <w:r w:rsidRPr="00D536E1">
              <w:rPr>
                <w:color w:val="000000"/>
                <w:szCs w:val="24"/>
                <w:lang w:eastAsia="lv-LV"/>
              </w:rPr>
              <w:t> </w:t>
            </w:r>
          </w:p>
        </w:tc>
        <w:tc>
          <w:tcPr>
            <w:tcW w:w="1275" w:type="dxa"/>
            <w:vAlign w:val="center"/>
            <w:hideMark/>
          </w:tcPr>
          <w:p w:rsidR="00687919" w:rsidRPr="00D536E1"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3119" w:type="dxa"/>
            <w:gridSpan w:val="3"/>
            <w:vAlign w:val="center"/>
            <w:hideMark/>
          </w:tcPr>
          <w:p w:rsidR="00687919" w:rsidRPr="00D536E1"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 no IKP</w:t>
            </w:r>
          </w:p>
        </w:tc>
      </w:tr>
      <w:tr w:rsidR="00D536E1" w:rsidRPr="00D536E1" w:rsidTr="00687919">
        <w:trPr>
          <w:trHeight w:val="4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1. Neto aizdevumi/aizņēmumi attiecībā pret pārējām valstīm</w:t>
            </w:r>
          </w:p>
        </w:tc>
        <w:tc>
          <w:tcPr>
            <w:tcW w:w="1275" w:type="dxa"/>
            <w:vAlign w:val="center"/>
            <w:hideMark/>
          </w:tcPr>
          <w:p w:rsidR="00D536E1" w:rsidRPr="00D536E1" w:rsidRDefault="00D536E1" w:rsidP="00D536E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B.9</w:t>
            </w:r>
          </w:p>
        </w:tc>
        <w:tc>
          <w:tcPr>
            <w:tcW w:w="1134"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0,5</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1,5</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0,9</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no kā</w:t>
            </w:r>
          </w:p>
        </w:tc>
        <w:tc>
          <w:tcPr>
            <w:tcW w:w="1275" w:type="dxa"/>
            <w:vAlign w:val="center"/>
            <w:hideMark/>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 </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 </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 </w:t>
            </w:r>
          </w:p>
        </w:tc>
      </w:tr>
      <w:tr w:rsidR="00D536E1" w:rsidRPr="00D536E1" w:rsidTr="00687919">
        <w:trPr>
          <w:trHeight w:val="21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Preču un pakalpojumu bilance</w:t>
            </w:r>
          </w:p>
        </w:tc>
        <w:tc>
          <w:tcPr>
            <w:tcW w:w="1275" w:type="dxa"/>
            <w:vAlign w:val="center"/>
            <w:hideMark/>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-0,8</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0,3</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-0,4</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 xml:space="preserve">Primāro ienākumu un </w:t>
            </w:r>
            <w:proofErr w:type="spellStart"/>
            <w:r w:rsidRPr="00D536E1">
              <w:rPr>
                <w:color w:val="000000"/>
                <w:szCs w:val="24"/>
                <w:lang w:eastAsia="lv-LV"/>
              </w:rPr>
              <w:t>transfēru</w:t>
            </w:r>
            <w:proofErr w:type="spellEnd"/>
            <w:r w:rsidRPr="00D536E1">
              <w:rPr>
                <w:color w:val="000000"/>
                <w:szCs w:val="24"/>
                <w:lang w:eastAsia="lv-LV"/>
              </w:rPr>
              <w:t xml:space="preserve"> bilance</w:t>
            </w:r>
          </w:p>
        </w:tc>
        <w:tc>
          <w:tcPr>
            <w:tcW w:w="1275" w:type="dxa"/>
            <w:vAlign w:val="center"/>
            <w:hideMark/>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-0,6</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-0,5</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-0,3</w:t>
            </w:r>
          </w:p>
        </w:tc>
      </w:tr>
      <w:tr w:rsidR="00D536E1" w:rsidRPr="00D536E1" w:rsidTr="00687919">
        <w:trPr>
          <w:trHeight w:val="26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Kapitāla konts</w:t>
            </w:r>
          </w:p>
        </w:tc>
        <w:tc>
          <w:tcPr>
            <w:tcW w:w="1275" w:type="dxa"/>
            <w:vAlign w:val="center"/>
            <w:hideMark/>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34"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1,9</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1,7</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1,6</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2. Neto aizdevumi/aizņēmumi privātajā sektorā</w:t>
            </w:r>
          </w:p>
        </w:tc>
        <w:tc>
          <w:tcPr>
            <w:tcW w:w="1275" w:type="dxa"/>
            <w:vAlign w:val="center"/>
            <w:hideMark/>
          </w:tcPr>
          <w:p w:rsidR="00D536E1" w:rsidRPr="00D536E1" w:rsidRDefault="00D536E1" w:rsidP="00D536E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lang w:eastAsia="lv-LV"/>
              </w:rPr>
              <w:t>B.9</w:t>
            </w:r>
          </w:p>
        </w:tc>
        <w:tc>
          <w:tcPr>
            <w:tcW w:w="1134"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0,7</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9,1</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4,8</w:t>
            </w:r>
          </w:p>
        </w:tc>
      </w:tr>
      <w:tr w:rsidR="00D536E1" w:rsidRPr="00D536E1" w:rsidTr="00687919">
        <w:trPr>
          <w:trHeight w:val="267"/>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3. Neto aizdevumi/aizņēmumi valdības sektorā</w:t>
            </w:r>
          </w:p>
        </w:tc>
        <w:tc>
          <w:tcPr>
            <w:tcW w:w="1275" w:type="dxa"/>
            <w:vAlign w:val="center"/>
            <w:hideMark/>
          </w:tcPr>
          <w:p w:rsidR="00D536E1" w:rsidRPr="00D536E1" w:rsidRDefault="00D536E1" w:rsidP="00D536E1">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lang w:eastAsia="lv-LV"/>
              </w:rPr>
              <w:t>EDP B.9</w:t>
            </w:r>
          </w:p>
        </w:tc>
        <w:tc>
          <w:tcPr>
            <w:tcW w:w="1134"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-0,2</w:t>
            </w:r>
          </w:p>
        </w:tc>
        <w:tc>
          <w:tcPr>
            <w:tcW w:w="993"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-7,6</w:t>
            </w:r>
          </w:p>
        </w:tc>
        <w:tc>
          <w:tcPr>
            <w:tcW w:w="992" w:type="dxa"/>
            <w:vAlign w:val="center"/>
          </w:tcPr>
          <w:p w:rsidR="00D536E1" w:rsidRPr="00D536E1" w:rsidRDefault="00D536E1" w:rsidP="00D536E1">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36E1">
              <w:rPr>
                <w:color w:val="000000"/>
                <w:szCs w:val="24"/>
              </w:rPr>
              <w:t>-3,9</w:t>
            </w:r>
          </w:p>
        </w:tc>
      </w:tr>
      <w:tr w:rsidR="00D536E1" w:rsidRPr="00D536E1"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rsidR="00D536E1" w:rsidRPr="00D536E1" w:rsidRDefault="00D536E1" w:rsidP="00D536E1">
            <w:pPr>
              <w:spacing w:after="0"/>
              <w:ind w:firstLine="0"/>
              <w:jc w:val="left"/>
              <w:rPr>
                <w:color w:val="000000"/>
                <w:szCs w:val="24"/>
                <w:lang w:eastAsia="lv-LV"/>
              </w:rPr>
            </w:pPr>
            <w:r w:rsidRPr="00D536E1">
              <w:rPr>
                <w:color w:val="000000"/>
                <w:szCs w:val="24"/>
                <w:lang w:eastAsia="lv-LV"/>
              </w:rPr>
              <w:t>4. Statistiskā novirze</w:t>
            </w:r>
          </w:p>
        </w:tc>
        <w:tc>
          <w:tcPr>
            <w:tcW w:w="1275" w:type="dxa"/>
            <w:vAlign w:val="center"/>
            <w:hideMark/>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34"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0,0</w:t>
            </w:r>
          </w:p>
        </w:tc>
        <w:tc>
          <w:tcPr>
            <w:tcW w:w="993"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0,0</w:t>
            </w:r>
          </w:p>
        </w:tc>
        <w:tc>
          <w:tcPr>
            <w:tcW w:w="992" w:type="dxa"/>
            <w:vAlign w:val="center"/>
          </w:tcPr>
          <w:p w:rsidR="00D536E1" w:rsidRPr="00D536E1" w:rsidRDefault="00D536E1" w:rsidP="00D536E1">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36E1">
              <w:rPr>
                <w:color w:val="000000"/>
                <w:szCs w:val="24"/>
              </w:rPr>
              <w:t>0,0</w:t>
            </w:r>
          </w:p>
        </w:tc>
      </w:tr>
    </w:tbl>
    <w:p w:rsidR="005904B9" w:rsidRPr="00BF5371" w:rsidRDefault="005904B9">
      <w:pPr>
        <w:spacing w:after="0"/>
        <w:ind w:firstLine="0"/>
        <w:jc w:val="left"/>
        <w:rPr>
          <w:b/>
          <w:bCs/>
          <w:color w:val="18185E"/>
          <w:sz w:val="28"/>
          <w:szCs w:val="28"/>
          <w:highlight w:val="yellow"/>
          <w:lang w:val="x-none" w:eastAsia="x-none"/>
        </w:rPr>
      </w:pPr>
    </w:p>
    <w:p w:rsidR="0095691A" w:rsidRPr="0075279B" w:rsidRDefault="00DE25FE" w:rsidP="00375924">
      <w:pPr>
        <w:pStyle w:val="Heading1"/>
        <w:tabs>
          <w:tab w:val="left" w:pos="1276"/>
        </w:tabs>
        <w:spacing w:before="0" w:after="240"/>
        <w:jc w:val="center"/>
        <w:rPr>
          <w:rFonts w:ascii="Times New Roman" w:hAnsi="Times New Roman"/>
          <w:color w:val="18185E"/>
          <w:sz w:val="28"/>
          <w:lang w:val="lv-LV"/>
        </w:rPr>
      </w:pPr>
      <w:bookmarkStart w:id="9" w:name="_Toc53388925"/>
      <w:r w:rsidRPr="0075279B">
        <w:rPr>
          <w:rFonts w:ascii="Times New Roman" w:hAnsi="Times New Roman"/>
          <w:color w:val="18185E"/>
          <w:sz w:val="28"/>
        </w:rPr>
        <w:lastRenderedPageBreak/>
        <w:t>Fiskālā stratēģija un strukturālās bilances mērķi</w:t>
      </w:r>
      <w:bookmarkEnd w:id="9"/>
    </w:p>
    <w:p w:rsidR="00F86689" w:rsidRPr="00F86689" w:rsidRDefault="00F86689" w:rsidP="00F86689">
      <w:pPr>
        <w:widowControl w:val="0"/>
        <w:ind w:firstLine="675"/>
      </w:pPr>
      <w:r w:rsidRPr="00F86689">
        <w:t xml:space="preserve">Šis budžeta plāna projekts tiek sagatavots laikā, kad Latvijas ekonomiku un publiskās finanses ir </w:t>
      </w:r>
      <w:proofErr w:type="spellStart"/>
      <w:r w:rsidRPr="00F86689">
        <w:t>skārusi</w:t>
      </w:r>
      <w:proofErr w:type="spellEnd"/>
      <w:r w:rsidRPr="00F86689">
        <w:t xml:space="preserve"> Covid-19 pandēmija, kas ir izraisījusi būtiskas izmaiņas līdz šim īstenotajā fiskālajā politikā, kas ir balstīta uz ekonomiskajā ciklā sabalansēta budžeta veidošanu. Sekojoši var atzīmēt divus būtiskus ietekmes virzienus:</w:t>
      </w:r>
    </w:p>
    <w:p w:rsidR="00F86689" w:rsidRPr="00F86689" w:rsidRDefault="00F86689" w:rsidP="00F86689">
      <w:pPr>
        <w:pStyle w:val="ListParagraph"/>
        <w:widowControl w:val="0"/>
        <w:numPr>
          <w:ilvl w:val="0"/>
          <w:numId w:val="23"/>
        </w:numPr>
        <w:spacing w:after="0" w:line="240" w:lineRule="auto"/>
        <w:jc w:val="both"/>
        <w:rPr>
          <w:rFonts w:ascii="Times New Roman" w:hAnsi="Times New Roman"/>
          <w:sz w:val="24"/>
        </w:rPr>
      </w:pPr>
      <w:r w:rsidRPr="00F86689">
        <w:rPr>
          <w:rFonts w:ascii="Times New Roman" w:hAnsi="Times New Roman"/>
          <w:sz w:val="24"/>
        </w:rPr>
        <w:t>Izmaiņas SIP un FDL fiskālās disciplīnas nosacījumu piemērošanā;</w:t>
      </w:r>
    </w:p>
    <w:p w:rsidR="00F86689" w:rsidRPr="00F86689" w:rsidRDefault="00F86689" w:rsidP="00F86689">
      <w:pPr>
        <w:pStyle w:val="ListParagraph"/>
        <w:widowControl w:val="0"/>
        <w:numPr>
          <w:ilvl w:val="0"/>
          <w:numId w:val="23"/>
        </w:numPr>
        <w:spacing w:after="0" w:line="240" w:lineRule="auto"/>
        <w:jc w:val="both"/>
        <w:rPr>
          <w:rFonts w:ascii="Times New Roman" w:hAnsi="Times New Roman"/>
          <w:sz w:val="24"/>
        </w:rPr>
      </w:pPr>
      <w:r w:rsidRPr="00F86689">
        <w:rPr>
          <w:rFonts w:ascii="Times New Roman" w:hAnsi="Times New Roman"/>
          <w:sz w:val="24"/>
        </w:rPr>
        <w:t xml:space="preserve">Valdības sniegtais finansiālais atbalsts Covid-19 krīzes seku mazināšanai. </w:t>
      </w:r>
    </w:p>
    <w:p w:rsidR="00F86689" w:rsidRPr="00F86689" w:rsidRDefault="00F86689" w:rsidP="00F86689">
      <w:pPr>
        <w:widowControl w:val="0"/>
        <w:spacing w:after="0"/>
      </w:pPr>
    </w:p>
    <w:p w:rsidR="00F86689" w:rsidRPr="00F86689" w:rsidRDefault="00F86689" w:rsidP="00F86689">
      <w:pPr>
        <w:spacing w:after="0"/>
      </w:pPr>
      <w:r>
        <w:t>2020.</w:t>
      </w:r>
      <w:r w:rsidRPr="00F86689">
        <w:t xml:space="preserve">gadā ES līmenī tika aktivizēta SIP vispārējā izņēmuma klauzula, kas ES dalībvalstīm ļauj palielināt vispārējās </w:t>
      </w:r>
      <w:r>
        <w:t>valdības budžeta deficītu 2020.</w:t>
      </w:r>
      <w:r w:rsidRPr="00F86689">
        <w:t>gadā tik, cik ir nepieciešams Covid-19 pandēmijas izsauktā ekonomikas kaitējuma mazināšanai. Līdz ar to ES fisk</w:t>
      </w:r>
      <w:r>
        <w:t>ālās politikas regulējums 2020.gadā ļauj</w:t>
      </w:r>
      <w:r w:rsidRPr="00F86689">
        <w:t xml:space="preserve"> atkāpties no iepriekš noteiktajiem deficīta mērķiem. </w:t>
      </w:r>
      <w:r>
        <w:t>Fiskālās disciplīnas likuma 12.</w:t>
      </w:r>
      <w:r w:rsidRPr="00F86689">
        <w:t>pants paredz līdzīgu iespēju atkāpties no 0,5% strukturālā deficīta ievērošanas nopietnas ekonomikas lejupslīdes laikā. ES vispārējās izņēmuma klauzulas aktivizēšana bija pam</w:t>
      </w:r>
      <w:r>
        <w:t>ats tam, lai aktivizētu FDL 12.</w:t>
      </w:r>
      <w:r w:rsidRPr="00F86689">
        <w:t>p</w:t>
      </w:r>
      <w:r w:rsidR="007C034D">
        <w:t>an</w:t>
      </w:r>
      <w:r w:rsidRPr="00F86689">
        <w:t xml:space="preserve">tā noteikto atkāpes nosacījumu. </w:t>
      </w:r>
    </w:p>
    <w:p w:rsidR="00F86689" w:rsidRPr="00F86689" w:rsidRDefault="00F86689" w:rsidP="00F86689">
      <w:pPr>
        <w:widowControl w:val="0"/>
        <w:spacing w:after="0"/>
        <w:ind w:firstLine="709"/>
      </w:pPr>
      <w:r w:rsidRPr="00F86689">
        <w:t xml:space="preserve">Attiecībā uz MK sniegto atbalstu Covid-19 krīzes kontekstā, jāatzīmē, ka būtiskākie ar Covid-19 krīzi saistītie lēmumi un atbalsta pasākumi šogad tika pieņemti pirms aktuālā budžeta cikla uzsākšanas un tika aprakstīti Latvijas Stabilitātes programmā 2020.–2023. gadam, ietverot tos atbalsta pasākumus, kas tika apstiprināti līdz šā </w:t>
      </w:r>
      <w:r>
        <w:t>gada 17.</w:t>
      </w:r>
      <w:r w:rsidRPr="00F86689">
        <w:t>aprīlim. Tomēr ņemot vērā, ka</w:t>
      </w:r>
      <w:r>
        <w:t xml:space="preserve"> kopš 17.</w:t>
      </w:r>
      <w:r w:rsidRPr="00F86689">
        <w:t>aprīļa atsevišķi atbalsta pasākumi ir aktualizēti un ir pieņemti jauni pasākumi, šajā budžeta plāna projektā ir ietverta informāciju par aktuālo situāciju attiecībā uz MK pieņemtajiem atbalsta pasākumiem.</w:t>
      </w:r>
    </w:p>
    <w:p w:rsidR="00F86689" w:rsidRPr="00F86689" w:rsidRDefault="00F86689" w:rsidP="00F86689">
      <w:pPr>
        <w:widowControl w:val="0"/>
        <w:ind w:firstLine="709"/>
      </w:pPr>
      <w:r w:rsidRPr="00F86689">
        <w:t>Tomēr jāatzīmē, ka nākamajā un turpmākajos gados atbilstoši pašreizējām EK un ES dalībvalstu makroekonomiskajām prognozēm Covid-19 pandēmijas izraisītais ekonomiskais šoks mazināsies. Līdz ar to, vienlaikus saglabājot Latvijas valdības faktisko spēju reaģēt uz turpmāku Covid-19 pandēmijas attīstību negatīvāka scenārija gadījumā un pieņemt atbilstošus atbalsta pasākumus, lai mazinātu Covi</w:t>
      </w:r>
      <w:r>
        <w:t>d</w:t>
      </w:r>
      <w:r w:rsidRPr="00F86689">
        <w:t>-19 krīzes ietekmi uz Latvijas tautsaimniecību, valstī ir nepieciešams plānot fiskālo politiku arī vidējam termiņam. Latvijas fiskālās politikas vispārējais mērķis – ilgtspējīgi paaugstināt Latvijas iedzīvotāju dzīves kvalitāti – tiek saglabāts un to īsteno ar šādiem vidēja termiņa budžeta politikas prioritārajiem attīstības virzieniem:</w:t>
      </w:r>
    </w:p>
    <w:p w:rsidR="00F86689" w:rsidRPr="00F86689" w:rsidRDefault="00F86689" w:rsidP="00F86689">
      <w:pPr>
        <w:widowControl w:val="0"/>
        <w:spacing w:after="0"/>
        <w:ind w:firstLine="709"/>
      </w:pPr>
      <w:r w:rsidRPr="00F86689">
        <w:t xml:space="preserve">1) uzņēmumu konkurētspējas veicināšana un investīcijas atbalstošas vides attīstīšana, samazinot darbaspēka nodokļu slogu un reorganizējot </w:t>
      </w:r>
      <w:r w:rsidR="00C93F6B">
        <w:t>MUN</w:t>
      </w:r>
      <w:r w:rsidRPr="00F86689">
        <w:t xml:space="preserve"> režīmu; </w:t>
      </w:r>
    </w:p>
    <w:p w:rsidR="00F86689" w:rsidRPr="00F86689" w:rsidRDefault="00F86689" w:rsidP="00F86689">
      <w:pPr>
        <w:widowControl w:val="0"/>
        <w:spacing w:after="0"/>
        <w:ind w:firstLine="709"/>
      </w:pPr>
      <w:r w:rsidRPr="00F86689">
        <w:t>2) adekvātu valsts sociālās apdrošināšanas pakalpojumu nodrošināšana, nosakot atbilstošu obligāto iemaksu objektu vispārējā nodokļu režīmā un alternatīvajos nodokļu režīmos nodarbinātajiem;</w:t>
      </w:r>
    </w:p>
    <w:p w:rsidR="00F86689" w:rsidRPr="00F86689" w:rsidRDefault="00F86689" w:rsidP="00F86689">
      <w:pPr>
        <w:widowControl w:val="0"/>
        <w:spacing w:after="0"/>
        <w:ind w:firstLine="709"/>
      </w:pPr>
      <w:r w:rsidRPr="00F86689">
        <w:t xml:space="preserve">3) veselības un izglītības nozares </w:t>
      </w:r>
      <w:proofErr w:type="spellStart"/>
      <w:r w:rsidRPr="00F86689">
        <w:t>cilvēkkapitāla</w:t>
      </w:r>
      <w:proofErr w:type="spellEnd"/>
      <w:r w:rsidRPr="00F86689">
        <w:t xml:space="preserve"> kapacitātes saglabāšana un stiprināšana, palielinot publisko finansējumu ārstniecības personu un pedagogu atalgojumam.</w:t>
      </w:r>
    </w:p>
    <w:p w:rsidR="00F86689" w:rsidRPr="00F86689" w:rsidRDefault="00F86689" w:rsidP="00F86689">
      <w:pPr>
        <w:widowControl w:val="0"/>
        <w:spacing w:after="0"/>
        <w:ind w:firstLine="709"/>
      </w:pPr>
      <w:r w:rsidRPr="00F86689">
        <w:t>4) ienākumu nevienlīdzības mazināšana, paaugstinot ienākumu slieksni, līdz kuram piemēro ar iedzīvotāju ienākuma nodokli neapliekamo minimumu, kā arī palielinot garantēto minimālo ienākumu, minimālo pensiju un pabalstus sociāli maz aizsargātām sabiedrības grupām.</w:t>
      </w:r>
    </w:p>
    <w:p w:rsidR="00F86689" w:rsidRPr="00F86689" w:rsidRDefault="00F86689" w:rsidP="00F86689">
      <w:pPr>
        <w:spacing w:after="0"/>
        <w:ind w:firstLine="720"/>
        <w:rPr>
          <w:szCs w:val="24"/>
        </w:rPr>
      </w:pPr>
    </w:p>
    <w:p w:rsidR="00F86689" w:rsidRPr="00F86689" w:rsidRDefault="00F86689" w:rsidP="00F86689">
      <w:pPr>
        <w:spacing w:after="0"/>
        <w:ind w:firstLine="720"/>
        <w:rPr>
          <w:szCs w:val="24"/>
        </w:rPr>
      </w:pPr>
      <w:r w:rsidRPr="00F86689">
        <w:rPr>
          <w:szCs w:val="24"/>
        </w:rPr>
        <w:t>Latvijas vidēja termiņa budžeta politikas prioritārie attīstības virzieni</w:t>
      </w:r>
      <w:r w:rsidRPr="00F86689" w:rsidDel="00214BEF">
        <w:rPr>
          <w:szCs w:val="24"/>
        </w:rPr>
        <w:t xml:space="preserve"> </w:t>
      </w:r>
      <w:r w:rsidRPr="00F86689">
        <w:rPr>
          <w:szCs w:val="24"/>
        </w:rPr>
        <w:t xml:space="preserve">norāda galvenos izaicinājumus valstī, kuriem ir nepieciešams rast risinājumu un kuru risināšana ir iespējama, īstenojot konsekventu politiku vairāku gadu garumā. Vidēja termiņa budžeta politikas attīstības virzienos nav iekļauti jautājumi, kurus var uzskatīt par atrisinātiem. Tāpat vidēja termiņa budžeta prioritārie attīstības virzieni ne vienmēr ir tieši korelēti ar kādai nozarei no fiskālās </w:t>
      </w:r>
      <w:r w:rsidRPr="00F86689">
        <w:rPr>
          <w:szCs w:val="24"/>
        </w:rPr>
        <w:lastRenderedPageBreak/>
        <w:t>telpas piešķirtā finansējuma apjomu, piemēram, tad, ja papildus finansējums ir piešķirts esošo politiku īstenošanai lielākā apjomā, bet nav saistīts ar politikas izmaiņu.</w:t>
      </w:r>
    </w:p>
    <w:p w:rsidR="00F86689" w:rsidRPr="00F86689" w:rsidRDefault="00F86689" w:rsidP="00F86689">
      <w:pPr>
        <w:spacing w:after="0"/>
        <w:ind w:firstLine="720"/>
        <w:rPr>
          <w:szCs w:val="24"/>
        </w:rPr>
      </w:pPr>
      <w:r w:rsidRPr="00F86689">
        <w:rPr>
          <w:szCs w:val="24"/>
        </w:rPr>
        <w:t xml:space="preserve">2021.gada budžeta izstrādes laikā MK pieņēma lēmumus par </w:t>
      </w:r>
      <w:proofErr w:type="spellStart"/>
      <w:r w:rsidRPr="00F86689">
        <w:rPr>
          <w:szCs w:val="24"/>
        </w:rPr>
        <w:t>diskrecionārajiem</w:t>
      </w:r>
      <w:proofErr w:type="spellEnd"/>
      <w:r w:rsidRPr="00F86689">
        <w:rPr>
          <w:szCs w:val="24"/>
        </w:rPr>
        <w:t xml:space="preserve"> ieņēmumu un izdevumu pasākumiem, lai nodrošinātu valdības izvirzīto prioritāšu finansēšanu.</w:t>
      </w:r>
    </w:p>
    <w:p w:rsidR="00F86689" w:rsidRPr="00F86689" w:rsidRDefault="00F86689" w:rsidP="00F86689">
      <w:pPr>
        <w:spacing w:after="0"/>
        <w:ind w:firstLine="720"/>
        <w:rPr>
          <w:szCs w:val="24"/>
        </w:rPr>
      </w:pPr>
      <w:r w:rsidRPr="00F86689">
        <w:rPr>
          <w:szCs w:val="24"/>
        </w:rPr>
        <w:t>Papildu resursi prioritāšu finansēšanai tika nodrošināti arī īstenojot valsts budžeta bāzes izdevumu pārskatīšanu.</w:t>
      </w:r>
    </w:p>
    <w:p w:rsidR="00F86689" w:rsidRPr="00F86689" w:rsidRDefault="00F86689" w:rsidP="00F86689">
      <w:pPr>
        <w:spacing w:after="0"/>
        <w:rPr>
          <w:szCs w:val="24"/>
        </w:rPr>
      </w:pPr>
      <w:r w:rsidRPr="00F86689">
        <w:rPr>
          <w:szCs w:val="24"/>
        </w:rPr>
        <w:t xml:space="preserve">Tabulā Nr.3 sniegtie fiskālie dati ir sagatavoti pie nemainīgas politikas scenārija, kas ietver likumā „Par vidēja termiņa budžeta ietvaru 2020., 2021. un 2022.gadam” iekļautos 2021.gada </w:t>
      </w:r>
      <w:proofErr w:type="spellStart"/>
      <w:r w:rsidRPr="00F86689">
        <w:rPr>
          <w:szCs w:val="24"/>
        </w:rPr>
        <w:t>diskrecionāros</w:t>
      </w:r>
      <w:proofErr w:type="spellEnd"/>
      <w:r w:rsidRPr="00F86689">
        <w:rPr>
          <w:szCs w:val="24"/>
        </w:rPr>
        <w:t xml:space="preserve"> ieņēmumu un izdevumu pasākumus, kā arī politikas lēmumus, kas tika pieņemti saistībā ar </w:t>
      </w:r>
      <w:r w:rsidRPr="00F86689">
        <w:t xml:space="preserve">Covid-19 krīzi. Budžeta sagatavošanas laikā jauni ar Covid-19 krīzi saistīti lēmumi pēc būtības netika pieņemti, bet gan tehniski nostiprināti budžeta dokumentos un līdz ar to netiek atspoguļoti kā </w:t>
      </w:r>
      <w:proofErr w:type="spellStart"/>
      <w:r w:rsidRPr="00F86689">
        <w:t>diskrecionāri</w:t>
      </w:r>
      <w:proofErr w:type="spellEnd"/>
      <w:r w:rsidRPr="00F86689">
        <w:t xml:space="preserve"> pasākumi. </w:t>
      </w:r>
    </w:p>
    <w:p w:rsidR="00F86689" w:rsidRPr="00F86689" w:rsidRDefault="00F86689" w:rsidP="00F86689">
      <w:pPr>
        <w:spacing w:after="0"/>
        <w:rPr>
          <w:szCs w:val="24"/>
        </w:rPr>
      </w:pPr>
      <w:r w:rsidRPr="00F86689">
        <w:rPr>
          <w:szCs w:val="24"/>
        </w:rPr>
        <w:t xml:space="preserve">MK pieņemtie </w:t>
      </w:r>
      <w:proofErr w:type="spellStart"/>
      <w:r w:rsidRPr="00F86689">
        <w:rPr>
          <w:szCs w:val="24"/>
        </w:rPr>
        <w:t>diskrecionārie</w:t>
      </w:r>
      <w:proofErr w:type="spellEnd"/>
      <w:r w:rsidRPr="00F86689">
        <w:rPr>
          <w:szCs w:val="24"/>
        </w:rPr>
        <w:t xml:space="preserve"> ieņēmumu un izdevumu pasākumi ir norādīti tabulās Nr.5. Vienlaikus, tabulās Nr.5 kā atsevišķa sadaļa ir iekļautas tādas korekcijas fiskālajā scenārijā, kuras ir bijis nepieciešams veikt saistībā ar MK pieņemtajiem </w:t>
      </w:r>
      <w:proofErr w:type="spellStart"/>
      <w:r w:rsidRPr="00F86689">
        <w:rPr>
          <w:szCs w:val="24"/>
        </w:rPr>
        <w:t>diskrecionārajiem</w:t>
      </w:r>
      <w:proofErr w:type="spellEnd"/>
      <w:r w:rsidRPr="00F86689">
        <w:rPr>
          <w:szCs w:val="24"/>
        </w:rPr>
        <w:t xml:space="preserve"> lēmumiem, lai korekti atspoguļoti MK pieņemto lēmumu fiskālo ietekmi gan kopumā vispārējās valdības budžeta līmenī, gan vispārējās valdības budžeta </w:t>
      </w:r>
      <w:proofErr w:type="spellStart"/>
      <w:r w:rsidRPr="00F86689">
        <w:rPr>
          <w:szCs w:val="24"/>
        </w:rPr>
        <w:t>apakšlīmeņos</w:t>
      </w:r>
      <w:proofErr w:type="spellEnd"/>
      <w:r w:rsidRPr="00F86689">
        <w:rPr>
          <w:szCs w:val="24"/>
        </w:rPr>
        <w:t>. Tādējādi vienuviet tiek nodrošināts uzskatāms izmaiņu atspoguļojumu starp nemainīgas un mainīgas politikas scenāriju 2021.gadā.</w:t>
      </w:r>
    </w:p>
    <w:p w:rsidR="00F86689" w:rsidRPr="00F86689" w:rsidRDefault="00F86689" w:rsidP="00F86689">
      <w:pPr>
        <w:spacing w:after="0"/>
        <w:rPr>
          <w:szCs w:val="24"/>
        </w:rPr>
      </w:pPr>
    </w:p>
    <w:p w:rsidR="00F86689" w:rsidRPr="00F86689" w:rsidRDefault="00F86689" w:rsidP="00F86689">
      <w:pPr>
        <w:spacing w:after="0"/>
        <w:rPr>
          <w:szCs w:val="24"/>
        </w:rPr>
      </w:pPr>
      <w:r w:rsidRPr="00F86689">
        <w:rPr>
          <w:szCs w:val="24"/>
        </w:rPr>
        <w:t xml:space="preserve">Ņemot vērā iepriekš minēto, 2021.gada budžets ir sagatavots: </w:t>
      </w:r>
    </w:p>
    <w:p w:rsidR="00F86689" w:rsidRPr="00F86689"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86689">
        <w:rPr>
          <w:rFonts w:ascii="Times New Roman" w:hAnsi="Times New Roman"/>
          <w:sz w:val="24"/>
          <w:lang w:val="lv-LV" w:eastAsia="en-US"/>
        </w:rPr>
        <w:t xml:space="preserve">turpinot nodrošināt finansējumu iepriekšējā Ietvara likumā un 2020.gada valsts budžeta likumā definētajām prioritātēm; </w:t>
      </w:r>
    </w:p>
    <w:p w:rsidR="00F86689" w:rsidRPr="00F86689"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86689">
        <w:rPr>
          <w:rFonts w:ascii="Times New Roman" w:hAnsi="Times New Roman"/>
          <w:sz w:val="24"/>
          <w:lang w:val="lv-LV" w:eastAsia="en-US"/>
        </w:rPr>
        <w:t>piešķirot finansējumu jaunā budžeta cikla vidēja termiņa budžeta prioritārajiem attīstības virzieniem;</w:t>
      </w:r>
    </w:p>
    <w:p w:rsidR="00F86689" w:rsidRPr="00F86689"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86689">
        <w:rPr>
          <w:rFonts w:ascii="Times New Roman" w:hAnsi="Times New Roman"/>
          <w:sz w:val="24"/>
          <w:lang w:val="lv-LV" w:eastAsia="en-US"/>
        </w:rPr>
        <w:t>prognozējot, ka vispārējās valdības nominā</w:t>
      </w:r>
      <w:r w:rsidR="001E29EF">
        <w:rPr>
          <w:rFonts w:ascii="Times New Roman" w:hAnsi="Times New Roman"/>
          <w:sz w:val="24"/>
          <w:lang w:val="lv-LV" w:eastAsia="en-US"/>
        </w:rPr>
        <w:t>lais deficīts 2021.gadā ir 3,95</w:t>
      </w:r>
      <w:r w:rsidRPr="00F86689">
        <w:rPr>
          <w:rFonts w:ascii="Times New Roman" w:hAnsi="Times New Roman"/>
          <w:sz w:val="24"/>
          <w:lang w:val="lv-LV" w:eastAsia="en-US"/>
        </w:rPr>
        <w:t xml:space="preserve">% no IKP; </w:t>
      </w:r>
    </w:p>
    <w:p w:rsidR="00F86689" w:rsidRDefault="00F86689" w:rsidP="00F86689">
      <w:pPr>
        <w:pStyle w:val="ListParagraph"/>
        <w:numPr>
          <w:ilvl w:val="0"/>
          <w:numId w:val="10"/>
        </w:numPr>
        <w:spacing w:after="0" w:line="240" w:lineRule="auto"/>
        <w:jc w:val="both"/>
        <w:rPr>
          <w:rFonts w:ascii="Times New Roman" w:hAnsi="Times New Roman"/>
          <w:sz w:val="24"/>
          <w:lang w:val="lv-LV" w:eastAsia="en-US"/>
        </w:rPr>
      </w:pPr>
      <w:r w:rsidRPr="00F86689">
        <w:rPr>
          <w:rFonts w:ascii="Times New Roman" w:hAnsi="Times New Roman"/>
          <w:sz w:val="24"/>
          <w:lang w:val="lv-LV" w:eastAsia="en-US"/>
        </w:rPr>
        <w:t xml:space="preserve">veicot valsts budžeta bāzes izdevumu pārskatīšanu un izstrādājot papildu </w:t>
      </w:r>
      <w:proofErr w:type="spellStart"/>
      <w:r w:rsidRPr="00F86689">
        <w:rPr>
          <w:rFonts w:ascii="Times New Roman" w:hAnsi="Times New Roman"/>
          <w:sz w:val="24"/>
          <w:lang w:val="lv-LV" w:eastAsia="en-US"/>
        </w:rPr>
        <w:t>diskrecionāros</w:t>
      </w:r>
      <w:proofErr w:type="spellEnd"/>
      <w:r w:rsidRPr="00F86689">
        <w:rPr>
          <w:rFonts w:ascii="Times New Roman" w:hAnsi="Times New Roman"/>
          <w:sz w:val="24"/>
          <w:lang w:val="lv-LV" w:eastAsia="en-US"/>
        </w:rPr>
        <w:t xml:space="preserve"> ieņēmumu un izdevumu pasākumus, lai nodrošinātu finansē</w:t>
      </w:r>
      <w:r w:rsidR="007C034D">
        <w:rPr>
          <w:rFonts w:ascii="Times New Roman" w:hAnsi="Times New Roman"/>
          <w:sz w:val="24"/>
          <w:lang w:val="lv-LV" w:eastAsia="en-US"/>
        </w:rPr>
        <w:t>jumu MK definētajām prioritātēm;</w:t>
      </w:r>
    </w:p>
    <w:p w:rsidR="007C034D" w:rsidRPr="00824012" w:rsidRDefault="007C034D" w:rsidP="007C034D">
      <w:pPr>
        <w:pStyle w:val="ListParagraph"/>
        <w:numPr>
          <w:ilvl w:val="0"/>
          <w:numId w:val="10"/>
        </w:numPr>
        <w:spacing w:after="0" w:line="240" w:lineRule="auto"/>
        <w:jc w:val="both"/>
        <w:rPr>
          <w:rFonts w:ascii="Times New Roman" w:hAnsi="Times New Roman"/>
          <w:sz w:val="24"/>
          <w:lang w:val="lv-LV" w:eastAsia="en-US"/>
        </w:rPr>
      </w:pPr>
      <w:r w:rsidRPr="00824012">
        <w:rPr>
          <w:rFonts w:ascii="Times New Roman" w:hAnsi="Times New Roman"/>
          <w:sz w:val="24"/>
          <w:lang w:val="lv-LV" w:eastAsia="en-US"/>
        </w:rPr>
        <w:t>pieņemot nodokļu politikas lēmumus, lai veicinātu uzņēmumu konkurētspēju un investīcijas atbalstošu vidi, nodrošinātu adekvātu valsts sociālās apdrošināšanas pakalpojum</w:t>
      </w:r>
      <w:r>
        <w:rPr>
          <w:rFonts w:ascii="Times New Roman" w:hAnsi="Times New Roman"/>
          <w:sz w:val="24"/>
          <w:lang w:val="lv-LV" w:eastAsia="en-US"/>
        </w:rPr>
        <w:t>u līmeni</w:t>
      </w:r>
      <w:r w:rsidRPr="00824012">
        <w:rPr>
          <w:rFonts w:ascii="Times New Roman" w:hAnsi="Times New Roman"/>
          <w:sz w:val="24"/>
          <w:lang w:val="lv-LV" w:eastAsia="en-US"/>
        </w:rPr>
        <w:t xml:space="preserve">, kā arī </w:t>
      </w:r>
      <w:r>
        <w:rPr>
          <w:rFonts w:ascii="Times New Roman" w:hAnsi="Times New Roman"/>
          <w:sz w:val="24"/>
          <w:lang w:val="lv-LV" w:eastAsia="en-US"/>
        </w:rPr>
        <w:t>turpinātu</w:t>
      </w:r>
      <w:r w:rsidRPr="00824012">
        <w:rPr>
          <w:rFonts w:ascii="Times New Roman" w:hAnsi="Times New Roman"/>
          <w:sz w:val="24"/>
          <w:lang w:val="lv-LV" w:eastAsia="en-US"/>
        </w:rPr>
        <w:t xml:space="preserve"> mazināt ienākumu nevienlīdzību.</w:t>
      </w:r>
    </w:p>
    <w:p w:rsidR="00F86689" w:rsidRPr="00F86689" w:rsidRDefault="00F86689" w:rsidP="00F86689">
      <w:pPr>
        <w:spacing w:after="0"/>
        <w:rPr>
          <w:szCs w:val="24"/>
        </w:rPr>
      </w:pPr>
    </w:p>
    <w:p w:rsidR="00F86689" w:rsidRPr="00F86689" w:rsidRDefault="00F86689" w:rsidP="00F86689">
      <w:pPr>
        <w:spacing w:after="0"/>
        <w:rPr>
          <w:szCs w:val="24"/>
        </w:rPr>
      </w:pPr>
      <w:r w:rsidRPr="00F86689">
        <w:rPr>
          <w:szCs w:val="24"/>
        </w:rPr>
        <w:t xml:space="preserve">Ņemot vērā SIP vispārējās izņēmuma klauzulas </w:t>
      </w:r>
      <w:r w:rsidR="00AB18E6">
        <w:rPr>
          <w:szCs w:val="24"/>
        </w:rPr>
        <w:t>saglabāšanu 2021.gadā</w:t>
      </w:r>
      <w:r w:rsidR="00E0482E">
        <w:rPr>
          <w:szCs w:val="24"/>
        </w:rPr>
        <w:t>, šajā budžeta ciklā 2021.</w:t>
      </w:r>
      <w:r w:rsidRPr="00F86689">
        <w:rPr>
          <w:szCs w:val="24"/>
        </w:rPr>
        <w:t>gadam strukturālās bilances mērķis tiek noteikts, balstoties uz nominālās bilances apmēru, ņemot vērā fiskālās prognozes pie nemainīgas politikas, MK pieņemtos lēmumus ar fiskālo ietekmi aktuālajā budžeta ciklā kā arī F</w:t>
      </w:r>
      <w:r w:rsidR="00E0482E">
        <w:rPr>
          <w:szCs w:val="24"/>
        </w:rPr>
        <w:t xml:space="preserve">M </w:t>
      </w:r>
      <w:r w:rsidRPr="00F86689">
        <w:rPr>
          <w:szCs w:val="24"/>
        </w:rPr>
        <w:t xml:space="preserve">prognozes par ekonomikas ciklisko attīstību. Attiecīgi Latvijas strukturālās bilances mērķis 2021.gadā ir 2,06% no IKP. Saskaņā ar 2021.gada budžeta likuma projektu, strukturālais deficīts tiek plānots 1,96% no IKP apmērā. Starpība 0,1% no IKP ir fiskālā nodrošinājuma rezerve un ir paredzēta, lai </w:t>
      </w:r>
      <w:r w:rsidR="00AB18E6">
        <w:rPr>
          <w:szCs w:val="24"/>
        </w:rPr>
        <w:t>ņemtu vērā fiskālos riskus.</w:t>
      </w:r>
      <w:r w:rsidRPr="00F86689">
        <w:rPr>
          <w:szCs w:val="24"/>
        </w:rPr>
        <w:t xml:space="preserve"> </w:t>
      </w:r>
      <w:r w:rsidR="005A29D9">
        <w:rPr>
          <w:szCs w:val="24"/>
        </w:rPr>
        <w:t>Jāatzīmē, ka kopā ar 2021.gad</w:t>
      </w:r>
      <w:r w:rsidR="00BF0E38">
        <w:rPr>
          <w:szCs w:val="24"/>
        </w:rPr>
        <w:t>a budžeta likumu ir sagatavots I</w:t>
      </w:r>
      <w:r w:rsidR="005A29D9">
        <w:rPr>
          <w:szCs w:val="24"/>
        </w:rPr>
        <w:t>etvar</w:t>
      </w:r>
      <w:r w:rsidR="006E12AD">
        <w:rPr>
          <w:szCs w:val="24"/>
        </w:rPr>
        <w:t>a likums</w:t>
      </w:r>
      <w:r w:rsidR="005A29D9">
        <w:rPr>
          <w:szCs w:val="24"/>
        </w:rPr>
        <w:t xml:space="preserve"> 2021.</w:t>
      </w:r>
      <w:r w:rsidR="001819B8">
        <w:rPr>
          <w:szCs w:val="24"/>
        </w:rPr>
        <w:t>,</w:t>
      </w:r>
      <w:r w:rsidR="006E12AD">
        <w:rPr>
          <w:szCs w:val="24"/>
        </w:rPr>
        <w:t xml:space="preserve"> </w:t>
      </w:r>
      <w:r w:rsidR="005A29D9">
        <w:rPr>
          <w:szCs w:val="24"/>
        </w:rPr>
        <w:t>2022, un 2023.gadam, kas paredz vispārējās valdības budžeta strukturālā deficīta samazināšanu no 2% 2021. gadā uz 1% 2022.gadā un atgriešanos pie vidējā termiņa nacion</w:t>
      </w:r>
      <w:r w:rsidR="001E29EF">
        <w:rPr>
          <w:szCs w:val="24"/>
        </w:rPr>
        <w:t>ālā mērķa, kas ir 0.5% no IKP.</w:t>
      </w:r>
    </w:p>
    <w:p w:rsidR="00F86689" w:rsidRDefault="00F86689" w:rsidP="00F86689">
      <w:pPr>
        <w:spacing w:after="0"/>
        <w:rPr>
          <w:szCs w:val="24"/>
        </w:rPr>
      </w:pPr>
      <w:r w:rsidRPr="00F86689">
        <w:rPr>
          <w:szCs w:val="24"/>
        </w:rPr>
        <w:t>Vispārējās valdības budžeta deficīts saskaņā ar 2021.gada budžeta likuma projektu ir 3,95% no IKP.</w:t>
      </w:r>
    </w:p>
    <w:p w:rsidR="002C0B9F" w:rsidRPr="00F86689" w:rsidRDefault="002C0B9F" w:rsidP="00F86689">
      <w:pPr>
        <w:spacing w:after="0"/>
        <w:rPr>
          <w:szCs w:val="24"/>
        </w:rPr>
      </w:pPr>
      <w:r>
        <w:rPr>
          <w:szCs w:val="24"/>
        </w:rPr>
        <w:t xml:space="preserve">Lai arī 2021.gadā ir iespējams uzsākt pasākumus, kas tiks finansēti no Eiropas atjaunošanas un noturības mehānisma, pašlaik ne 2021.gada budžetā, ne šajā budžeta plānā netiek iekļauti potenciālie izdevumi un ieņēmumi, kas saistīti ar šo mehānismu. Latvijas </w:t>
      </w:r>
      <w:r>
        <w:rPr>
          <w:szCs w:val="24"/>
        </w:rPr>
        <w:lastRenderedPageBreak/>
        <w:t xml:space="preserve">budžeta vadības procedūras ļauj šos izdevumus un </w:t>
      </w:r>
      <w:r w:rsidR="00287AA8">
        <w:rPr>
          <w:szCs w:val="24"/>
        </w:rPr>
        <w:t xml:space="preserve">atbilstošos </w:t>
      </w:r>
      <w:r>
        <w:rPr>
          <w:szCs w:val="24"/>
        </w:rPr>
        <w:t>ieņēmumus</w:t>
      </w:r>
      <w:r w:rsidR="00287AA8">
        <w:rPr>
          <w:szCs w:val="24"/>
        </w:rPr>
        <w:t xml:space="preserve"> no ES</w:t>
      </w:r>
      <w:r>
        <w:rPr>
          <w:szCs w:val="24"/>
        </w:rPr>
        <w:t xml:space="preserve"> veikt pēc budžeta pieņemšanas, palielinot šīm vajadzībām nepieciešamās apropriācijas. Šāda pieeja tiek īstenota tāpēc, ka šī budžeta plāna sagatavošanas brīd</w:t>
      </w:r>
      <w:r w:rsidR="006E12AD">
        <w:rPr>
          <w:szCs w:val="24"/>
        </w:rPr>
        <w:t>ī</w:t>
      </w:r>
      <w:r>
        <w:rPr>
          <w:szCs w:val="24"/>
        </w:rPr>
        <w:t xml:space="preserve"> nav iespējams ticami prognozēt 2021.gada izdevumus no š</w:t>
      </w:r>
      <w:r w:rsidR="00287AA8">
        <w:rPr>
          <w:szCs w:val="24"/>
        </w:rPr>
        <w:t>ī instrumenta</w:t>
      </w:r>
      <w:r w:rsidR="006E12AD">
        <w:rPr>
          <w:szCs w:val="24"/>
        </w:rPr>
        <w:t>,</w:t>
      </w:r>
      <w:r w:rsidR="00287AA8">
        <w:rPr>
          <w:szCs w:val="24"/>
        </w:rPr>
        <w:t xml:space="preserve"> un tam ir neitrāla fiskālā ietekme uz vispārējās valdības budžeta bilanci un parādu.</w:t>
      </w:r>
      <w:r>
        <w:rPr>
          <w:szCs w:val="24"/>
        </w:rPr>
        <w:t xml:space="preserve">  </w:t>
      </w:r>
    </w:p>
    <w:p w:rsidR="00F724FE" w:rsidRPr="00BF5371" w:rsidRDefault="00F724FE">
      <w:pPr>
        <w:spacing w:after="0"/>
        <w:ind w:firstLine="0"/>
        <w:jc w:val="left"/>
        <w:rPr>
          <w:b/>
          <w:bCs/>
          <w:color w:val="18185E"/>
          <w:szCs w:val="28"/>
          <w:highlight w:val="yellow"/>
          <w:lang w:val="x-none" w:eastAsia="x-none"/>
        </w:rPr>
      </w:pPr>
    </w:p>
    <w:p w:rsidR="00272FF4" w:rsidRPr="00166C57" w:rsidRDefault="00272FF4" w:rsidP="00272FF4">
      <w:pPr>
        <w:pStyle w:val="Heading1"/>
        <w:tabs>
          <w:tab w:val="left" w:pos="1276"/>
        </w:tabs>
        <w:spacing w:before="0" w:after="240"/>
        <w:ind w:firstLine="0"/>
        <w:jc w:val="left"/>
        <w:rPr>
          <w:rFonts w:ascii="Times New Roman" w:hAnsi="Times New Roman"/>
        </w:rPr>
      </w:pPr>
      <w:bookmarkStart w:id="10" w:name="_Toc53388926"/>
      <w:r w:rsidRPr="00166C57">
        <w:rPr>
          <w:rFonts w:ascii="Times New Roman" w:hAnsi="Times New Roman"/>
          <w:color w:val="18185E"/>
          <w:sz w:val="24"/>
        </w:rPr>
        <w:t xml:space="preserve">Tabula 2.a: Vispārējās valdības budžeta mērķi sadalījumā pa </w:t>
      </w:r>
      <w:proofErr w:type="spellStart"/>
      <w:r w:rsidRPr="00166C57">
        <w:rPr>
          <w:rFonts w:ascii="Times New Roman" w:hAnsi="Times New Roman"/>
          <w:color w:val="18185E"/>
          <w:sz w:val="24"/>
        </w:rPr>
        <w:t>apakšsektoriem</w:t>
      </w:r>
      <w:bookmarkEnd w:id="10"/>
      <w:proofErr w:type="spellEnd"/>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166C57" w:rsidRPr="00166C57" w:rsidTr="00171512">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 </w:t>
            </w:r>
          </w:p>
        </w:tc>
        <w:tc>
          <w:tcPr>
            <w:tcW w:w="1409" w:type="dxa"/>
            <w:vAlign w:val="center"/>
            <w:hideMark/>
          </w:tcPr>
          <w:p w:rsidR="00166C57" w:rsidRPr="00166C57"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166C57">
              <w:rPr>
                <w:color w:val="000000"/>
                <w:szCs w:val="24"/>
                <w:lang w:eastAsia="lv-LV"/>
              </w:rPr>
              <w:t>EKS kods</w:t>
            </w:r>
          </w:p>
        </w:tc>
        <w:tc>
          <w:tcPr>
            <w:tcW w:w="1309" w:type="dxa"/>
            <w:vAlign w:val="center"/>
            <w:hideMark/>
          </w:tcPr>
          <w:p w:rsidR="00166C57" w:rsidRPr="00166C57"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sidRPr="00166C57">
              <w:rPr>
                <w:b w:val="0"/>
                <w:bCs w:val="0"/>
                <w:color w:val="000000"/>
                <w:szCs w:val="24"/>
              </w:rPr>
              <w:t>2020</w:t>
            </w:r>
          </w:p>
        </w:tc>
        <w:tc>
          <w:tcPr>
            <w:tcW w:w="1221" w:type="dxa"/>
            <w:vAlign w:val="center"/>
            <w:hideMark/>
          </w:tcPr>
          <w:p w:rsidR="00166C57" w:rsidRPr="00166C57" w:rsidRDefault="00166C57" w:rsidP="00166C57">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sidRPr="00166C57">
              <w:rPr>
                <w:b w:val="0"/>
                <w:bCs w:val="0"/>
                <w:color w:val="000000"/>
                <w:szCs w:val="24"/>
              </w:rPr>
              <w:t>2021</w:t>
            </w:r>
          </w:p>
        </w:tc>
      </w:tr>
      <w:tr w:rsidR="00166C57" w:rsidRPr="00166C57" w:rsidTr="00171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 </w:t>
            </w:r>
          </w:p>
        </w:tc>
        <w:tc>
          <w:tcPr>
            <w:tcW w:w="1409" w:type="dxa"/>
            <w:vAlign w:val="center"/>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 IKP</w:t>
            </w:r>
          </w:p>
        </w:tc>
      </w:tr>
      <w:tr w:rsidR="00166C57" w:rsidRPr="00166C5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 xml:space="preserve">Neto aizdevumi (+) vai aizņēmumi (–) (B.9) pa </w:t>
            </w:r>
            <w:proofErr w:type="spellStart"/>
            <w:r w:rsidRPr="00166C57">
              <w:rPr>
                <w:color w:val="000000"/>
                <w:szCs w:val="24"/>
                <w:lang w:eastAsia="lv-LV"/>
              </w:rPr>
              <w:t>apakšsektoriem</w:t>
            </w:r>
            <w:proofErr w:type="spellEnd"/>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 xml:space="preserve"> </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 xml:space="preserve"> </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 Vispārējā valdība</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S.13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-7,6</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-3,9</w:t>
            </w:r>
          </w:p>
        </w:tc>
      </w:tr>
      <w:tr w:rsidR="00166C57" w:rsidRPr="00166C5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2. Centrālā valdība</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S.1311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-6,8</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-3,6</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auto"/>
                <w:szCs w:val="24"/>
                <w:lang w:eastAsia="lv-LV"/>
              </w:rPr>
            </w:pPr>
            <w:r w:rsidRPr="00166C57">
              <w:rPr>
                <w:color w:val="auto"/>
                <w:szCs w:val="24"/>
                <w:lang w:eastAsia="lv-LV"/>
              </w:rPr>
              <w:t>3. Pavalstu valdība</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66C57">
              <w:rPr>
                <w:color w:val="auto"/>
                <w:szCs w:val="24"/>
                <w:lang w:eastAsia="lv-LV"/>
              </w:rPr>
              <w:t xml:space="preserve">S.1312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FF0000"/>
                <w:szCs w:val="24"/>
                <w:lang w:eastAsia="lv-LV"/>
              </w:rPr>
            </w:pPr>
            <w:r w:rsidRPr="00166C57">
              <w:rPr>
                <w:color w:val="000000"/>
                <w:szCs w:val="24"/>
              </w:rPr>
              <w:t> </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 </w:t>
            </w:r>
          </w:p>
        </w:tc>
      </w:tr>
      <w:tr w:rsidR="00166C57" w:rsidRPr="00166C5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4. Vietējā valdība</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S.1313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-0,3</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-0,2</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5. Sociālās nodrošināšanas fondi</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S.1314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-0,6</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-0,2</w:t>
            </w:r>
          </w:p>
        </w:tc>
      </w:tr>
      <w:tr w:rsidR="00166C57" w:rsidRPr="00166C5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6. Procentu izdevumi</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D.41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0,9</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0,8</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7. Primārā bilance</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-6,7</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-3,2</w:t>
            </w:r>
          </w:p>
        </w:tc>
      </w:tr>
      <w:tr w:rsidR="00166C57" w:rsidRPr="00166C57" w:rsidTr="0034726F">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 xml:space="preserve">8. Vienreizēji un citi īslaicīgi pasākumi </w:t>
            </w:r>
            <w:r w:rsidRPr="00166C57">
              <w:rPr>
                <w:rStyle w:val="FootnoteReference"/>
                <w:rFonts w:ascii="Times New Roman" w:hAnsi="Times New Roman"/>
                <w:color w:val="000000"/>
                <w:szCs w:val="24"/>
                <w:lang w:eastAsia="lv-LV"/>
              </w:rPr>
              <w:footnoteReference w:id="2"/>
            </w:r>
            <w:r w:rsidRPr="00166C57">
              <w:rPr>
                <w:color w:val="000000"/>
                <w:szCs w:val="24"/>
                <w:lang w:eastAsia="lv-LV"/>
              </w:rPr>
              <w:t xml:space="preserve"> </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0,2</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0,1</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9. Reālā IKP pieaugums (%) (=1. Tabulā 1.a)</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-7,0</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5,1</w:t>
            </w:r>
          </w:p>
        </w:tc>
      </w:tr>
      <w:tr w:rsidR="00166C57" w:rsidRPr="00166C57" w:rsidTr="0034726F">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10. Potenciālā IKP pieaugums (=2 Tabulā 1.a)</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2,4</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2,5</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Chars="100" w:firstLine="240"/>
              <w:jc w:val="left"/>
              <w:rPr>
                <w:color w:val="000000"/>
                <w:szCs w:val="24"/>
                <w:lang w:eastAsia="lv-LV"/>
              </w:rPr>
            </w:pPr>
            <w:r w:rsidRPr="00166C57">
              <w:rPr>
                <w:color w:val="000000"/>
                <w:szCs w:val="24"/>
                <w:lang w:eastAsia="lv-LV"/>
              </w:rPr>
              <w:t>iemaksas:</w:t>
            </w:r>
          </w:p>
        </w:tc>
        <w:tc>
          <w:tcPr>
            <w:tcW w:w="1409" w:type="dxa"/>
            <w:hideMark/>
          </w:tcPr>
          <w:p w:rsidR="00166C57" w:rsidRPr="00166C57" w:rsidRDefault="00166C57" w:rsidP="00166C57">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FF0000"/>
                <w:szCs w:val="24"/>
              </w:rPr>
              <w:t> </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FF0000"/>
                <w:szCs w:val="24"/>
              </w:rPr>
              <w:t> </w:t>
            </w:r>
          </w:p>
        </w:tc>
      </w:tr>
      <w:tr w:rsidR="00166C57" w:rsidRPr="00166C5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Chars="100" w:firstLine="240"/>
              <w:jc w:val="left"/>
              <w:rPr>
                <w:color w:val="000000"/>
                <w:szCs w:val="24"/>
                <w:lang w:eastAsia="lv-LV"/>
              </w:rPr>
            </w:pPr>
            <w:r w:rsidRPr="00166C57">
              <w:rPr>
                <w:color w:val="000000"/>
                <w:szCs w:val="24"/>
                <w:lang w:eastAsia="lv-LV"/>
              </w:rPr>
              <w:t>- darbaspēks</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0,0</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0,0</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Chars="100" w:firstLine="240"/>
              <w:jc w:val="left"/>
              <w:rPr>
                <w:color w:val="000000"/>
                <w:szCs w:val="24"/>
                <w:lang w:eastAsia="lv-LV"/>
              </w:rPr>
            </w:pPr>
            <w:r w:rsidRPr="00166C57">
              <w:rPr>
                <w:color w:val="000000"/>
                <w:szCs w:val="24"/>
                <w:lang w:eastAsia="lv-LV"/>
              </w:rPr>
              <w:t>- kapitāls</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0,7</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0,7</w:t>
            </w:r>
          </w:p>
        </w:tc>
      </w:tr>
      <w:tr w:rsidR="00166C57" w:rsidRPr="00166C5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Chars="100" w:firstLine="240"/>
              <w:jc w:val="left"/>
              <w:rPr>
                <w:color w:val="000000"/>
                <w:szCs w:val="24"/>
                <w:lang w:eastAsia="lv-LV"/>
              </w:rPr>
            </w:pPr>
            <w:r w:rsidRPr="00166C57">
              <w:rPr>
                <w:color w:val="000000"/>
                <w:szCs w:val="24"/>
                <w:lang w:eastAsia="lv-LV"/>
              </w:rPr>
              <w:t>- kopējais faktoru ražīgums</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1,7</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1,8</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11. Starpība starp faktisko un potenciālo IKP (% no potenciālā IKP)</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-7,7</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-5,4</w:t>
            </w:r>
          </w:p>
        </w:tc>
      </w:tr>
      <w:tr w:rsidR="00166C57" w:rsidRPr="00166C5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12. Budžeta bilances cikliskā komponente (% no IKP)</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-2,9</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-2,0</w:t>
            </w:r>
          </w:p>
        </w:tc>
      </w:tr>
      <w:tr w:rsidR="00166C57" w:rsidRPr="00166C57" w:rsidTr="0034726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13. Cikliski koriģētā bilance (1 – 12) (% no IKP)</w:t>
            </w:r>
          </w:p>
        </w:tc>
        <w:tc>
          <w:tcPr>
            <w:tcW w:w="1409" w:type="dxa"/>
            <w:hideMark/>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-4,7</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-1,9</w:t>
            </w:r>
          </w:p>
        </w:tc>
      </w:tr>
      <w:tr w:rsidR="00166C57" w:rsidRPr="00166C5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14. Cikliski koriģētā primārā bilance (13 + 6) (% no IKP)</w:t>
            </w:r>
          </w:p>
        </w:tc>
        <w:tc>
          <w:tcPr>
            <w:tcW w:w="1409" w:type="dxa"/>
            <w:hideMark/>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66C57">
              <w:rPr>
                <w:color w:val="000000"/>
                <w:szCs w:val="24"/>
              </w:rPr>
              <w:t>-3,8</w:t>
            </w:r>
          </w:p>
        </w:tc>
        <w:tc>
          <w:tcPr>
            <w:tcW w:w="1221" w:type="dxa"/>
            <w:vAlign w:val="center"/>
          </w:tcPr>
          <w:p w:rsidR="00166C57" w:rsidRPr="00166C57" w:rsidRDefault="00166C57" w:rsidP="00166C57">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rPr>
            </w:pPr>
            <w:r w:rsidRPr="00166C57">
              <w:rPr>
                <w:color w:val="000000"/>
                <w:szCs w:val="24"/>
              </w:rPr>
              <w:t>-1,2</w:t>
            </w:r>
          </w:p>
        </w:tc>
      </w:tr>
      <w:tr w:rsidR="00166C57" w:rsidRPr="00BF5371" w:rsidTr="0034726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rsidR="00166C57" w:rsidRPr="00166C57" w:rsidRDefault="00166C57" w:rsidP="00166C57">
            <w:pPr>
              <w:spacing w:after="0"/>
              <w:ind w:firstLine="0"/>
              <w:jc w:val="left"/>
              <w:rPr>
                <w:color w:val="000000"/>
                <w:szCs w:val="24"/>
                <w:lang w:eastAsia="lv-LV"/>
              </w:rPr>
            </w:pPr>
            <w:r w:rsidRPr="00166C57">
              <w:rPr>
                <w:color w:val="000000"/>
                <w:szCs w:val="24"/>
                <w:lang w:eastAsia="lv-LV"/>
              </w:rPr>
              <w:t xml:space="preserve">15. Strukturālā bilance (13 – 8) (% no IKP) </w:t>
            </w:r>
          </w:p>
        </w:tc>
        <w:tc>
          <w:tcPr>
            <w:tcW w:w="1409" w:type="dxa"/>
            <w:noWrap/>
            <w:hideMark/>
          </w:tcPr>
          <w:p w:rsidR="00166C57" w:rsidRPr="00166C57" w:rsidRDefault="00166C57" w:rsidP="00166C57">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lang w:eastAsia="lv-LV"/>
              </w:rPr>
              <w:t xml:space="preserve"> </w:t>
            </w:r>
          </w:p>
        </w:tc>
        <w:tc>
          <w:tcPr>
            <w:tcW w:w="1309"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66C57">
              <w:rPr>
                <w:color w:val="000000"/>
                <w:szCs w:val="24"/>
              </w:rPr>
              <w:t>-4,9</w:t>
            </w:r>
          </w:p>
        </w:tc>
        <w:tc>
          <w:tcPr>
            <w:tcW w:w="1221" w:type="dxa"/>
            <w:vAlign w:val="center"/>
          </w:tcPr>
          <w:p w:rsidR="00166C57" w:rsidRPr="00166C57" w:rsidRDefault="00166C57" w:rsidP="00166C5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rPr>
            </w:pPr>
            <w:r w:rsidRPr="00166C57">
              <w:rPr>
                <w:color w:val="000000"/>
                <w:szCs w:val="24"/>
              </w:rPr>
              <w:t>-2,0</w:t>
            </w:r>
          </w:p>
        </w:tc>
      </w:tr>
    </w:tbl>
    <w:p w:rsidR="00DF6819" w:rsidRPr="00BF5371" w:rsidRDefault="00DF6819" w:rsidP="00272FF4">
      <w:pPr>
        <w:pStyle w:val="Heading1"/>
        <w:tabs>
          <w:tab w:val="left" w:pos="1276"/>
        </w:tabs>
        <w:spacing w:before="0" w:after="240"/>
        <w:ind w:firstLine="0"/>
        <w:jc w:val="left"/>
        <w:rPr>
          <w:b w:val="0"/>
          <w:highlight w:val="yellow"/>
        </w:rPr>
      </w:pPr>
    </w:p>
    <w:p w:rsidR="00DF6819" w:rsidRPr="00BF5371" w:rsidRDefault="00DF6819" w:rsidP="00272FF4">
      <w:pPr>
        <w:pStyle w:val="Heading1"/>
        <w:tabs>
          <w:tab w:val="left" w:pos="1276"/>
        </w:tabs>
        <w:spacing w:before="0" w:after="240"/>
        <w:ind w:firstLine="0"/>
        <w:jc w:val="left"/>
        <w:rPr>
          <w:b w:val="0"/>
          <w:highlight w:val="yellow"/>
        </w:rPr>
      </w:pPr>
    </w:p>
    <w:p w:rsidR="00272FF4" w:rsidRPr="00195D14" w:rsidRDefault="00272FF4" w:rsidP="00272FF4">
      <w:pPr>
        <w:pStyle w:val="Heading1"/>
        <w:tabs>
          <w:tab w:val="left" w:pos="1276"/>
        </w:tabs>
        <w:spacing w:before="0" w:after="240"/>
        <w:ind w:firstLine="0"/>
        <w:jc w:val="left"/>
        <w:rPr>
          <w:rFonts w:ascii="Times New Roman" w:hAnsi="Times New Roman"/>
          <w:lang w:val="lv-LV"/>
        </w:rPr>
      </w:pPr>
      <w:r w:rsidRPr="00BF5371">
        <w:rPr>
          <w:b w:val="0"/>
          <w:highlight w:val="yellow"/>
        </w:rPr>
        <w:br w:type="page"/>
      </w:r>
      <w:bookmarkStart w:id="12" w:name="_Toc53388927"/>
      <w:r w:rsidRPr="00195D14">
        <w:rPr>
          <w:rFonts w:ascii="Times New Roman" w:hAnsi="Times New Roman"/>
          <w:color w:val="18185F"/>
          <w:sz w:val="24"/>
        </w:rPr>
        <w:lastRenderedPageBreak/>
        <w:t>Tabula 2.b: Vispārējās valdības parāda attīstība 20</w:t>
      </w:r>
      <w:r w:rsidR="00195D14">
        <w:rPr>
          <w:rFonts w:ascii="Times New Roman" w:hAnsi="Times New Roman"/>
          <w:color w:val="18185F"/>
          <w:sz w:val="24"/>
          <w:lang w:val="lv-LV"/>
        </w:rPr>
        <w:t>20</w:t>
      </w:r>
      <w:r w:rsidR="00D85FDB" w:rsidRPr="00195D14">
        <w:rPr>
          <w:rFonts w:ascii="Times New Roman" w:hAnsi="Times New Roman"/>
          <w:color w:val="18185F"/>
          <w:sz w:val="24"/>
        </w:rPr>
        <w:t>.</w:t>
      </w:r>
      <w:r w:rsidR="005030D2" w:rsidRPr="00195D14">
        <w:rPr>
          <w:szCs w:val="24"/>
        </w:rPr>
        <w:t>–</w:t>
      </w:r>
      <w:r w:rsidR="00D85FDB" w:rsidRPr="00195D14">
        <w:rPr>
          <w:rFonts w:ascii="Times New Roman" w:hAnsi="Times New Roman"/>
          <w:color w:val="18185F"/>
          <w:sz w:val="24"/>
        </w:rPr>
        <w:t>20</w:t>
      </w:r>
      <w:r w:rsidR="003822F3" w:rsidRPr="00195D14">
        <w:rPr>
          <w:rFonts w:ascii="Times New Roman" w:hAnsi="Times New Roman"/>
          <w:color w:val="18185F"/>
          <w:sz w:val="24"/>
          <w:lang w:val="lv-LV"/>
        </w:rPr>
        <w:t>2</w:t>
      </w:r>
      <w:r w:rsidR="00195D14">
        <w:rPr>
          <w:rFonts w:ascii="Times New Roman" w:hAnsi="Times New Roman"/>
          <w:color w:val="18185F"/>
          <w:sz w:val="24"/>
          <w:lang w:val="lv-LV"/>
        </w:rPr>
        <w:t>1</w:t>
      </w:r>
      <w:r w:rsidRPr="00195D14">
        <w:rPr>
          <w:rFonts w:ascii="Times New Roman" w:hAnsi="Times New Roman"/>
          <w:color w:val="18185F"/>
          <w:sz w:val="24"/>
        </w:rPr>
        <w:t>.gadā</w:t>
      </w:r>
      <w:bookmarkEnd w:id="12"/>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195D14"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rsidR="00272FF4" w:rsidRPr="00195D14" w:rsidRDefault="00272FF4" w:rsidP="001B0074">
            <w:pPr>
              <w:spacing w:after="0"/>
              <w:ind w:firstLine="0"/>
              <w:jc w:val="center"/>
              <w:rPr>
                <w:b w:val="0"/>
                <w:bCs w:val="0"/>
                <w:color w:val="auto"/>
                <w:szCs w:val="24"/>
                <w:lang w:eastAsia="lv-LV"/>
              </w:rPr>
            </w:pPr>
          </w:p>
        </w:tc>
        <w:tc>
          <w:tcPr>
            <w:tcW w:w="1276" w:type="dxa"/>
            <w:vAlign w:val="center"/>
            <w:hideMark/>
          </w:tcPr>
          <w:p w:rsidR="00272FF4" w:rsidRPr="00195D14"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195D14">
              <w:rPr>
                <w:color w:val="auto"/>
                <w:szCs w:val="24"/>
                <w:lang w:eastAsia="lv-LV"/>
              </w:rPr>
              <w:t>EKS kods</w:t>
            </w:r>
          </w:p>
        </w:tc>
        <w:tc>
          <w:tcPr>
            <w:tcW w:w="1237" w:type="dxa"/>
            <w:noWrap/>
            <w:vAlign w:val="center"/>
            <w:hideMark/>
          </w:tcPr>
          <w:p w:rsidR="00272FF4" w:rsidRPr="00195D14" w:rsidRDefault="006F3B5B" w:rsidP="00195D1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195D14">
              <w:rPr>
                <w:color w:val="auto"/>
                <w:szCs w:val="24"/>
                <w:lang w:eastAsia="lv-LV"/>
              </w:rPr>
              <w:t>20</w:t>
            </w:r>
            <w:r w:rsidR="00195D14" w:rsidRPr="00195D14">
              <w:rPr>
                <w:color w:val="auto"/>
                <w:szCs w:val="24"/>
                <w:lang w:eastAsia="lv-LV"/>
              </w:rPr>
              <w:t>20</w:t>
            </w:r>
          </w:p>
        </w:tc>
        <w:tc>
          <w:tcPr>
            <w:tcW w:w="1181" w:type="dxa"/>
            <w:noWrap/>
            <w:vAlign w:val="center"/>
            <w:hideMark/>
          </w:tcPr>
          <w:p w:rsidR="00272FF4" w:rsidRPr="00195D14" w:rsidRDefault="006F3B5B" w:rsidP="00195D14">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195D14">
              <w:rPr>
                <w:color w:val="auto"/>
                <w:szCs w:val="24"/>
                <w:lang w:eastAsia="lv-LV"/>
              </w:rPr>
              <w:t>20</w:t>
            </w:r>
            <w:r w:rsidR="003822F3" w:rsidRPr="00195D14">
              <w:rPr>
                <w:color w:val="auto"/>
                <w:szCs w:val="24"/>
                <w:lang w:eastAsia="lv-LV"/>
              </w:rPr>
              <w:t>2</w:t>
            </w:r>
            <w:r w:rsidR="00195D14" w:rsidRPr="00195D14">
              <w:rPr>
                <w:color w:val="auto"/>
                <w:szCs w:val="24"/>
                <w:lang w:eastAsia="lv-LV"/>
              </w:rPr>
              <w:t>1</w:t>
            </w:r>
          </w:p>
        </w:tc>
      </w:tr>
      <w:tr w:rsidR="00381267" w:rsidRPr="00BF5371"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rsidR="00381267" w:rsidRPr="00195D14" w:rsidRDefault="00381267" w:rsidP="001B0074">
            <w:pPr>
              <w:spacing w:after="0"/>
              <w:ind w:firstLine="0"/>
              <w:jc w:val="center"/>
              <w:rPr>
                <w:szCs w:val="24"/>
                <w:lang w:eastAsia="lv-LV"/>
              </w:rPr>
            </w:pPr>
          </w:p>
        </w:tc>
        <w:tc>
          <w:tcPr>
            <w:tcW w:w="3694" w:type="dxa"/>
            <w:gridSpan w:val="3"/>
            <w:vAlign w:val="center"/>
          </w:tcPr>
          <w:p w:rsidR="00381267" w:rsidRPr="00195D14"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195D14">
              <w:rPr>
                <w:color w:val="auto"/>
                <w:szCs w:val="24"/>
                <w:lang w:eastAsia="lv-LV"/>
              </w:rPr>
              <w:t>% no IKP</w:t>
            </w:r>
          </w:p>
        </w:tc>
      </w:tr>
      <w:tr w:rsidR="00195D14" w:rsidRPr="00BF5371"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1. Bruto parāds</w:t>
            </w:r>
          </w:p>
        </w:tc>
        <w:tc>
          <w:tcPr>
            <w:tcW w:w="1276" w:type="dxa"/>
            <w:noWrap/>
            <w:hideMark/>
          </w:tcPr>
          <w:p w:rsidR="00195D14" w:rsidRPr="00195D14" w:rsidRDefault="00195D14" w:rsidP="00195D1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195D14">
              <w:rPr>
                <w:bCs/>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47,3%</w:t>
            </w:r>
          </w:p>
        </w:tc>
        <w:tc>
          <w:tcPr>
            <w:tcW w:w="1181"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46,0%</w:t>
            </w:r>
          </w:p>
        </w:tc>
      </w:tr>
      <w:tr w:rsidR="00195D14" w:rsidRPr="00BF5371"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2. Bruto parāda izmaiņas</w:t>
            </w:r>
          </w:p>
        </w:tc>
        <w:tc>
          <w:tcPr>
            <w:tcW w:w="1276" w:type="dxa"/>
            <w:noWrap/>
            <w:hideMark/>
          </w:tcPr>
          <w:p w:rsidR="00195D14" w:rsidRPr="00195D14"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195D14">
              <w:rPr>
                <w:bCs/>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10,4%</w:t>
            </w:r>
          </w:p>
        </w:tc>
        <w:tc>
          <w:tcPr>
            <w:tcW w:w="1181"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-1,3%</w:t>
            </w:r>
          </w:p>
        </w:tc>
      </w:tr>
      <w:tr w:rsidR="00003E2F" w:rsidRPr="00BF5371"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rsidR="00272FF4" w:rsidRPr="00195D14" w:rsidRDefault="00272FF4" w:rsidP="008D5055">
            <w:pPr>
              <w:spacing w:after="0"/>
              <w:ind w:firstLine="0"/>
              <w:jc w:val="center"/>
              <w:rPr>
                <w:bCs w:val="0"/>
                <w:color w:val="auto"/>
                <w:szCs w:val="24"/>
                <w:lang w:eastAsia="lv-LV"/>
              </w:rPr>
            </w:pPr>
            <w:r w:rsidRPr="00195D14">
              <w:rPr>
                <w:color w:val="auto"/>
                <w:szCs w:val="24"/>
                <w:lang w:eastAsia="lv-LV"/>
              </w:rPr>
              <w:t>Kopējā parāda izmaiņas ietekmējošie faktori</w:t>
            </w:r>
          </w:p>
        </w:tc>
      </w:tr>
      <w:tr w:rsidR="00195D14" w:rsidRPr="00BF5371"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3. Primārā bilance</w:t>
            </w:r>
          </w:p>
        </w:tc>
        <w:tc>
          <w:tcPr>
            <w:tcW w:w="1276" w:type="dxa"/>
            <w:noWrap/>
            <w:hideMark/>
          </w:tcPr>
          <w:p w:rsidR="00195D14" w:rsidRPr="00195D14"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195D14">
              <w:rPr>
                <w:bCs/>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-6,7%</w:t>
            </w:r>
          </w:p>
        </w:tc>
        <w:tc>
          <w:tcPr>
            <w:tcW w:w="1181"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-3,2%</w:t>
            </w:r>
          </w:p>
        </w:tc>
      </w:tr>
      <w:tr w:rsidR="00195D14" w:rsidRPr="00BF5371"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 xml:space="preserve">4. Procentu maksājumi </w:t>
            </w:r>
          </w:p>
        </w:tc>
        <w:tc>
          <w:tcPr>
            <w:tcW w:w="1276" w:type="dxa"/>
            <w:hideMark/>
          </w:tcPr>
          <w:p w:rsidR="00195D14" w:rsidRPr="00195D14" w:rsidRDefault="00195D14" w:rsidP="00195D1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195D14">
              <w:rPr>
                <w:bCs/>
                <w:color w:val="auto"/>
                <w:szCs w:val="24"/>
                <w:lang w:eastAsia="lv-LV"/>
              </w:rPr>
              <w:t>EDP D.41</w:t>
            </w:r>
          </w:p>
        </w:tc>
        <w:tc>
          <w:tcPr>
            <w:tcW w:w="1237"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0,9%</w:t>
            </w:r>
          </w:p>
        </w:tc>
        <w:tc>
          <w:tcPr>
            <w:tcW w:w="1181"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0,8%</w:t>
            </w:r>
          </w:p>
        </w:tc>
      </w:tr>
      <w:tr w:rsidR="00195D14" w:rsidRPr="00BF5371"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5. Krājumu izmaiņas, t.sk.</w:t>
            </w:r>
          </w:p>
        </w:tc>
        <w:tc>
          <w:tcPr>
            <w:tcW w:w="1276" w:type="dxa"/>
            <w:hideMark/>
          </w:tcPr>
          <w:p w:rsidR="00195D14" w:rsidRPr="00195D14"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195D14">
              <w:rPr>
                <w:bCs/>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2,8%</w:t>
            </w:r>
          </w:p>
        </w:tc>
        <w:tc>
          <w:tcPr>
            <w:tcW w:w="1181"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-5,3%</w:t>
            </w:r>
          </w:p>
        </w:tc>
      </w:tr>
      <w:tr w:rsidR="00195D14" w:rsidRPr="00BF5371"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rsidR="00195D14" w:rsidRPr="00195D14" w:rsidRDefault="00195D14" w:rsidP="00195D14">
            <w:pPr>
              <w:spacing w:after="0"/>
              <w:ind w:firstLine="0"/>
              <w:jc w:val="left"/>
              <w:rPr>
                <w:bCs w:val="0"/>
                <w:color w:val="auto"/>
                <w:szCs w:val="24"/>
                <w:lang w:eastAsia="lv-LV"/>
              </w:rPr>
            </w:pPr>
            <w:r w:rsidRPr="00195D14">
              <w:rPr>
                <w:color w:val="auto"/>
                <w:szCs w:val="24"/>
                <w:lang w:eastAsia="lv-LV"/>
              </w:rPr>
              <w:t>Valsts parāda netiešā procentu likme</w:t>
            </w:r>
          </w:p>
        </w:tc>
        <w:tc>
          <w:tcPr>
            <w:tcW w:w="1276" w:type="dxa"/>
            <w:noWrap/>
            <w:hideMark/>
          </w:tcPr>
          <w:p w:rsidR="00195D14" w:rsidRPr="00195D14" w:rsidRDefault="00195D14" w:rsidP="00195D14">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195D14">
              <w:rPr>
                <w:bCs/>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2,2%</w:t>
            </w:r>
          </w:p>
        </w:tc>
        <w:tc>
          <w:tcPr>
            <w:tcW w:w="1181"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1,7%</w:t>
            </w:r>
          </w:p>
        </w:tc>
      </w:tr>
      <w:tr w:rsidR="00003E2F" w:rsidRPr="00BF5371"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rsidR="00272FF4" w:rsidRPr="00195D14" w:rsidRDefault="00272FF4" w:rsidP="008D5055">
            <w:pPr>
              <w:spacing w:after="0"/>
              <w:ind w:firstLine="0"/>
              <w:jc w:val="center"/>
              <w:rPr>
                <w:bCs w:val="0"/>
                <w:color w:val="auto"/>
                <w:szCs w:val="24"/>
                <w:lang w:eastAsia="lv-LV"/>
              </w:rPr>
            </w:pPr>
            <w:r w:rsidRPr="00195D14">
              <w:rPr>
                <w:color w:val="auto"/>
                <w:szCs w:val="24"/>
                <w:lang w:eastAsia="lv-LV"/>
              </w:rPr>
              <w:t>Citi mainīgie</w:t>
            </w:r>
          </w:p>
        </w:tc>
      </w:tr>
      <w:tr w:rsidR="00003E2F" w:rsidRPr="00BF5371"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272FF4" w:rsidRPr="00195D14" w:rsidRDefault="00272FF4" w:rsidP="00272FF4">
            <w:pPr>
              <w:spacing w:after="0"/>
              <w:ind w:firstLine="0"/>
              <w:jc w:val="left"/>
              <w:rPr>
                <w:color w:val="auto"/>
                <w:szCs w:val="24"/>
                <w:lang w:eastAsia="lv-LV"/>
              </w:rPr>
            </w:pPr>
            <w:r w:rsidRPr="00195D14">
              <w:rPr>
                <w:color w:val="auto"/>
                <w:szCs w:val="24"/>
                <w:lang w:eastAsia="lv-LV"/>
              </w:rPr>
              <w:t>6. Likvīdi finanšu aktīvi</w:t>
            </w:r>
          </w:p>
        </w:tc>
        <w:tc>
          <w:tcPr>
            <w:tcW w:w="1276" w:type="dxa"/>
            <w:noWrap/>
            <w:hideMark/>
          </w:tcPr>
          <w:p w:rsidR="00272FF4" w:rsidRPr="00195D14"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 </w:t>
            </w:r>
          </w:p>
        </w:tc>
        <w:tc>
          <w:tcPr>
            <w:tcW w:w="1237" w:type="dxa"/>
            <w:noWrap/>
            <w:vAlign w:val="center"/>
          </w:tcPr>
          <w:p w:rsidR="00272FF4" w:rsidRPr="00195D14"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c>
          <w:tcPr>
            <w:tcW w:w="1181" w:type="dxa"/>
            <w:noWrap/>
            <w:vAlign w:val="center"/>
          </w:tcPr>
          <w:p w:rsidR="00272FF4" w:rsidRPr="00195D14"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p>
        </w:tc>
      </w:tr>
      <w:tr w:rsidR="00003E2F" w:rsidRPr="00BF5371"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272FF4" w:rsidRPr="00195D14" w:rsidRDefault="00272FF4" w:rsidP="00272FF4">
            <w:pPr>
              <w:spacing w:after="0"/>
              <w:ind w:firstLine="0"/>
              <w:jc w:val="left"/>
              <w:rPr>
                <w:color w:val="auto"/>
                <w:szCs w:val="24"/>
                <w:lang w:eastAsia="lv-LV"/>
              </w:rPr>
            </w:pPr>
            <w:r w:rsidRPr="00195D14">
              <w:rPr>
                <w:color w:val="auto"/>
                <w:szCs w:val="24"/>
                <w:lang w:eastAsia="lv-LV"/>
              </w:rPr>
              <w:t>7. Neto finansiālais parāds (7=1-6)</w:t>
            </w:r>
          </w:p>
        </w:tc>
        <w:tc>
          <w:tcPr>
            <w:tcW w:w="1276" w:type="dxa"/>
            <w:noWrap/>
            <w:hideMark/>
          </w:tcPr>
          <w:p w:rsidR="00272FF4" w:rsidRPr="00195D14"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 </w:t>
            </w:r>
          </w:p>
        </w:tc>
        <w:tc>
          <w:tcPr>
            <w:tcW w:w="1237" w:type="dxa"/>
            <w:noWrap/>
            <w:vAlign w:val="center"/>
          </w:tcPr>
          <w:p w:rsidR="00272FF4" w:rsidRPr="00195D14"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rsidR="00272FF4" w:rsidRPr="00195D14"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195D14" w:rsidRPr="00BF5371"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rsidR="00195D14" w:rsidRPr="00195D14" w:rsidRDefault="00195D14" w:rsidP="00195D14">
            <w:pPr>
              <w:spacing w:after="0"/>
              <w:ind w:firstLine="0"/>
              <w:jc w:val="left"/>
              <w:rPr>
                <w:color w:val="auto"/>
                <w:szCs w:val="24"/>
                <w:lang w:eastAsia="lv-LV"/>
              </w:rPr>
            </w:pPr>
            <w:r w:rsidRPr="00195D14">
              <w:rPr>
                <w:color w:val="auto"/>
                <w:szCs w:val="24"/>
                <w:lang w:eastAsia="lv-LV"/>
              </w:rPr>
              <w:t>8. Parāda amortizācija</w:t>
            </w:r>
          </w:p>
        </w:tc>
        <w:tc>
          <w:tcPr>
            <w:tcW w:w="1276" w:type="dxa"/>
            <w:noWrap/>
            <w:hideMark/>
          </w:tcPr>
          <w:p w:rsidR="00195D14" w:rsidRPr="00195D14" w:rsidRDefault="00195D14" w:rsidP="00195D14">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4,5%</w:t>
            </w:r>
          </w:p>
        </w:tc>
        <w:tc>
          <w:tcPr>
            <w:tcW w:w="1181"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4,9%</w:t>
            </w:r>
          </w:p>
        </w:tc>
      </w:tr>
      <w:tr w:rsidR="00195D14" w:rsidRPr="00BF5371"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rsidR="00195D14" w:rsidRPr="00195D14" w:rsidRDefault="00195D14" w:rsidP="00195D14">
            <w:pPr>
              <w:spacing w:after="0"/>
              <w:ind w:firstLine="0"/>
              <w:jc w:val="left"/>
              <w:rPr>
                <w:color w:val="auto"/>
                <w:szCs w:val="24"/>
                <w:lang w:eastAsia="lv-LV"/>
              </w:rPr>
            </w:pPr>
            <w:r w:rsidRPr="00195D14">
              <w:rPr>
                <w:color w:val="auto"/>
                <w:szCs w:val="24"/>
                <w:lang w:eastAsia="lv-LV"/>
              </w:rPr>
              <w:t xml:space="preserve">9. Ārvalstu valūtā </w:t>
            </w:r>
            <w:proofErr w:type="spellStart"/>
            <w:r w:rsidRPr="00195D14">
              <w:rPr>
                <w:color w:val="auto"/>
                <w:szCs w:val="24"/>
                <w:lang w:eastAsia="lv-LV"/>
              </w:rPr>
              <w:t>denominētā</w:t>
            </w:r>
            <w:proofErr w:type="spellEnd"/>
            <w:r w:rsidRPr="00195D14">
              <w:rPr>
                <w:color w:val="auto"/>
                <w:szCs w:val="24"/>
                <w:lang w:eastAsia="lv-LV"/>
              </w:rPr>
              <w:t xml:space="preserve"> parāda īpatsvars</w:t>
            </w:r>
          </w:p>
        </w:tc>
        <w:tc>
          <w:tcPr>
            <w:tcW w:w="1276" w:type="dxa"/>
            <w:noWrap/>
            <w:hideMark/>
          </w:tcPr>
          <w:p w:rsidR="00195D14" w:rsidRPr="00195D14"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3,7%</w:t>
            </w:r>
          </w:p>
        </w:tc>
        <w:tc>
          <w:tcPr>
            <w:tcW w:w="1181"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195D14">
              <w:rPr>
                <w:color w:val="auto"/>
                <w:szCs w:val="24"/>
                <w:lang w:eastAsia="lv-LV"/>
              </w:rPr>
              <w:t>1,1%</w:t>
            </w:r>
          </w:p>
        </w:tc>
      </w:tr>
      <w:tr w:rsidR="00195D14" w:rsidRPr="00BF5371"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195D14" w:rsidRPr="00195D14" w:rsidRDefault="00195D14" w:rsidP="00195D14">
            <w:pPr>
              <w:spacing w:after="0"/>
              <w:ind w:firstLine="0"/>
              <w:jc w:val="left"/>
              <w:rPr>
                <w:color w:val="auto"/>
                <w:szCs w:val="24"/>
                <w:lang w:eastAsia="lv-LV"/>
              </w:rPr>
            </w:pPr>
            <w:r w:rsidRPr="00195D14">
              <w:rPr>
                <w:color w:val="auto"/>
                <w:szCs w:val="24"/>
                <w:lang w:eastAsia="lv-LV"/>
              </w:rPr>
              <w:t>10. Vidējā dzēšana</w:t>
            </w:r>
          </w:p>
        </w:tc>
        <w:tc>
          <w:tcPr>
            <w:tcW w:w="1276" w:type="dxa"/>
            <w:noWrap/>
            <w:hideMark/>
          </w:tcPr>
          <w:p w:rsidR="00195D14" w:rsidRPr="00195D14" w:rsidRDefault="00195D14" w:rsidP="00195D1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 </w:t>
            </w:r>
          </w:p>
        </w:tc>
        <w:tc>
          <w:tcPr>
            <w:tcW w:w="1237"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7,96 gadi</w:t>
            </w:r>
          </w:p>
        </w:tc>
        <w:tc>
          <w:tcPr>
            <w:tcW w:w="1181" w:type="dxa"/>
            <w:noWrap/>
            <w:vAlign w:val="center"/>
          </w:tcPr>
          <w:p w:rsidR="00195D14" w:rsidRPr="00195D14" w:rsidRDefault="00195D14" w:rsidP="00195D1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195D14">
              <w:rPr>
                <w:color w:val="auto"/>
                <w:szCs w:val="24"/>
                <w:lang w:eastAsia="lv-LV"/>
              </w:rPr>
              <w:t> </w:t>
            </w:r>
          </w:p>
        </w:tc>
      </w:tr>
      <w:tr w:rsidR="00195D14" w:rsidRPr="00BF5371" w:rsidTr="00195D14">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rsidR="00195D14" w:rsidRPr="00195D14" w:rsidRDefault="00195D14" w:rsidP="00195D14">
            <w:pPr>
              <w:spacing w:after="0"/>
              <w:ind w:firstLine="0"/>
              <w:jc w:val="left"/>
              <w:rPr>
                <w:bCs w:val="0"/>
                <w:i/>
                <w:iCs/>
                <w:color w:val="auto"/>
                <w:szCs w:val="24"/>
                <w:lang w:eastAsia="lv-LV"/>
              </w:rPr>
            </w:pPr>
            <w:r w:rsidRPr="00195D14">
              <w:rPr>
                <w:i/>
                <w:iCs/>
                <w:color w:val="auto"/>
                <w:szCs w:val="24"/>
                <w:lang w:eastAsia="lv-LV"/>
              </w:rPr>
              <w:t>Informācijai – aprēķinos izmantotie IKP dati:</w:t>
            </w:r>
          </w:p>
        </w:tc>
        <w:tc>
          <w:tcPr>
            <w:tcW w:w="1276" w:type="dxa"/>
            <w:noWrap/>
          </w:tcPr>
          <w:p w:rsidR="00195D14" w:rsidRPr="00195D14" w:rsidRDefault="00195D14" w:rsidP="00195D1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237"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c>
          <w:tcPr>
            <w:tcW w:w="1181" w:type="dxa"/>
            <w:noWrap/>
            <w:vAlign w:val="center"/>
          </w:tcPr>
          <w:p w:rsidR="00195D14" w:rsidRPr="00195D14" w:rsidRDefault="00195D14" w:rsidP="00195D1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p>
        </w:tc>
      </w:tr>
      <w:tr w:rsidR="00FA50C4" w:rsidRPr="00BF5371"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rsidR="00FA50C4" w:rsidRPr="00BA5340" w:rsidRDefault="00FA50C4" w:rsidP="00FA50C4">
            <w:pPr>
              <w:spacing w:after="0"/>
              <w:ind w:firstLine="0"/>
              <w:jc w:val="left"/>
              <w:rPr>
                <w:color w:val="auto"/>
                <w:szCs w:val="24"/>
                <w:lang w:eastAsia="lv-LV"/>
              </w:rPr>
            </w:pPr>
            <w:r w:rsidRPr="00BA5340">
              <w:rPr>
                <w:color w:val="auto"/>
                <w:szCs w:val="24"/>
                <w:lang w:eastAsia="lv-LV"/>
              </w:rPr>
              <w:t xml:space="preserve">IKP faktiskajās cenās, milj. </w:t>
            </w:r>
            <w:proofErr w:type="spellStart"/>
            <w:r w:rsidRPr="00BA5340">
              <w:rPr>
                <w:i/>
                <w:color w:val="auto"/>
                <w:szCs w:val="24"/>
                <w:lang w:eastAsia="lv-LV"/>
              </w:rPr>
              <w:t>euro</w:t>
            </w:r>
            <w:proofErr w:type="spellEnd"/>
          </w:p>
        </w:tc>
        <w:tc>
          <w:tcPr>
            <w:tcW w:w="1276" w:type="dxa"/>
            <w:noWrap/>
            <w:hideMark/>
          </w:tcPr>
          <w:p w:rsidR="00FA50C4" w:rsidRPr="00BA5340" w:rsidRDefault="00FA50C4" w:rsidP="00FA50C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BA5340">
              <w:rPr>
                <w:color w:val="auto"/>
                <w:szCs w:val="24"/>
                <w:lang w:eastAsia="lv-LV"/>
              </w:rPr>
              <w:t> </w:t>
            </w:r>
          </w:p>
        </w:tc>
        <w:tc>
          <w:tcPr>
            <w:tcW w:w="1237" w:type="dxa"/>
            <w:noWrap/>
            <w:vAlign w:val="center"/>
          </w:tcPr>
          <w:p w:rsidR="00FA50C4" w:rsidRPr="00FA50C4" w:rsidRDefault="00FA50C4" w:rsidP="00FA50C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FA50C4">
              <w:rPr>
                <w:bCs/>
                <w:color w:val="000000"/>
              </w:rPr>
              <w:t>30</w:t>
            </w:r>
            <w:r w:rsidRPr="00195D14">
              <w:rPr>
                <w:bCs/>
                <w:szCs w:val="24"/>
                <w:lang w:eastAsia="lv-LV"/>
              </w:rPr>
              <w:t> </w:t>
            </w:r>
            <w:r w:rsidRPr="00FA50C4">
              <w:rPr>
                <w:bCs/>
                <w:color w:val="000000"/>
              </w:rPr>
              <w:t>022</w:t>
            </w:r>
          </w:p>
        </w:tc>
        <w:tc>
          <w:tcPr>
            <w:tcW w:w="1181" w:type="dxa"/>
            <w:noWrap/>
            <w:vAlign w:val="center"/>
          </w:tcPr>
          <w:p w:rsidR="00FA50C4" w:rsidRPr="00FA50C4" w:rsidRDefault="00FA50C4" w:rsidP="00FA50C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FA50C4">
              <w:rPr>
                <w:bCs/>
                <w:color w:val="000000"/>
              </w:rPr>
              <w:t>31</w:t>
            </w:r>
            <w:r w:rsidRPr="00195D14">
              <w:rPr>
                <w:bCs/>
                <w:szCs w:val="24"/>
                <w:lang w:eastAsia="lv-LV"/>
              </w:rPr>
              <w:t> </w:t>
            </w:r>
            <w:r w:rsidRPr="00FA50C4">
              <w:rPr>
                <w:bCs/>
                <w:color w:val="000000"/>
              </w:rPr>
              <w:t>601</w:t>
            </w:r>
          </w:p>
        </w:tc>
      </w:tr>
    </w:tbl>
    <w:p w:rsidR="00272FF4" w:rsidRPr="00BF5371" w:rsidRDefault="00272FF4" w:rsidP="00272FF4">
      <w:pPr>
        <w:ind w:firstLine="0"/>
        <w:jc w:val="left"/>
        <w:rPr>
          <w:sz w:val="20"/>
          <w:highlight w:val="yellow"/>
        </w:rPr>
      </w:pPr>
    </w:p>
    <w:p w:rsidR="006334F7" w:rsidRPr="00BF5371" w:rsidRDefault="006334F7" w:rsidP="00272FF4">
      <w:pPr>
        <w:ind w:firstLine="0"/>
        <w:jc w:val="left"/>
        <w:rPr>
          <w:b/>
          <w:szCs w:val="24"/>
          <w:highlight w:val="yellow"/>
        </w:rPr>
      </w:pPr>
    </w:p>
    <w:p w:rsidR="00272FF4" w:rsidRPr="0054157A" w:rsidRDefault="00272FF4" w:rsidP="00272FF4">
      <w:pPr>
        <w:pStyle w:val="Heading1"/>
        <w:tabs>
          <w:tab w:val="left" w:pos="1276"/>
        </w:tabs>
        <w:spacing w:before="0" w:after="240"/>
        <w:ind w:firstLine="0"/>
        <w:jc w:val="left"/>
        <w:rPr>
          <w:rFonts w:ascii="Times New Roman" w:hAnsi="Times New Roman"/>
          <w:color w:val="18185F"/>
          <w:sz w:val="24"/>
        </w:rPr>
      </w:pPr>
      <w:bookmarkStart w:id="13" w:name="_Toc53388928"/>
      <w:r w:rsidRPr="0054157A">
        <w:rPr>
          <w:rFonts w:ascii="Times New Roman" w:hAnsi="Times New Roman"/>
          <w:color w:val="18185F"/>
          <w:sz w:val="24"/>
        </w:rPr>
        <w:t>Tabula 2.c: Netiešās saistības</w:t>
      </w:r>
      <w:bookmarkEnd w:id="13"/>
    </w:p>
    <w:tbl>
      <w:tblPr>
        <w:tblStyle w:val="GridTable6Colorful-Accent11"/>
        <w:tblW w:w="6024" w:type="dxa"/>
        <w:tblLook w:val="04A0" w:firstRow="1" w:lastRow="0" w:firstColumn="1" w:lastColumn="0" w:noHBand="0" w:noVBand="1"/>
      </w:tblPr>
      <w:tblGrid>
        <w:gridCol w:w="3686"/>
        <w:gridCol w:w="1134"/>
        <w:gridCol w:w="1204"/>
      </w:tblGrid>
      <w:tr w:rsidR="0054157A" w:rsidRPr="0054157A"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54157A" w:rsidRPr="0054157A" w:rsidRDefault="0054157A" w:rsidP="0054157A">
            <w:pPr>
              <w:spacing w:after="0"/>
              <w:ind w:firstLine="0"/>
              <w:jc w:val="center"/>
              <w:rPr>
                <w:color w:val="auto"/>
                <w:szCs w:val="24"/>
                <w:lang w:eastAsia="lv-LV"/>
              </w:rPr>
            </w:pPr>
            <w:r w:rsidRPr="0054157A">
              <w:rPr>
                <w:color w:val="auto"/>
                <w:szCs w:val="24"/>
                <w:lang w:eastAsia="lv-LV"/>
              </w:rPr>
              <w:t>% no IKP</w:t>
            </w:r>
          </w:p>
        </w:tc>
        <w:tc>
          <w:tcPr>
            <w:tcW w:w="1134" w:type="dxa"/>
            <w:vMerge w:val="restart"/>
            <w:vAlign w:val="center"/>
            <w:hideMark/>
          </w:tcPr>
          <w:p w:rsidR="0054157A" w:rsidRPr="0054157A" w:rsidRDefault="0054157A" w:rsidP="005415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4157A">
              <w:rPr>
                <w:color w:val="auto"/>
                <w:szCs w:val="24"/>
                <w:lang w:eastAsia="lv-LV"/>
              </w:rPr>
              <w:t>2020</w:t>
            </w:r>
          </w:p>
        </w:tc>
        <w:tc>
          <w:tcPr>
            <w:tcW w:w="1204" w:type="dxa"/>
            <w:vMerge w:val="restart"/>
            <w:vAlign w:val="center"/>
            <w:hideMark/>
          </w:tcPr>
          <w:p w:rsidR="0054157A" w:rsidRPr="0054157A" w:rsidRDefault="0054157A" w:rsidP="0054157A">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4157A">
              <w:rPr>
                <w:color w:val="auto"/>
                <w:szCs w:val="24"/>
                <w:lang w:eastAsia="lv-LV"/>
              </w:rPr>
              <w:t>2021</w:t>
            </w:r>
          </w:p>
        </w:tc>
      </w:tr>
      <w:tr w:rsidR="0054157A" w:rsidRPr="0054157A" w:rsidTr="00D536E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rsidR="0054157A" w:rsidRPr="0054157A" w:rsidRDefault="0054157A" w:rsidP="0054157A">
            <w:pPr>
              <w:spacing w:after="0"/>
              <w:ind w:firstLine="0"/>
              <w:jc w:val="left"/>
              <w:rPr>
                <w:color w:val="auto"/>
                <w:szCs w:val="24"/>
                <w:lang w:eastAsia="lv-LV"/>
              </w:rPr>
            </w:pPr>
          </w:p>
        </w:tc>
        <w:tc>
          <w:tcPr>
            <w:tcW w:w="1134" w:type="dxa"/>
            <w:vMerge/>
            <w:vAlign w:val="center"/>
            <w:hideMark/>
          </w:tcPr>
          <w:p w:rsidR="0054157A" w:rsidRPr="0054157A" w:rsidRDefault="0054157A" w:rsidP="0054157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vAlign w:val="center"/>
            <w:hideMark/>
          </w:tcPr>
          <w:p w:rsidR="0054157A" w:rsidRPr="0054157A" w:rsidRDefault="0054157A" w:rsidP="0054157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54157A" w:rsidRPr="00BF5371" w:rsidTr="0095442F">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rsidR="0054157A" w:rsidRPr="0054157A" w:rsidRDefault="0054157A" w:rsidP="0054157A">
            <w:pPr>
              <w:spacing w:after="0"/>
              <w:ind w:firstLine="0"/>
              <w:jc w:val="left"/>
              <w:rPr>
                <w:bCs w:val="0"/>
                <w:color w:val="auto"/>
                <w:szCs w:val="24"/>
                <w:lang w:eastAsia="lv-LV"/>
              </w:rPr>
            </w:pPr>
            <w:r w:rsidRPr="0054157A">
              <w:rPr>
                <w:color w:val="auto"/>
                <w:szCs w:val="24"/>
                <w:lang w:eastAsia="lv-LV"/>
              </w:rPr>
              <w:t>Valsts un pašvaldību garantijas</w:t>
            </w:r>
          </w:p>
        </w:tc>
        <w:tc>
          <w:tcPr>
            <w:tcW w:w="1134" w:type="dxa"/>
            <w:vAlign w:val="center"/>
          </w:tcPr>
          <w:p w:rsidR="0054157A" w:rsidRPr="0054157A" w:rsidRDefault="0054157A" w:rsidP="0054157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4157A">
              <w:rPr>
                <w:color w:val="auto"/>
                <w:szCs w:val="24"/>
                <w:lang w:eastAsia="lv-LV"/>
              </w:rPr>
              <w:t>1,5%</w:t>
            </w:r>
          </w:p>
        </w:tc>
        <w:tc>
          <w:tcPr>
            <w:tcW w:w="1204" w:type="dxa"/>
            <w:vAlign w:val="center"/>
          </w:tcPr>
          <w:p w:rsidR="0054157A" w:rsidRPr="0054157A" w:rsidRDefault="0054157A" w:rsidP="0054157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4157A">
              <w:rPr>
                <w:color w:val="auto"/>
                <w:szCs w:val="24"/>
                <w:lang w:eastAsia="lv-LV"/>
              </w:rPr>
              <w:t>1,4%</w:t>
            </w:r>
          </w:p>
        </w:tc>
      </w:tr>
    </w:tbl>
    <w:p w:rsidR="00272FF4" w:rsidRPr="00BF5371" w:rsidRDefault="00272FF4" w:rsidP="00272FF4">
      <w:pPr>
        <w:ind w:firstLine="0"/>
        <w:jc w:val="left"/>
        <w:rPr>
          <w:szCs w:val="24"/>
          <w:highlight w:val="yellow"/>
        </w:rPr>
      </w:pPr>
    </w:p>
    <w:p w:rsidR="00272FF4" w:rsidRPr="00BF5371" w:rsidRDefault="00272FF4" w:rsidP="00272FF4">
      <w:pPr>
        <w:pStyle w:val="NoSpacing"/>
        <w:rPr>
          <w:rFonts w:eastAsia="Calibri"/>
          <w:highlight w:val="yellow"/>
        </w:rPr>
      </w:pPr>
      <w:r w:rsidRPr="00BF5371">
        <w:rPr>
          <w:highlight w:val="yellow"/>
        </w:rPr>
        <w:br w:type="page"/>
      </w:r>
    </w:p>
    <w:p w:rsidR="00CB5AC9" w:rsidRPr="00D52603" w:rsidRDefault="00DA2011" w:rsidP="00AF5E23">
      <w:pPr>
        <w:pStyle w:val="Heading1"/>
        <w:tabs>
          <w:tab w:val="left" w:pos="1276"/>
        </w:tabs>
        <w:spacing w:before="0" w:after="240"/>
        <w:ind w:left="1134" w:hanging="1134"/>
        <w:rPr>
          <w:rFonts w:ascii="Times New Roman" w:hAnsi="Times New Roman"/>
        </w:rPr>
      </w:pPr>
      <w:bookmarkStart w:id="14" w:name="_Toc53388929"/>
      <w:r w:rsidRPr="00D52603">
        <w:rPr>
          <w:rFonts w:ascii="Times New Roman" w:hAnsi="Times New Roman"/>
          <w:color w:val="18185F"/>
          <w:sz w:val="24"/>
        </w:rPr>
        <w:lastRenderedPageBreak/>
        <w:t>Tabula 3:</w:t>
      </w:r>
      <w:r w:rsidR="00CB5AC9" w:rsidRPr="00D52603">
        <w:rPr>
          <w:rFonts w:ascii="Times New Roman" w:hAnsi="Times New Roman"/>
          <w:color w:val="18185F"/>
          <w:sz w:val="24"/>
        </w:rPr>
        <w:t xml:space="preserve"> Vispārējās valdības izdevumu un ieņēmumu prognozes pie nemainīgas politikas sadalījumā pa galvenajām komponentēm</w:t>
      </w:r>
      <w:bookmarkEnd w:id="14"/>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D52603" w:rsidRPr="00D52603" w:rsidTr="00D5260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0"/>
              <w:jc w:val="left"/>
              <w:rPr>
                <w:color w:val="000000"/>
                <w:szCs w:val="24"/>
                <w:lang w:eastAsia="lv-LV"/>
              </w:rPr>
            </w:pPr>
            <w:r w:rsidRPr="00D52603">
              <w:rPr>
                <w:color w:val="000000"/>
                <w:szCs w:val="24"/>
                <w:lang w:eastAsia="lv-LV"/>
              </w:rPr>
              <w:t> </w:t>
            </w:r>
          </w:p>
        </w:tc>
        <w:tc>
          <w:tcPr>
            <w:tcW w:w="1426" w:type="dxa"/>
            <w:vAlign w:val="center"/>
            <w:hideMark/>
          </w:tcPr>
          <w:p w:rsidR="00D52603" w:rsidRPr="00D52603"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D52603">
              <w:rPr>
                <w:color w:val="000000"/>
                <w:szCs w:val="24"/>
                <w:lang w:eastAsia="lv-LV"/>
              </w:rPr>
              <w:t>EKS kods</w:t>
            </w:r>
          </w:p>
        </w:tc>
        <w:tc>
          <w:tcPr>
            <w:tcW w:w="1227" w:type="dxa"/>
            <w:vAlign w:val="center"/>
            <w:hideMark/>
          </w:tcPr>
          <w:p w:rsidR="00D52603" w:rsidRPr="00D52603"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2020</w:t>
            </w:r>
          </w:p>
        </w:tc>
        <w:tc>
          <w:tcPr>
            <w:tcW w:w="1276" w:type="dxa"/>
            <w:vAlign w:val="center"/>
            <w:hideMark/>
          </w:tcPr>
          <w:p w:rsidR="00D52603" w:rsidRPr="00D52603" w:rsidRDefault="00D52603" w:rsidP="00D5260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2021</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rsidR="00D52603" w:rsidRPr="00D52603" w:rsidRDefault="00D52603" w:rsidP="00D52603">
            <w:pPr>
              <w:spacing w:after="0"/>
              <w:ind w:firstLine="0"/>
              <w:jc w:val="center"/>
              <w:rPr>
                <w:bCs w:val="0"/>
                <w:color w:val="000000"/>
                <w:szCs w:val="24"/>
                <w:lang w:eastAsia="lv-LV"/>
              </w:rPr>
            </w:pPr>
          </w:p>
        </w:tc>
        <w:tc>
          <w:tcPr>
            <w:tcW w:w="1426" w:type="dxa"/>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 xml:space="preserve"> </w:t>
            </w:r>
          </w:p>
        </w:tc>
        <w:tc>
          <w:tcPr>
            <w:tcW w:w="2503" w:type="dxa"/>
            <w:gridSpan w:val="2"/>
            <w:hideMark/>
          </w:tcPr>
          <w:p w:rsidR="00D52603" w:rsidRPr="00D52603" w:rsidRDefault="00D52603" w:rsidP="008F1A2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 xml:space="preserve">% </w:t>
            </w:r>
            <w:r w:rsidR="008F1A29">
              <w:rPr>
                <w:color w:val="000000"/>
                <w:szCs w:val="24"/>
                <w:lang w:eastAsia="lv-LV"/>
              </w:rPr>
              <w:t>IKP</w:t>
            </w:r>
          </w:p>
        </w:tc>
      </w:tr>
      <w:tr w:rsidR="00D52603" w:rsidRPr="00D52603" w:rsidTr="008F1A29">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0"/>
              <w:jc w:val="left"/>
              <w:rPr>
                <w:color w:val="000000"/>
                <w:szCs w:val="24"/>
                <w:lang w:eastAsia="lv-LV"/>
              </w:rPr>
            </w:pPr>
            <w:r w:rsidRPr="00D52603">
              <w:rPr>
                <w:color w:val="000000"/>
                <w:szCs w:val="24"/>
                <w:lang w:eastAsia="lv-LV"/>
              </w:rPr>
              <w:t>1. Kopējie ieņēmumi pie nemainīgas politikas</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TR</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39,7</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38,4</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0"/>
              <w:jc w:val="center"/>
              <w:rPr>
                <w:color w:val="000000"/>
                <w:szCs w:val="24"/>
                <w:lang w:eastAsia="lv-LV"/>
              </w:rPr>
            </w:pPr>
            <w:r w:rsidRPr="00D52603">
              <w:rPr>
                <w:color w:val="000000"/>
                <w:szCs w:val="24"/>
                <w:lang w:eastAsia="lv-LV"/>
              </w:rPr>
              <w:t>t.sk.</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r>
      <w:tr w:rsidR="00D52603" w:rsidRPr="00D52603" w:rsidTr="008F1A29">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1.1. Ražošanas un importa nodokļi</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D.2</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14,7</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14,7</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1.2. Ienākuma un mantas kārtējie nodokļi</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D.5</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7,0</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7,1</w:t>
            </w:r>
          </w:p>
        </w:tc>
      </w:tr>
      <w:tr w:rsidR="00D52603" w:rsidRPr="00D52603" w:rsidTr="008F1A29">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1.3. Kapitāla nodokļi</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D.91</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0,0</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0,0</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1.4. Sociālās iemaksas</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D.61</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10,3</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10,0</w:t>
            </w:r>
          </w:p>
        </w:tc>
      </w:tr>
      <w:tr w:rsidR="00D52603" w:rsidRPr="00D52603"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1.5. Īpašuma ienākumi</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D.4</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0,7</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0,3</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1.6. Pārējie ieņēmumi</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7,0</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6,3</w:t>
            </w:r>
          </w:p>
        </w:tc>
      </w:tr>
      <w:tr w:rsidR="00D52603" w:rsidRPr="00D52603" w:rsidTr="008F1A29">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Nodokļu slogs (D.2+D.5+D.61+D.91-D.995)</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32,2</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32,0</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0"/>
              <w:jc w:val="left"/>
              <w:rPr>
                <w:color w:val="000000"/>
                <w:szCs w:val="24"/>
                <w:lang w:eastAsia="lv-LV"/>
              </w:rPr>
            </w:pPr>
            <w:r w:rsidRPr="00D52603">
              <w:rPr>
                <w:color w:val="000000"/>
                <w:szCs w:val="24"/>
                <w:lang w:eastAsia="lv-LV"/>
              </w:rPr>
              <w:t>2. Kopējie izdevumi pie nemainīgas politikas</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TE</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47,3</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42,4</w:t>
            </w:r>
          </w:p>
        </w:tc>
      </w:tr>
      <w:tr w:rsidR="00D52603" w:rsidRPr="00D52603"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0"/>
              <w:jc w:val="center"/>
              <w:rPr>
                <w:color w:val="000000"/>
                <w:szCs w:val="24"/>
                <w:lang w:eastAsia="lv-LV"/>
              </w:rPr>
            </w:pPr>
            <w:r w:rsidRPr="00D52603">
              <w:rPr>
                <w:color w:val="000000"/>
                <w:szCs w:val="24"/>
                <w:lang w:eastAsia="lv-LV"/>
              </w:rPr>
              <w:t>t.sk.</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2.1. Atlīdzība nodarbinātajiem</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D.1</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12,1</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11,5</w:t>
            </w:r>
          </w:p>
        </w:tc>
      </w:tr>
      <w:tr w:rsidR="00D52603" w:rsidRPr="00D52603"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2.2. Starppatēriņš</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P.2</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6,1</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5,9</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2.3. Sociālie maksājumi</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D.62; D.632</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14,5</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13,8</w:t>
            </w:r>
          </w:p>
        </w:tc>
      </w:tr>
      <w:tr w:rsidR="00D52603" w:rsidRPr="00D52603" w:rsidTr="008F1A29">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300" w:firstLine="720"/>
              <w:jc w:val="left"/>
              <w:rPr>
                <w:color w:val="000000"/>
                <w:szCs w:val="24"/>
                <w:lang w:eastAsia="lv-LV"/>
              </w:rPr>
            </w:pPr>
            <w:r w:rsidRPr="00D52603">
              <w:rPr>
                <w:color w:val="000000"/>
                <w:szCs w:val="24"/>
                <w:lang w:eastAsia="lv-LV"/>
              </w:rPr>
              <w:t>tai skaitā bezdarbnieku pabalsti</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0,9</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0,7</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2.4. Procentu izdevumi</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D.41</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0,9</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0,8</w:t>
            </w:r>
          </w:p>
        </w:tc>
      </w:tr>
      <w:tr w:rsidR="00D52603" w:rsidRPr="00D52603" w:rsidTr="008F1A2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2.5. Subsīdijas</w:t>
            </w:r>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D.3</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1,5</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1,3</w:t>
            </w:r>
          </w:p>
        </w:tc>
      </w:tr>
      <w:tr w:rsidR="00D52603" w:rsidRPr="00D52603" w:rsidTr="008F1A29">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2.6. Bruto kopējā pamatkapitāla veidošana</w:t>
            </w:r>
          </w:p>
        </w:tc>
        <w:tc>
          <w:tcPr>
            <w:tcW w:w="1426" w:type="dxa"/>
            <w:vAlign w:val="center"/>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P.51</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6,0</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5,5</w:t>
            </w:r>
          </w:p>
        </w:tc>
      </w:tr>
      <w:tr w:rsidR="00D52603" w:rsidRPr="00D52603" w:rsidTr="008F1A29">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 xml:space="preserve">2.7. Kapitālo izdevumu </w:t>
            </w:r>
            <w:proofErr w:type="spellStart"/>
            <w:r w:rsidRPr="00D52603">
              <w:rPr>
                <w:color w:val="000000"/>
                <w:szCs w:val="24"/>
                <w:lang w:eastAsia="lv-LV"/>
              </w:rPr>
              <w:t>transferti</w:t>
            </w:r>
            <w:proofErr w:type="spellEnd"/>
          </w:p>
        </w:tc>
        <w:tc>
          <w:tcPr>
            <w:tcW w:w="1426" w:type="dxa"/>
            <w:vAlign w:val="center"/>
            <w:hideMark/>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D.9</w:t>
            </w:r>
          </w:p>
        </w:tc>
        <w:tc>
          <w:tcPr>
            <w:tcW w:w="1227"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1,3</w:t>
            </w:r>
          </w:p>
        </w:tc>
        <w:tc>
          <w:tcPr>
            <w:tcW w:w="1276" w:type="dxa"/>
          </w:tcPr>
          <w:p w:rsidR="00D52603" w:rsidRPr="00D52603" w:rsidRDefault="00D52603" w:rsidP="00D5260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D52603">
              <w:rPr>
                <w:color w:val="000000"/>
                <w:szCs w:val="24"/>
                <w:lang w:eastAsia="lv-LV"/>
              </w:rPr>
              <w:t>0,0</w:t>
            </w:r>
          </w:p>
        </w:tc>
      </w:tr>
      <w:tr w:rsidR="00D52603" w:rsidRPr="00BF5371" w:rsidTr="008F1A2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rsidR="00D52603" w:rsidRPr="00D52603" w:rsidRDefault="00D52603" w:rsidP="00D52603">
            <w:pPr>
              <w:spacing w:after="0"/>
              <w:ind w:firstLineChars="100" w:firstLine="240"/>
              <w:jc w:val="left"/>
              <w:rPr>
                <w:color w:val="000000"/>
                <w:szCs w:val="24"/>
                <w:lang w:eastAsia="lv-LV"/>
              </w:rPr>
            </w:pPr>
            <w:r w:rsidRPr="00D52603">
              <w:rPr>
                <w:color w:val="000000"/>
                <w:szCs w:val="24"/>
                <w:lang w:eastAsia="lv-LV"/>
              </w:rPr>
              <w:t>2.8. Pārējie izdevumi</w:t>
            </w:r>
          </w:p>
        </w:tc>
        <w:tc>
          <w:tcPr>
            <w:tcW w:w="1426" w:type="dxa"/>
            <w:hideMark/>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 xml:space="preserve"> </w:t>
            </w:r>
          </w:p>
        </w:tc>
        <w:tc>
          <w:tcPr>
            <w:tcW w:w="1227"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4,9</w:t>
            </w:r>
          </w:p>
        </w:tc>
        <w:tc>
          <w:tcPr>
            <w:tcW w:w="1276" w:type="dxa"/>
          </w:tcPr>
          <w:p w:rsidR="00D52603" w:rsidRPr="00D52603" w:rsidRDefault="00D52603" w:rsidP="00D5260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D52603">
              <w:rPr>
                <w:color w:val="000000"/>
                <w:szCs w:val="24"/>
                <w:lang w:eastAsia="lv-LV"/>
              </w:rPr>
              <w:t>3,5</w:t>
            </w:r>
          </w:p>
        </w:tc>
      </w:tr>
    </w:tbl>
    <w:p w:rsidR="00CB5AC9" w:rsidRPr="00BF5371" w:rsidRDefault="00CB5AC9" w:rsidP="0095691A">
      <w:pPr>
        <w:ind w:firstLine="0"/>
        <w:jc w:val="left"/>
        <w:rPr>
          <w:szCs w:val="24"/>
          <w:highlight w:val="yellow"/>
        </w:rPr>
      </w:pPr>
    </w:p>
    <w:p w:rsidR="00C6272E" w:rsidRPr="00BF5371" w:rsidRDefault="00D949B6" w:rsidP="00D949B6">
      <w:pPr>
        <w:pStyle w:val="Heading1"/>
        <w:tabs>
          <w:tab w:val="left" w:pos="1276"/>
        </w:tabs>
        <w:spacing w:before="0" w:after="240"/>
        <w:ind w:firstLine="0"/>
        <w:rPr>
          <w:szCs w:val="24"/>
          <w:highlight w:val="yellow"/>
        </w:rPr>
      </w:pPr>
      <w:r w:rsidRPr="00BF5371">
        <w:rPr>
          <w:szCs w:val="24"/>
          <w:highlight w:val="yellow"/>
        </w:rPr>
        <w:t xml:space="preserve"> </w:t>
      </w:r>
    </w:p>
    <w:p w:rsidR="00CD68EC" w:rsidRPr="00BF5371" w:rsidRDefault="00C6272E" w:rsidP="00070BC1">
      <w:pPr>
        <w:pStyle w:val="Heading1"/>
        <w:tabs>
          <w:tab w:val="left" w:pos="1276"/>
        </w:tabs>
        <w:spacing w:before="0" w:after="240"/>
        <w:ind w:left="1276" w:hanging="1276"/>
        <w:jc w:val="left"/>
        <w:rPr>
          <w:rFonts w:ascii="Times New Roman" w:hAnsi="Times New Roman"/>
          <w:highlight w:val="yellow"/>
        </w:rPr>
      </w:pPr>
      <w:r w:rsidRPr="00BF5371">
        <w:rPr>
          <w:b w:val="0"/>
          <w:highlight w:val="yellow"/>
        </w:rPr>
        <w:br w:type="page"/>
      </w:r>
    </w:p>
    <w:p w:rsidR="00F322FE" w:rsidRPr="008F1A29" w:rsidRDefault="00040EDF" w:rsidP="00040EDF">
      <w:pPr>
        <w:pStyle w:val="Heading1"/>
        <w:tabs>
          <w:tab w:val="left" w:pos="1276"/>
        </w:tabs>
        <w:spacing w:before="0" w:after="240"/>
        <w:ind w:left="1276" w:hanging="1276"/>
        <w:rPr>
          <w:rFonts w:ascii="Times New Roman" w:hAnsi="Times New Roman"/>
          <w:color w:val="18185F"/>
          <w:sz w:val="24"/>
        </w:rPr>
      </w:pPr>
      <w:bookmarkStart w:id="15" w:name="_Toc53388930"/>
      <w:r w:rsidRPr="008F1A29">
        <w:rPr>
          <w:rFonts w:ascii="Times New Roman" w:hAnsi="Times New Roman"/>
          <w:color w:val="18185F"/>
          <w:sz w:val="24"/>
        </w:rPr>
        <w:lastRenderedPageBreak/>
        <w:t>Tabula 4.a</w:t>
      </w:r>
      <w:r w:rsidR="00F03187" w:rsidRPr="008F1A29">
        <w:rPr>
          <w:rFonts w:ascii="Times New Roman" w:hAnsi="Times New Roman"/>
          <w:color w:val="18185F"/>
          <w:sz w:val="24"/>
          <w:lang w:val="lv-LV"/>
        </w:rPr>
        <w:t>:</w:t>
      </w:r>
      <w:r w:rsidRPr="008F1A29">
        <w:rPr>
          <w:rFonts w:ascii="Times New Roman" w:hAnsi="Times New Roman"/>
          <w:color w:val="18185F"/>
          <w:sz w:val="24"/>
        </w:rPr>
        <w:t xml:space="preserve"> Vispārējās valdības izdevumu un ieņēmumu mērķi sadalījumā pa galvenajām komponentēm</w:t>
      </w:r>
      <w:bookmarkEnd w:id="15"/>
    </w:p>
    <w:tbl>
      <w:tblPr>
        <w:tblW w:w="913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5353"/>
        <w:gridCol w:w="810"/>
        <w:gridCol w:w="1559"/>
        <w:gridCol w:w="1417"/>
      </w:tblGrid>
      <w:tr w:rsidR="008F1A29" w:rsidRPr="008F1A29" w:rsidTr="008F1A29">
        <w:trPr>
          <w:trHeight w:val="600"/>
        </w:trPr>
        <w:tc>
          <w:tcPr>
            <w:tcW w:w="5353" w:type="dxa"/>
            <w:shd w:val="clear" w:color="auto" w:fill="DBE5F1" w:themeFill="accent1" w:themeFillTint="33"/>
            <w:vAlign w:val="center"/>
            <w:hideMark/>
          </w:tcPr>
          <w:p w:rsidR="008F1A29" w:rsidRPr="008F1A29" w:rsidRDefault="008F1A29" w:rsidP="008F1A29">
            <w:pPr>
              <w:spacing w:after="0"/>
              <w:ind w:firstLine="0"/>
              <w:rPr>
                <w:szCs w:val="24"/>
                <w:lang w:eastAsia="lv-LV"/>
              </w:rPr>
            </w:pPr>
            <w:r w:rsidRPr="008F1A29">
              <w:rPr>
                <w:szCs w:val="24"/>
                <w:lang w:eastAsia="lv-LV"/>
              </w:rPr>
              <w:t> </w:t>
            </w:r>
          </w:p>
        </w:tc>
        <w:tc>
          <w:tcPr>
            <w:tcW w:w="810" w:type="dxa"/>
            <w:shd w:val="clear" w:color="auto" w:fill="DBE5F1" w:themeFill="accent1" w:themeFillTint="33"/>
            <w:vAlign w:val="center"/>
            <w:hideMark/>
          </w:tcPr>
          <w:p w:rsidR="008F1A29" w:rsidRPr="008F1A29" w:rsidRDefault="008F1A29" w:rsidP="008F1A29">
            <w:pPr>
              <w:spacing w:after="0"/>
              <w:ind w:firstLine="0"/>
              <w:rPr>
                <w:szCs w:val="24"/>
                <w:lang w:eastAsia="lv-LV"/>
              </w:rPr>
            </w:pPr>
            <w:r w:rsidRPr="008F1A29">
              <w:rPr>
                <w:b/>
                <w:szCs w:val="24"/>
              </w:rPr>
              <w:t>EKS Kods</w:t>
            </w:r>
          </w:p>
        </w:tc>
        <w:tc>
          <w:tcPr>
            <w:tcW w:w="1559" w:type="dxa"/>
            <w:shd w:val="clear" w:color="auto" w:fill="DBE5F1" w:themeFill="accent1" w:themeFillTint="33"/>
            <w:vAlign w:val="center"/>
            <w:hideMark/>
          </w:tcPr>
          <w:p w:rsidR="008F1A29" w:rsidRPr="008F1A29" w:rsidRDefault="008F1A29" w:rsidP="008F1A29">
            <w:pPr>
              <w:spacing w:after="0"/>
              <w:ind w:firstLine="0"/>
              <w:jc w:val="center"/>
              <w:rPr>
                <w:b/>
                <w:szCs w:val="24"/>
                <w:lang w:eastAsia="lv-LV"/>
              </w:rPr>
            </w:pPr>
            <w:r w:rsidRPr="008F1A29">
              <w:rPr>
                <w:b/>
                <w:bCs/>
                <w:color w:val="000000"/>
                <w:szCs w:val="24"/>
              </w:rPr>
              <w:t>2020</w:t>
            </w:r>
          </w:p>
        </w:tc>
        <w:tc>
          <w:tcPr>
            <w:tcW w:w="1417" w:type="dxa"/>
            <w:shd w:val="clear" w:color="auto" w:fill="DBE5F1" w:themeFill="accent1" w:themeFillTint="33"/>
            <w:vAlign w:val="center"/>
            <w:hideMark/>
          </w:tcPr>
          <w:p w:rsidR="008F1A29" w:rsidRPr="008F1A29" w:rsidRDefault="008F1A29" w:rsidP="008F1A29">
            <w:pPr>
              <w:spacing w:after="0"/>
              <w:ind w:firstLine="0"/>
              <w:jc w:val="center"/>
              <w:rPr>
                <w:b/>
                <w:szCs w:val="24"/>
                <w:lang w:eastAsia="lv-LV"/>
              </w:rPr>
            </w:pPr>
            <w:r w:rsidRPr="008F1A29">
              <w:rPr>
                <w:b/>
                <w:bCs/>
                <w:color w:val="000000"/>
                <w:szCs w:val="24"/>
              </w:rPr>
              <w:t>2021</w:t>
            </w:r>
          </w:p>
        </w:tc>
      </w:tr>
      <w:tr w:rsidR="008F1A29" w:rsidRPr="008F1A29" w:rsidTr="008F1A29">
        <w:trPr>
          <w:trHeight w:val="300"/>
        </w:trPr>
        <w:tc>
          <w:tcPr>
            <w:tcW w:w="5353" w:type="dxa"/>
            <w:shd w:val="clear" w:color="auto" w:fill="auto"/>
            <w:vAlign w:val="center"/>
            <w:hideMark/>
          </w:tcPr>
          <w:p w:rsidR="008F1A29" w:rsidRPr="008F1A29" w:rsidRDefault="008F1A29" w:rsidP="008F1A29">
            <w:pPr>
              <w:spacing w:after="0"/>
              <w:ind w:firstLine="0"/>
              <w:rPr>
                <w:szCs w:val="24"/>
                <w:lang w:eastAsia="lv-LV"/>
              </w:rPr>
            </w:pPr>
            <w:r w:rsidRPr="008F1A29">
              <w:rPr>
                <w:szCs w:val="24"/>
                <w:lang w:eastAsia="lv-LV"/>
              </w:rPr>
              <w:t> </w:t>
            </w:r>
          </w:p>
        </w:tc>
        <w:tc>
          <w:tcPr>
            <w:tcW w:w="810" w:type="dxa"/>
            <w:shd w:val="clear" w:color="auto" w:fill="auto"/>
            <w:vAlign w:val="center"/>
            <w:hideMark/>
          </w:tcPr>
          <w:p w:rsidR="008F1A29" w:rsidRPr="008F1A29" w:rsidRDefault="008F1A29" w:rsidP="008F1A29">
            <w:pPr>
              <w:spacing w:after="0"/>
              <w:ind w:firstLine="0"/>
              <w:rPr>
                <w:szCs w:val="24"/>
                <w:lang w:eastAsia="lv-LV"/>
              </w:rPr>
            </w:pPr>
            <w:r w:rsidRPr="008F1A29">
              <w:rPr>
                <w:szCs w:val="24"/>
                <w:lang w:eastAsia="lv-LV"/>
              </w:rPr>
              <w:t xml:space="preserve"> </w:t>
            </w:r>
          </w:p>
        </w:tc>
        <w:tc>
          <w:tcPr>
            <w:tcW w:w="1559" w:type="dxa"/>
            <w:shd w:val="clear" w:color="auto" w:fill="auto"/>
            <w:vAlign w:val="center"/>
            <w:hideMark/>
          </w:tcPr>
          <w:p w:rsidR="008F1A29" w:rsidRPr="008F1A29" w:rsidRDefault="008F1A29" w:rsidP="008F1A29">
            <w:pPr>
              <w:spacing w:after="0"/>
              <w:ind w:firstLine="0"/>
              <w:jc w:val="center"/>
              <w:rPr>
                <w:szCs w:val="24"/>
                <w:lang w:eastAsia="lv-LV"/>
              </w:rPr>
            </w:pPr>
            <w:r w:rsidRPr="008F1A29">
              <w:rPr>
                <w:color w:val="000000"/>
                <w:szCs w:val="24"/>
              </w:rPr>
              <w:t xml:space="preserve">% IKP </w:t>
            </w:r>
          </w:p>
        </w:tc>
        <w:tc>
          <w:tcPr>
            <w:tcW w:w="1417" w:type="dxa"/>
            <w:shd w:val="clear" w:color="auto" w:fill="auto"/>
            <w:vAlign w:val="center"/>
            <w:hideMark/>
          </w:tcPr>
          <w:p w:rsidR="008F1A29" w:rsidRPr="008F1A29" w:rsidRDefault="008F1A29" w:rsidP="008F1A29">
            <w:pPr>
              <w:spacing w:after="0"/>
              <w:ind w:firstLine="0"/>
              <w:jc w:val="center"/>
              <w:rPr>
                <w:szCs w:val="24"/>
                <w:lang w:eastAsia="lv-LV"/>
              </w:rPr>
            </w:pPr>
            <w:r w:rsidRPr="008F1A29">
              <w:rPr>
                <w:color w:val="000000"/>
                <w:szCs w:val="24"/>
              </w:rPr>
              <w:t xml:space="preserve">% IKP </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0"/>
              <w:rPr>
                <w:b/>
                <w:szCs w:val="24"/>
                <w:lang w:eastAsia="lv-LV"/>
              </w:rPr>
            </w:pPr>
            <w:r w:rsidRPr="008F1A29">
              <w:rPr>
                <w:b/>
                <w:szCs w:val="24"/>
                <w:lang w:eastAsia="lv-LV"/>
              </w:rPr>
              <w:t>1. Ieņēmumu plāna kopsumma</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TR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39,8</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39,2</w:t>
            </w:r>
          </w:p>
        </w:tc>
      </w:tr>
      <w:tr w:rsidR="008F1A29" w:rsidRPr="008F1A29" w:rsidTr="008F1A29">
        <w:trPr>
          <w:trHeight w:val="300"/>
        </w:trPr>
        <w:tc>
          <w:tcPr>
            <w:tcW w:w="5353" w:type="dxa"/>
            <w:shd w:val="clear" w:color="auto" w:fill="auto"/>
            <w:vAlign w:val="center"/>
            <w:hideMark/>
          </w:tcPr>
          <w:p w:rsidR="008F1A29" w:rsidRPr="008F1A29" w:rsidRDefault="008F1A29" w:rsidP="008F1A29">
            <w:pPr>
              <w:spacing w:after="0"/>
              <w:ind w:firstLine="309"/>
              <w:rPr>
                <w:b/>
                <w:szCs w:val="24"/>
                <w:lang w:eastAsia="lv-LV"/>
              </w:rPr>
            </w:pPr>
            <w:r w:rsidRPr="008F1A29">
              <w:rPr>
                <w:b/>
                <w:szCs w:val="24"/>
                <w:lang w:eastAsia="lv-LV"/>
              </w:rPr>
              <w:t>t.sk.</w:t>
            </w:r>
          </w:p>
        </w:tc>
        <w:tc>
          <w:tcPr>
            <w:tcW w:w="810" w:type="dxa"/>
            <w:shd w:val="clear" w:color="auto" w:fill="auto"/>
            <w:vAlign w:val="center"/>
            <w:hideMark/>
          </w:tcPr>
          <w:p w:rsidR="008F1A29" w:rsidRPr="008F1A29" w:rsidRDefault="008F1A29" w:rsidP="008F1A29">
            <w:pPr>
              <w:spacing w:after="0"/>
              <w:ind w:firstLine="0"/>
              <w:rPr>
                <w:szCs w:val="24"/>
                <w:lang w:eastAsia="lv-LV"/>
              </w:rPr>
            </w:pPr>
            <w:r w:rsidRPr="008F1A29">
              <w:rPr>
                <w:szCs w:val="24"/>
                <w:lang w:eastAsia="lv-LV"/>
              </w:rPr>
              <w:t> </w:t>
            </w:r>
          </w:p>
        </w:tc>
        <w:tc>
          <w:tcPr>
            <w:tcW w:w="1559" w:type="dxa"/>
            <w:shd w:val="clear" w:color="auto" w:fill="auto"/>
            <w:vAlign w:val="center"/>
            <w:hideMark/>
          </w:tcPr>
          <w:p w:rsidR="008F1A29" w:rsidRPr="008F1A29" w:rsidRDefault="008F1A29" w:rsidP="008F1A29">
            <w:pPr>
              <w:spacing w:after="0"/>
              <w:ind w:firstLine="0"/>
              <w:jc w:val="center"/>
              <w:rPr>
                <w:szCs w:val="24"/>
                <w:lang w:eastAsia="lv-LV"/>
              </w:rPr>
            </w:pPr>
            <w:r w:rsidRPr="008F1A29">
              <w:rPr>
                <w:color w:val="000000"/>
                <w:szCs w:val="24"/>
              </w:rPr>
              <w:t> </w:t>
            </w:r>
          </w:p>
        </w:tc>
        <w:tc>
          <w:tcPr>
            <w:tcW w:w="1417" w:type="dxa"/>
            <w:shd w:val="clear" w:color="auto" w:fill="auto"/>
            <w:vAlign w:val="center"/>
            <w:hideMark/>
          </w:tcPr>
          <w:p w:rsidR="008F1A29" w:rsidRPr="008F1A29" w:rsidRDefault="008F1A29" w:rsidP="008F1A29">
            <w:pPr>
              <w:spacing w:after="0"/>
              <w:ind w:firstLine="0"/>
              <w:jc w:val="center"/>
              <w:rPr>
                <w:szCs w:val="24"/>
                <w:lang w:eastAsia="lv-LV"/>
              </w:rPr>
            </w:pPr>
            <w:r w:rsidRPr="008F1A29">
              <w:rPr>
                <w:color w:val="000000"/>
                <w:szCs w:val="24"/>
              </w:rPr>
              <w:t> </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1.1. Ražošanas un importa nodokļi</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D.2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14,7</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14,9</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1.2. Ienākuma un mantas kārtējie nodokļi</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D.5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7,0</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7,2</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1.3. Kapitāla nodokļi</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D.91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0,0</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0,0</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1.4. Sociālās iemaksas</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D.61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10,3</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10,1</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1.5. Īpašuma ienākumi</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D.4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0,7</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0,6</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1.6. Pārējie ieņēmumi</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7,0</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6,3</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Nodokļu slogs (D.2+D.5+D.61+D.91-D.995)</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32,2</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32,5</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0"/>
              <w:rPr>
                <w:b/>
                <w:szCs w:val="24"/>
                <w:lang w:eastAsia="lv-LV"/>
              </w:rPr>
            </w:pPr>
            <w:r w:rsidRPr="008F1A29">
              <w:rPr>
                <w:b/>
                <w:szCs w:val="24"/>
                <w:lang w:eastAsia="lv-LV"/>
              </w:rPr>
              <w:t>2. Izdevumu plāna kopsumma</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TE</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47,4</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43,2</w:t>
            </w:r>
          </w:p>
        </w:tc>
      </w:tr>
      <w:tr w:rsidR="008F1A29" w:rsidRPr="008F1A29" w:rsidTr="008F1A29">
        <w:trPr>
          <w:trHeight w:val="300"/>
        </w:trPr>
        <w:tc>
          <w:tcPr>
            <w:tcW w:w="5353" w:type="dxa"/>
            <w:shd w:val="clear" w:color="auto" w:fill="DBE5F1" w:themeFill="accent1" w:themeFillTint="33"/>
            <w:vAlign w:val="center"/>
            <w:hideMark/>
          </w:tcPr>
          <w:p w:rsidR="008F1A29" w:rsidRPr="008F1A29" w:rsidRDefault="008F1A29" w:rsidP="008F1A29">
            <w:pPr>
              <w:spacing w:after="0"/>
              <w:ind w:firstLine="309"/>
              <w:rPr>
                <w:b/>
                <w:szCs w:val="24"/>
                <w:lang w:eastAsia="lv-LV"/>
              </w:rPr>
            </w:pPr>
            <w:r w:rsidRPr="008F1A29">
              <w:rPr>
                <w:b/>
                <w:szCs w:val="24"/>
                <w:lang w:eastAsia="lv-LV"/>
              </w:rPr>
              <w:t>t.sk.</w:t>
            </w:r>
          </w:p>
        </w:tc>
        <w:tc>
          <w:tcPr>
            <w:tcW w:w="810" w:type="dxa"/>
            <w:shd w:val="clear" w:color="auto" w:fill="DBE5F1" w:themeFill="accent1" w:themeFillTint="33"/>
            <w:vAlign w:val="center"/>
            <w:hideMark/>
          </w:tcPr>
          <w:p w:rsidR="008F1A29" w:rsidRPr="008F1A29" w:rsidRDefault="008F1A29" w:rsidP="008F1A29">
            <w:pPr>
              <w:spacing w:after="0"/>
              <w:ind w:firstLine="0"/>
              <w:rPr>
                <w:szCs w:val="24"/>
                <w:lang w:eastAsia="lv-LV"/>
              </w:rPr>
            </w:pPr>
            <w:r w:rsidRPr="008F1A29">
              <w:rPr>
                <w:szCs w:val="24"/>
                <w:lang w:eastAsia="lv-LV"/>
              </w:rPr>
              <w:t> </w:t>
            </w:r>
          </w:p>
        </w:tc>
        <w:tc>
          <w:tcPr>
            <w:tcW w:w="1559" w:type="dxa"/>
            <w:shd w:val="clear" w:color="auto" w:fill="DBE5F1" w:themeFill="accent1" w:themeFillTint="33"/>
            <w:vAlign w:val="center"/>
            <w:hideMark/>
          </w:tcPr>
          <w:p w:rsidR="008F1A29" w:rsidRPr="008F1A29" w:rsidRDefault="008F1A29" w:rsidP="008F1A29">
            <w:pPr>
              <w:spacing w:after="0"/>
              <w:ind w:firstLine="0"/>
              <w:jc w:val="center"/>
              <w:rPr>
                <w:szCs w:val="24"/>
                <w:lang w:eastAsia="lv-LV"/>
              </w:rPr>
            </w:pPr>
            <w:r w:rsidRPr="008F1A29">
              <w:rPr>
                <w:color w:val="000000"/>
                <w:szCs w:val="24"/>
              </w:rPr>
              <w:t> </w:t>
            </w:r>
          </w:p>
        </w:tc>
        <w:tc>
          <w:tcPr>
            <w:tcW w:w="1417" w:type="dxa"/>
            <w:shd w:val="clear" w:color="auto" w:fill="DBE5F1" w:themeFill="accent1" w:themeFillTint="33"/>
            <w:vAlign w:val="center"/>
            <w:hideMark/>
          </w:tcPr>
          <w:p w:rsidR="008F1A29" w:rsidRPr="008F1A29" w:rsidRDefault="008F1A29" w:rsidP="008F1A29">
            <w:pPr>
              <w:spacing w:after="0"/>
              <w:ind w:firstLine="0"/>
              <w:jc w:val="center"/>
              <w:rPr>
                <w:szCs w:val="24"/>
                <w:lang w:eastAsia="lv-LV"/>
              </w:rPr>
            </w:pPr>
            <w:r w:rsidRPr="008F1A29">
              <w:rPr>
                <w:color w:val="000000"/>
                <w:szCs w:val="24"/>
              </w:rPr>
              <w:t> </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2.1. Atlīdzība nodarbinātajiem</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D.1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12,1</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11,8</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2.2. Starppatēriņš</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P.2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6,1</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5,9</w:t>
            </w:r>
          </w:p>
        </w:tc>
      </w:tr>
      <w:tr w:rsidR="008F1A29" w:rsidRPr="008F1A29" w:rsidTr="008F1A29">
        <w:trPr>
          <w:trHeight w:val="6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2.3. Sociālie maksājumi</w:t>
            </w:r>
          </w:p>
        </w:tc>
        <w:tc>
          <w:tcPr>
            <w:tcW w:w="810" w:type="dxa"/>
            <w:shd w:val="clear" w:color="auto" w:fill="auto"/>
            <w:vAlign w:val="center"/>
            <w:hideMark/>
          </w:tcPr>
          <w:p w:rsidR="008F1A29" w:rsidRPr="008F1A29" w:rsidRDefault="008F1A29" w:rsidP="008F1A29">
            <w:pPr>
              <w:spacing w:after="0"/>
              <w:ind w:firstLine="0"/>
              <w:rPr>
                <w:szCs w:val="24"/>
                <w:lang w:eastAsia="lv-LV"/>
              </w:rPr>
            </w:pPr>
            <w:r w:rsidRPr="008F1A29">
              <w:rPr>
                <w:szCs w:val="24"/>
                <w:lang w:eastAsia="lv-LV"/>
              </w:rPr>
              <w:t xml:space="preserve">D.62 D.632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14,5</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14,0</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t.sk. bezdarbnieku pabalsti</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0,9</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0,7</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2.4. Procentu izdevumi</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D.41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0,9</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0,8</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2.5. Subsīdijas</w:t>
            </w:r>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D.3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1,5</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1,3</w:t>
            </w:r>
          </w:p>
        </w:tc>
      </w:tr>
      <w:tr w:rsidR="008F1A29" w:rsidRPr="008F1A29"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2.6. Bruto kopējā pamatkapitāla veidošana</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P.51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6,0</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5,3</w:t>
            </w:r>
          </w:p>
        </w:tc>
      </w:tr>
      <w:tr w:rsidR="008F1A29" w:rsidRPr="008F1A29" w:rsidTr="008F1A29">
        <w:trPr>
          <w:trHeight w:val="300"/>
        </w:trPr>
        <w:tc>
          <w:tcPr>
            <w:tcW w:w="5353" w:type="dxa"/>
            <w:shd w:val="clear" w:color="auto" w:fill="DBE5F1" w:themeFill="accent1" w:themeFillTint="33"/>
            <w:noWrap/>
            <w:vAlign w:val="center"/>
            <w:hideMark/>
          </w:tcPr>
          <w:p w:rsidR="008F1A29" w:rsidRPr="008F1A29" w:rsidRDefault="008F1A29" w:rsidP="008F1A29">
            <w:pPr>
              <w:spacing w:after="0"/>
              <w:ind w:firstLine="309"/>
              <w:rPr>
                <w:b/>
                <w:szCs w:val="24"/>
                <w:lang w:eastAsia="lv-LV"/>
              </w:rPr>
            </w:pPr>
            <w:r w:rsidRPr="008F1A29">
              <w:rPr>
                <w:b/>
                <w:szCs w:val="24"/>
                <w:lang w:eastAsia="lv-LV"/>
              </w:rPr>
              <w:t xml:space="preserve">2.7. Kapitālo izdevumu </w:t>
            </w:r>
            <w:proofErr w:type="spellStart"/>
            <w:r w:rsidRPr="008F1A29">
              <w:rPr>
                <w:b/>
                <w:szCs w:val="24"/>
                <w:lang w:eastAsia="lv-LV"/>
              </w:rPr>
              <w:t>transferti</w:t>
            </w:r>
            <w:proofErr w:type="spellEnd"/>
          </w:p>
        </w:tc>
        <w:tc>
          <w:tcPr>
            <w:tcW w:w="810" w:type="dxa"/>
            <w:shd w:val="clear" w:color="auto" w:fill="DBE5F1" w:themeFill="accent1" w:themeFillTint="33"/>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D.9  </w:t>
            </w:r>
          </w:p>
        </w:tc>
        <w:tc>
          <w:tcPr>
            <w:tcW w:w="1559"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1,3</w:t>
            </w:r>
          </w:p>
        </w:tc>
        <w:tc>
          <w:tcPr>
            <w:tcW w:w="1417" w:type="dxa"/>
            <w:shd w:val="clear" w:color="auto" w:fill="DBE5F1" w:themeFill="accent1" w:themeFillTint="33"/>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0,0</w:t>
            </w:r>
          </w:p>
        </w:tc>
      </w:tr>
      <w:tr w:rsidR="008F1A29" w:rsidRPr="00BF5371" w:rsidTr="008F1A29">
        <w:trPr>
          <w:trHeight w:val="300"/>
        </w:trPr>
        <w:tc>
          <w:tcPr>
            <w:tcW w:w="5353" w:type="dxa"/>
            <w:shd w:val="clear" w:color="auto" w:fill="auto"/>
            <w:noWrap/>
            <w:vAlign w:val="center"/>
            <w:hideMark/>
          </w:tcPr>
          <w:p w:rsidR="008F1A29" w:rsidRPr="008F1A29" w:rsidRDefault="008F1A29" w:rsidP="008F1A29">
            <w:pPr>
              <w:spacing w:after="0"/>
              <w:ind w:firstLine="309"/>
              <w:rPr>
                <w:b/>
                <w:szCs w:val="24"/>
                <w:lang w:eastAsia="lv-LV"/>
              </w:rPr>
            </w:pPr>
            <w:r w:rsidRPr="008F1A29">
              <w:rPr>
                <w:b/>
                <w:szCs w:val="24"/>
                <w:lang w:eastAsia="lv-LV"/>
              </w:rPr>
              <w:t>2.8. Pārējie izdevumi</w:t>
            </w:r>
          </w:p>
        </w:tc>
        <w:tc>
          <w:tcPr>
            <w:tcW w:w="810" w:type="dxa"/>
            <w:shd w:val="clear" w:color="auto" w:fill="auto"/>
            <w:noWrap/>
            <w:vAlign w:val="center"/>
            <w:hideMark/>
          </w:tcPr>
          <w:p w:rsidR="008F1A29" w:rsidRPr="008F1A29" w:rsidRDefault="008F1A29" w:rsidP="008F1A29">
            <w:pPr>
              <w:spacing w:after="0"/>
              <w:ind w:firstLine="0"/>
              <w:rPr>
                <w:szCs w:val="24"/>
                <w:lang w:eastAsia="lv-LV"/>
              </w:rPr>
            </w:pPr>
            <w:r w:rsidRPr="008F1A29">
              <w:rPr>
                <w:szCs w:val="24"/>
                <w:lang w:eastAsia="lv-LV"/>
              </w:rPr>
              <w:t xml:space="preserve"> </w:t>
            </w:r>
          </w:p>
        </w:tc>
        <w:tc>
          <w:tcPr>
            <w:tcW w:w="1559"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4,9</w:t>
            </w:r>
          </w:p>
        </w:tc>
        <w:tc>
          <w:tcPr>
            <w:tcW w:w="1417" w:type="dxa"/>
            <w:shd w:val="clear" w:color="auto" w:fill="auto"/>
            <w:noWrap/>
            <w:vAlign w:val="center"/>
            <w:hideMark/>
          </w:tcPr>
          <w:p w:rsidR="008F1A29" w:rsidRPr="008F1A29" w:rsidRDefault="008F1A29" w:rsidP="008F1A29">
            <w:pPr>
              <w:spacing w:after="0"/>
              <w:ind w:firstLine="0"/>
              <w:jc w:val="center"/>
              <w:rPr>
                <w:szCs w:val="24"/>
                <w:lang w:eastAsia="lv-LV"/>
              </w:rPr>
            </w:pPr>
            <w:r w:rsidRPr="008F1A29">
              <w:rPr>
                <w:color w:val="000000"/>
                <w:szCs w:val="24"/>
              </w:rPr>
              <w:t>4,1</w:t>
            </w:r>
          </w:p>
        </w:tc>
      </w:tr>
    </w:tbl>
    <w:p w:rsidR="00E2310C" w:rsidRPr="00BF5371" w:rsidRDefault="00E2310C" w:rsidP="00375924">
      <w:pPr>
        <w:pStyle w:val="Heading1"/>
        <w:tabs>
          <w:tab w:val="left" w:pos="1276"/>
        </w:tabs>
        <w:spacing w:before="0" w:after="240"/>
        <w:ind w:left="1276" w:hanging="1276"/>
        <w:jc w:val="left"/>
        <w:rPr>
          <w:rFonts w:ascii="Times New Roman" w:hAnsi="Times New Roman"/>
          <w:color w:val="18185F"/>
          <w:sz w:val="24"/>
          <w:highlight w:val="yellow"/>
        </w:rPr>
      </w:pPr>
    </w:p>
    <w:p w:rsidR="004D377A" w:rsidRPr="00295EB4"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6" w:name="_Toc53388931"/>
      <w:r w:rsidRPr="00295EB4">
        <w:rPr>
          <w:rFonts w:ascii="Times New Roman" w:hAnsi="Times New Roman"/>
          <w:color w:val="18185F"/>
          <w:sz w:val="24"/>
          <w:lang w:val="lv-LV"/>
        </w:rPr>
        <w:t xml:space="preserve">Tabula </w:t>
      </w:r>
      <w:r w:rsidR="004D377A" w:rsidRPr="00295EB4">
        <w:rPr>
          <w:rFonts w:ascii="Times New Roman" w:hAnsi="Times New Roman"/>
          <w:color w:val="18185F"/>
          <w:sz w:val="24"/>
          <w:lang w:val="lv-LV"/>
        </w:rPr>
        <w:t>4.c Vispārējās valdības izdevu</w:t>
      </w:r>
      <w:r w:rsidR="00524163" w:rsidRPr="00295EB4">
        <w:rPr>
          <w:rFonts w:ascii="Times New Roman" w:hAnsi="Times New Roman"/>
          <w:color w:val="18185F"/>
          <w:sz w:val="24"/>
          <w:lang w:val="lv-LV"/>
        </w:rPr>
        <w:t>mi</w:t>
      </w:r>
      <w:r w:rsidR="004D377A" w:rsidRPr="00295EB4">
        <w:rPr>
          <w:rFonts w:ascii="Times New Roman" w:hAnsi="Times New Roman"/>
          <w:color w:val="18185F"/>
          <w:sz w:val="24"/>
          <w:lang w:val="lv-LV"/>
        </w:rPr>
        <w:t xml:space="preserve"> </w:t>
      </w:r>
      <w:r w:rsidR="00D27E4E" w:rsidRPr="00295EB4">
        <w:rPr>
          <w:rFonts w:ascii="Times New Roman" w:hAnsi="Times New Roman"/>
          <w:color w:val="18185F"/>
          <w:sz w:val="24"/>
        </w:rPr>
        <w:t>funkciju sadalījumā</w:t>
      </w:r>
      <w:bookmarkEnd w:id="16"/>
    </w:p>
    <w:p w:rsidR="00AA5591" w:rsidRPr="00295EB4" w:rsidRDefault="00F900B2" w:rsidP="00AA5591">
      <w:pPr>
        <w:pStyle w:val="Heading1"/>
        <w:tabs>
          <w:tab w:val="left" w:pos="1276"/>
        </w:tabs>
        <w:spacing w:before="0" w:after="240"/>
        <w:ind w:left="1276" w:hanging="1276"/>
        <w:jc w:val="left"/>
        <w:rPr>
          <w:rFonts w:ascii="Times New Roman" w:hAnsi="Times New Roman"/>
          <w:color w:val="18185F"/>
          <w:sz w:val="24"/>
        </w:rPr>
      </w:pPr>
      <w:bookmarkStart w:id="17" w:name="_Toc53388932"/>
      <w:r w:rsidRPr="00295EB4">
        <w:rPr>
          <w:rFonts w:ascii="Times New Roman" w:hAnsi="Times New Roman"/>
          <w:color w:val="18185F"/>
          <w:sz w:val="24"/>
          <w:lang w:val="lv-LV"/>
        </w:rPr>
        <w:t>Tabula</w:t>
      </w:r>
      <w:r w:rsidRPr="00295EB4">
        <w:rPr>
          <w:rFonts w:ascii="Times New Roman" w:hAnsi="Times New Roman"/>
          <w:color w:val="18185F"/>
          <w:sz w:val="24"/>
        </w:rPr>
        <w:t xml:space="preserve"> </w:t>
      </w:r>
      <w:r w:rsidR="00AA5591" w:rsidRPr="00295EB4">
        <w:rPr>
          <w:rFonts w:ascii="Times New Roman" w:hAnsi="Times New Roman"/>
          <w:color w:val="18185F"/>
          <w:sz w:val="24"/>
        </w:rPr>
        <w:t>4.c.i) Vispārējās valdības izdevumi izglītībai, veselības aprūpei un nodarbinātībai</w:t>
      </w:r>
      <w:bookmarkEnd w:id="17"/>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295EB4" w:rsidTr="007E32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rsidR="00AA5591" w:rsidRPr="00295EB4" w:rsidRDefault="00AA5591" w:rsidP="00AA5591">
            <w:pPr>
              <w:spacing w:after="0"/>
              <w:ind w:firstLine="0"/>
              <w:jc w:val="center"/>
              <w:rPr>
                <w:color w:val="auto"/>
                <w:szCs w:val="24"/>
                <w:lang w:eastAsia="lv-LV"/>
              </w:rPr>
            </w:pPr>
          </w:p>
        </w:tc>
        <w:tc>
          <w:tcPr>
            <w:tcW w:w="3724" w:type="dxa"/>
            <w:gridSpan w:val="2"/>
            <w:vAlign w:val="center"/>
            <w:hideMark/>
          </w:tcPr>
          <w:p w:rsidR="00AA5591" w:rsidRPr="00295EB4" w:rsidRDefault="00D85FDB"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295EB4">
              <w:rPr>
                <w:color w:val="auto"/>
                <w:szCs w:val="24"/>
                <w:lang w:eastAsia="lv-LV"/>
              </w:rPr>
              <w:t>20</w:t>
            </w:r>
            <w:r w:rsidR="00295EB4" w:rsidRPr="00295EB4">
              <w:rPr>
                <w:color w:val="auto"/>
                <w:szCs w:val="24"/>
                <w:lang w:eastAsia="lv-LV"/>
              </w:rPr>
              <w:t>20</w:t>
            </w:r>
          </w:p>
        </w:tc>
        <w:tc>
          <w:tcPr>
            <w:tcW w:w="3624" w:type="dxa"/>
            <w:gridSpan w:val="2"/>
            <w:vAlign w:val="center"/>
            <w:hideMark/>
          </w:tcPr>
          <w:p w:rsidR="00AA5591" w:rsidRPr="00295EB4" w:rsidRDefault="00D85FDB"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295EB4">
              <w:rPr>
                <w:color w:val="auto"/>
                <w:szCs w:val="24"/>
                <w:lang w:eastAsia="lv-LV"/>
              </w:rPr>
              <w:t>20</w:t>
            </w:r>
            <w:r w:rsidR="003822F3" w:rsidRPr="00295EB4">
              <w:rPr>
                <w:color w:val="auto"/>
                <w:szCs w:val="24"/>
                <w:lang w:eastAsia="lv-LV"/>
              </w:rPr>
              <w:t>2</w:t>
            </w:r>
            <w:r w:rsidR="00295EB4" w:rsidRPr="00295EB4">
              <w:rPr>
                <w:color w:val="auto"/>
                <w:szCs w:val="24"/>
                <w:lang w:eastAsia="lv-LV"/>
              </w:rPr>
              <w:t>1</w:t>
            </w:r>
          </w:p>
        </w:tc>
      </w:tr>
      <w:tr w:rsidR="00AA5591" w:rsidRPr="00295EB4" w:rsidTr="007E32F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rsidR="00AA5591" w:rsidRPr="00295EB4" w:rsidRDefault="00AA5591" w:rsidP="00AA5591">
            <w:pPr>
              <w:spacing w:after="0"/>
              <w:ind w:firstLine="0"/>
              <w:jc w:val="center"/>
              <w:rPr>
                <w:color w:val="auto"/>
                <w:szCs w:val="24"/>
                <w:lang w:eastAsia="lv-LV"/>
              </w:rPr>
            </w:pPr>
          </w:p>
        </w:tc>
        <w:tc>
          <w:tcPr>
            <w:tcW w:w="960" w:type="dxa"/>
            <w:vAlign w:val="center"/>
            <w:hideMark/>
          </w:tcPr>
          <w:p w:rsidR="00AA5591" w:rsidRPr="00295EB4"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auto"/>
                <w:szCs w:val="24"/>
                <w:lang w:eastAsia="lv-LV"/>
              </w:rPr>
              <w:t xml:space="preserve">% </w:t>
            </w:r>
            <w:r w:rsidR="00D27E4E" w:rsidRPr="00295EB4">
              <w:rPr>
                <w:color w:val="auto"/>
                <w:szCs w:val="24"/>
                <w:lang w:eastAsia="lv-LV"/>
              </w:rPr>
              <w:t xml:space="preserve">no </w:t>
            </w:r>
            <w:r w:rsidRPr="00295EB4">
              <w:rPr>
                <w:color w:val="auto"/>
                <w:szCs w:val="24"/>
                <w:lang w:eastAsia="lv-LV"/>
              </w:rPr>
              <w:t>IKP</w:t>
            </w:r>
          </w:p>
        </w:tc>
        <w:tc>
          <w:tcPr>
            <w:tcW w:w="2764" w:type="dxa"/>
            <w:vAlign w:val="center"/>
            <w:hideMark/>
          </w:tcPr>
          <w:p w:rsidR="00AA5591" w:rsidRPr="00295EB4"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auto"/>
                <w:szCs w:val="24"/>
                <w:lang w:eastAsia="lv-LV"/>
              </w:rPr>
              <w:t>vispārējās valdības izdevumi</w:t>
            </w:r>
            <w:r w:rsidR="00D27E4E" w:rsidRPr="00295EB4">
              <w:rPr>
                <w:color w:val="auto"/>
                <w:szCs w:val="24"/>
                <w:lang w:eastAsia="lv-LV"/>
              </w:rPr>
              <w:t>, %</w:t>
            </w:r>
          </w:p>
        </w:tc>
        <w:tc>
          <w:tcPr>
            <w:tcW w:w="905" w:type="dxa"/>
            <w:vAlign w:val="center"/>
            <w:hideMark/>
          </w:tcPr>
          <w:p w:rsidR="00AA5591" w:rsidRPr="00295EB4"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auto"/>
                <w:szCs w:val="24"/>
                <w:lang w:eastAsia="lv-LV"/>
              </w:rPr>
              <w:t xml:space="preserve">% </w:t>
            </w:r>
            <w:r w:rsidR="00D27E4E" w:rsidRPr="00295EB4">
              <w:rPr>
                <w:color w:val="auto"/>
                <w:szCs w:val="24"/>
                <w:lang w:eastAsia="lv-LV"/>
              </w:rPr>
              <w:t xml:space="preserve">no </w:t>
            </w:r>
            <w:r w:rsidRPr="00295EB4">
              <w:rPr>
                <w:color w:val="auto"/>
                <w:szCs w:val="24"/>
                <w:lang w:eastAsia="lv-LV"/>
              </w:rPr>
              <w:t>IKP</w:t>
            </w:r>
          </w:p>
        </w:tc>
        <w:tc>
          <w:tcPr>
            <w:tcW w:w="2719" w:type="dxa"/>
            <w:vAlign w:val="center"/>
            <w:hideMark/>
          </w:tcPr>
          <w:p w:rsidR="00AA5591" w:rsidRPr="00295EB4"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auto"/>
                <w:szCs w:val="24"/>
                <w:lang w:eastAsia="lv-LV"/>
              </w:rPr>
              <w:t>vispārējās valdības izdevumi</w:t>
            </w:r>
            <w:r w:rsidR="00D27E4E" w:rsidRPr="00295EB4">
              <w:rPr>
                <w:color w:val="auto"/>
                <w:szCs w:val="24"/>
                <w:lang w:eastAsia="lv-LV"/>
              </w:rPr>
              <w:t>, %</w:t>
            </w:r>
          </w:p>
        </w:tc>
      </w:tr>
      <w:tr w:rsidR="00295EB4" w:rsidRPr="00295EB4"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rsidR="00295EB4" w:rsidRPr="00295EB4" w:rsidRDefault="00295EB4" w:rsidP="00295EB4">
            <w:pPr>
              <w:spacing w:after="0"/>
              <w:ind w:firstLine="0"/>
              <w:jc w:val="left"/>
              <w:rPr>
                <w:color w:val="auto"/>
                <w:szCs w:val="24"/>
                <w:lang w:eastAsia="lv-LV"/>
              </w:rPr>
            </w:pPr>
            <w:r w:rsidRPr="00295EB4">
              <w:rPr>
                <w:color w:val="auto"/>
                <w:szCs w:val="24"/>
                <w:lang w:eastAsia="lv-LV"/>
              </w:rPr>
              <w:t>Izglītība</w:t>
            </w:r>
          </w:p>
        </w:tc>
        <w:tc>
          <w:tcPr>
            <w:tcW w:w="960"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5,0</w:t>
            </w:r>
          </w:p>
        </w:tc>
        <w:tc>
          <w:tcPr>
            <w:tcW w:w="2764"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10,7</w:t>
            </w:r>
          </w:p>
        </w:tc>
        <w:tc>
          <w:tcPr>
            <w:tcW w:w="90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4,7</w:t>
            </w:r>
          </w:p>
        </w:tc>
        <w:tc>
          <w:tcPr>
            <w:tcW w:w="2719"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10,8</w:t>
            </w:r>
          </w:p>
        </w:tc>
      </w:tr>
      <w:tr w:rsidR="00295EB4" w:rsidRPr="00295EB4" w:rsidTr="007E32F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rsidR="00295EB4" w:rsidRPr="00295EB4" w:rsidRDefault="00295EB4" w:rsidP="00295EB4">
            <w:pPr>
              <w:spacing w:after="0"/>
              <w:ind w:firstLine="0"/>
              <w:jc w:val="left"/>
              <w:rPr>
                <w:color w:val="auto"/>
                <w:szCs w:val="24"/>
                <w:lang w:eastAsia="lv-LV"/>
              </w:rPr>
            </w:pPr>
            <w:r w:rsidRPr="00295EB4">
              <w:rPr>
                <w:color w:val="auto"/>
                <w:szCs w:val="24"/>
                <w:lang w:eastAsia="lv-LV"/>
              </w:rPr>
              <w:t>Veselība</w:t>
            </w:r>
          </w:p>
        </w:tc>
        <w:tc>
          <w:tcPr>
            <w:tcW w:w="960"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000000"/>
                <w:szCs w:val="24"/>
              </w:rPr>
              <w:t>5,2</w:t>
            </w:r>
          </w:p>
        </w:tc>
        <w:tc>
          <w:tcPr>
            <w:tcW w:w="2764"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000000"/>
                <w:szCs w:val="24"/>
              </w:rPr>
              <w:t>11,1</w:t>
            </w:r>
          </w:p>
        </w:tc>
        <w:tc>
          <w:tcPr>
            <w:tcW w:w="90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000000"/>
                <w:szCs w:val="24"/>
              </w:rPr>
              <w:t>5,4</w:t>
            </w:r>
          </w:p>
        </w:tc>
        <w:tc>
          <w:tcPr>
            <w:tcW w:w="2719"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295EB4">
              <w:rPr>
                <w:color w:val="000000"/>
                <w:szCs w:val="24"/>
              </w:rPr>
              <w:t>12,5</w:t>
            </w:r>
          </w:p>
        </w:tc>
      </w:tr>
      <w:tr w:rsidR="00295EB4" w:rsidRPr="00BF5371"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rsidR="00295EB4" w:rsidRPr="00295EB4" w:rsidRDefault="00295EB4" w:rsidP="00295EB4">
            <w:pPr>
              <w:spacing w:after="0"/>
              <w:ind w:firstLine="0"/>
              <w:jc w:val="left"/>
              <w:rPr>
                <w:color w:val="auto"/>
                <w:szCs w:val="24"/>
                <w:lang w:eastAsia="lv-LV"/>
              </w:rPr>
            </w:pPr>
            <w:r w:rsidRPr="00295EB4">
              <w:rPr>
                <w:color w:val="auto"/>
                <w:szCs w:val="24"/>
                <w:lang w:eastAsia="lv-LV"/>
              </w:rPr>
              <w:t>Nodarbinātība</w:t>
            </w:r>
          </w:p>
        </w:tc>
        <w:tc>
          <w:tcPr>
            <w:tcW w:w="960"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0,1</w:t>
            </w:r>
          </w:p>
        </w:tc>
        <w:tc>
          <w:tcPr>
            <w:tcW w:w="2764"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0,3</w:t>
            </w:r>
          </w:p>
        </w:tc>
        <w:tc>
          <w:tcPr>
            <w:tcW w:w="90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0,1</w:t>
            </w:r>
          </w:p>
        </w:tc>
        <w:tc>
          <w:tcPr>
            <w:tcW w:w="2719"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295EB4">
              <w:rPr>
                <w:color w:val="000000"/>
                <w:szCs w:val="24"/>
              </w:rPr>
              <w:t>0,3</w:t>
            </w:r>
          </w:p>
        </w:tc>
      </w:tr>
    </w:tbl>
    <w:p w:rsidR="00B95048" w:rsidRPr="00BF5371" w:rsidRDefault="00B95048" w:rsidP="00B95048">
      <w:pPr>
        <w:rPr>
          <w:highlight w:val="yellow"/>
          <w:lang w:val="x-none" w:eastAsia="x-none"/>
        </w:rPr>
      </w:pPr>
    </w:p>
    <w:p w:rsidR="00940365" w:rsidRDefault="00940365">
      <w:pPr>
        <w:spacing w:after="0"/>
        <w:ind w:firstLine="0"/>
        <w:jc w:val="left"/>
        <w:rPr>
          <w:b/>
          <w:bCs/>
          <w:color w:val="18185F"/>
          <w:szCs w:val="28"/>
          <w:lang w:eastAsia="x-none"/>
        </w:rPr>
      </w:pPr>
      <w:r>
        <w:rPr>
          <w:color w:val="18185F"/>
        </w:rPr>
        <w:br w:type="page"/>
      </w:r>
    </w:p>
    <w:p w:rsidR="00AA5591" w:rsidRPr="00295EB4" w:rsidRDefault="00F900B2" w:rsidP="00150E39">
      <w:pPr>
        <w:pStyle w:val="Heading1"/>
        <w:tabs>
          <w:tab w:val="left" w:pos="1276"/>
        </w:tabs>
        <w:spacing w:before="0" w:after="240"/>
        <w:ind w:firstLine="0"/>
        <w:jc w:val="left"/>
        <w:rPr>
          <w:rFonts w:ascii="Times New Roman" w:hAnsi="Times New Roman"/>
          <w:color w:val="18185F"/>
          <w:sz w:val="24"/>
        </w:rPr>
      </w:pPr>
      <w:bookmarkStart w:id="18" w:name="_Toc53388933"/>
      <w:r w:rsidRPr="00295EB4">
        <w:rPr>
          <w:rFonts w:ascii="Times New Roman" w:hAnsi="Times New Roman"/>
          <w:color w:val="18185F"/>
          <w:sz w:val="24"/>
          <w:lang w:val="lv-LV"/>
        </w:rPr>
        <w:lastRenderedPageBreak/>
        <w:t>Tabula</w:t>
      </w:r>
      <w:r w:rsidRPr="00295EB4">
        <w:rPr>
          <w:rFonts w:ascii="Times New Roman" w:hAnsi="Times New Roman"/>
          <w:color w:val="18185F"/>
          <w:sz w:val="24"/>
        </w:rPr>
        <w:t xml:space="preserve"> </w:t>
      </w:r>
      <w:r w:rsidR="00AA5591" w:rsidRPr="00295EB4">
        <w:rPr>
          <w:rFonts w:ascii="Times New Roman" w:hAnsi="Times New Roman"/>
          <w:color w:val="18185F"/>
          <w:sz w:val="24"/>
        </w:rPr>
        <w:t>4.c.ii) Vispārējās valdības izdevumi funkciju sadalījumā</w:t>
      </w:r>
      <w:bookmarkEnd w:id="18"/>
    </w:p>
    <w:tbl>
      <w:tblPr>
        <w:tblStyle w:val="GridTable6Colorful-Accent11"/>
        <w:tblW w:w="9069" w:type="dxa"/>
        <w:jc w:val="center"/>
        <w:tblLayout w:type="fixed"/>
        <w:tblLook w:val="04A0" w:firstRow="1" w:lastRow="0" w:firstColumn="1" w:lastColumn="0" w:noHBand="0" w:noVBand="1"/>
      </w:tblPr>
      <w:tblGrid>
        <w:gridCol w:w="5389"/>
        <w:gridCol w:w="1149"/>
        <w:gridCol w:w="1256"/>
        <w:gridCol w:w="1275"/>
      </w:tblGrid>
      <w:tr w:rsidR="00295EB4" w:rsidRPr="00295EB4" w:rsidTr="00C34D5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rsidR="00295EB4" w:rsidRPr="00295EB4" w:rsidRDefault="00295EB4" w:rsidP="00295EB4">
            <w:pPr>
              <w:spacing w:after="0"/>
              <w:ind w:firstLine="0"/>
              <w:jc w:val="center"/>
              <w:rPr>
                <w:color w:val="auto"/>
                <w:szCs w:val="24"/>
                <w:lang w:eastAsia="lv-LV"/>
              </w:rPr>
            </w:pPr>
          </w:p>
        </w:tc>
        <w:tc>
          <w:tcPr>
            <w:tcW w:w="1149" w:type="dxa"/>
            <w:vAlign w:val="center"/>
            <w:hideMark/>
          </w:tcPr>
          <w:p w:rsidR="00295EB4" w:rsidRPr="00295EB4"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295EB4">
              <w:rPr>
                <w:color w:val="auto"/>
                <w:szCs w:val="24"/>
              </w:rPr>
              <w:t>COFOG kods</w:t>
            </w:r>
          </w:p>
        </w:tc>
        <w:tc>
          <w:tcPr>
            <w:tcW w:w="1256" w:type="dxa"/>
            <w:vAlign w:val="center"/>
            <w:hideMark/>
          </w:tcPr>
          <w:p w:rsidR="00295EB4" w:rsidRPr="00295EB4"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295EB4">
              <w:rPr>
                <w:bCs w:val="0"/>
                <w:color w:val="000000"/>
                <w:szCs w:val="24"/>
              </w:rPr>
              <w:t>2020</w:t>
            </w:r>
          </w:p>
        </w:tc>
        <w:tc>
          <w:tcPr>
            <w:tcW w:w="1275" w:type="dxa"/>
            <w:vAlign w:val="center"/>
            <w:hideMark/>
          </w:tcPr>
          <w:p w:rsidR="00295EB4" w:rsidRPr="00295EB4" w:rsidRDefault="00295EB4" w:rsidP="00295EB4">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295EB4">
              <w:rPr>
                <w:bCs w:val="0"/>
                <w:color w:val="000000"/>
                <w:szCs w:val="24"/>
              </w:rPr>
              <w:t>2021</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rsidR="00295EB4" w:rsidRPr="00295EB4" w:rsidRDefault="00295EB4" w:rsidP="00295EB4">
            <w:pPr>
              <w:spacing w:after="0"/>
              <w:jc w:val="center"/>
              <w:rPr>
                <w:b w:val="0"/>
                <w:bCs w:val="0"/>
                <w:color w:val="auto"/>
                <w:szCs w:val="24"/>
              </w:rPr>
            </w:pPr>
          </w:p>
        </w:tc>
        <w:tc>
          <w:tcPr>
            <w:tcW w:w="1149" w:type="dxa"/>
            <w:vAlign w:val="center"/>
            <w:hideMark/>
          </w:tcPr>
          <w:p w:rsidR="00295EB4" w:rsidRPr="00295EB4" w:rsidRDefault="00295EB4" w:rsidP="00295EB4">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 xml:space="preserve">% IKP </w:t>
            </w:r>
          </w:p>
        </w:tc>
      </w:tr>
      <w:tr w:rsidR="00295EB4" w:rsidRPr="00295EB4" w:rsidTr="00C34D59">
        <w:trPr>
          <w:trHeight w:val="261"/>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1. Vispārējie sabiedriskie pakalpojumi</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1</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6,2</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5,7</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2. Aizsardzība</w:t>
            </w:r>
          </w:p>
        </w:tc>
        <w:tc>
          <w:tcPr>
            <w:tcW w:w="1149" w:type="dxa"/>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auto"/>
                <w:szCs w:val="24"/>
              </w:rPr>
              <w:t>2</w:t>
            </w:r>
          </w:p>
        </w:tc>
        <w:tc>
          <w:tcPr>
            <w:tcW w:w="1256"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2,6</w:t>
            </w:r>
          </w:p>
        </w:tc>
        <w:tc>
          <w:tcPr>
            <w:tcW w:w="127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2,4</w:t>
            </w:r>
          </w:p>
        </w:tc>
      </w:tr>
      <w:tr w:rsidR="00295EB4" w:rsidRPr="00295EB4" w:rsidTr="00C34D59">
        <w:trPr>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3. Sabiedriskā kārtība un drošība</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3</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2,4</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2,3</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4. Ekonomiskā darbība</w:t>
            </w:r>
          </w:p>
        </w:tc>
        <w:tc>
          <w:tcPr>
            <w:tcW w:w="1149" w:type="dxa"/>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auto"/>
                <w:szCs w:val="24"/>
              </w:rPr>
              <w:t>4</w:t>
            </w:r>
          </w:p>
        </w:tc>
        <w:tc>
          <w:tcPr>
            <w:tcW w:w="1256"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8,7</w:t>
            </w:r>
          </w:p>
        </w:tc>
        <w:tc>
          <w:tcPr>
            <w:tcW w:w="127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6,4</w:t>
            </w:r>
          </w:p>
        </w:tc>
      </w:tr>
      <w:tr w:rsidR="00295EB4" w:rsidRPr="00295EB4" w:rsidTr="00C34D59">
        <w:trPr>
          <w:trHeight w:val="193"/>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5. Vides aizsardzība</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5</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0,3</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0,3</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6. Mājoklis un komunālā saimniecība</w:t>
            </w:r>
          </w:p>
        </w:tc>
        <w:tc>
          <w:tcPr>
            <w:tcW w:w="1149" w:type="dxa"/>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auto"/>
                <w:szCs w:val="24"/>
              </w:rPr>
              <w:t>6</w:t>
            </w:r>
          </w:p>
        </w:tc>
        <w:tc>
          <w:tcPr>
            <w:tcW w:w="1256"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0,8</w:t>
            </w:r>
          </w:p>
        </w:tc>
        <w:tc>
          <w:tcPr>
            <w:tcW w:w="127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0,7</w:t>
            </w:r>
          </w:p>
        </w:tc>
      </w:tr>
      <w:tr w:rsidR="00295EB4" w:rsidRPr="00295EB4" w:rsidTr="00C34D59">
        <w:trPr>
          <w:trHeight w:val="259"/>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7. Veselība</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7</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5,2</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5,4</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8. Atpūta, kultūra un reliģija</w:t>
            </w:r>
          </w:p>
        </w:tc>
        <w:tc>
          <w:tcPr>
            <w:tcW w:w="1149" w:type="dxa"/>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auto"/>
                <w:szCs w:val="24"/>
              </w:rPr>
              <w:t>8</w:t>
            </w:r>
          </w:p>
        </w:tc>
        <w:tc>
          <w:tcPr>
            <w:tcW w:w="1256"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1,4</w:t>
            </w:r>
          </w:p>
        </w:tc>
        <w:tc>
          <w:tcPr>
            <w:tcW w:w="127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1,3</w:t>
            </w:r>
          </w:p>
        </w:tc>
      </w:tr>
      <w:tr w:rsidR="00295EB4" w:rsidRPr="00295EB4" w:rsidTr="00C34D59">
        <w:trPr>
          <w:trHeight w:val="255"/>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9. Izglītība</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9</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5,0</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4,7</w:t>
            </w:r>
          </w:p>
        </w:tc>
      </w:tr>
      <w:tr w:rsidR="00295EB4" w:rsidRPr="00295EB4" w:rsidTr="00C34D5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10. Sociālā aizsardzība</w:t>
            </w:r>
          </w:p>
        </w:tc>
        <w:tc>
          <w:tcPr>
            <w:tcW w:w="1149" w:type="dxa"/>
            <w:vAlign w:val="center"/>
            <w:hideMark/>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auto"/>
                <w:szCs w:val="24"/>
              </w:rPr>
              <w:t>10</w:t>
            </w:r>
          </w:p>
        </w:tc>
        <w:tc>
          <w:tcPr>
            <w:tcW w:w="1256"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14,8</w:t>
            </w:r>
          </w:p>
        </w:tc>
        <w:tc>
          <w:tcPr>
            <w:tcW w:w="1275" w:type="dxa"/>
            <w:vAlign w:val="center"/>
          </w:tcPr>
          <w:p w:rsidR="00295EB4" w:rsidRPr="00295EB4" w:rsidRDefault="00295EB4" w:rsidP="00295EB4">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295EB4">
              <w:rPr>
                <w:color w:val="000000"/>
                <w:szCs w:val="24"/>
              </w:rPr>
              <w:t>14,0</w:t>
            </w:r>
          </w:p>
        </w:tc>
      </w:tr>
      <w:tr w:rsidR="00295EB4" w:rsidRPr="00BF5371" w:rsidTr="00C34D59">
        <w:trPr>
          <w:trHeight w:val="207"/>
          <w:jc w:val="center"/>
        </w:trPr>
        <w:tc>
          <w:tcPr>
            <w:cnfStyle w:val="001000000000" w:firstRow="0" w:lastRow="0" w:firstColumn="1" w:lastColumn="0" w:oddVBand="0" w:evenVBand="0" w:oddHBand="0" w:evenHBand="0" w:firstRowFirstColumn="0" w:firstRowLastColumn="0" w:lastRowFirstColumn="0" w:lastRowLastColumn="0"/>
            <w:tcW w:w="5389" w:type="dxa"/>
            <w:hideMark/>
          </w:tcPr>
          <w:p w:rsidR="00295EB4" w:rsidRPr="00295EB4" w:rsidRDefault="00295EB4" w:rsidP="00295EB4">
            <w:pPr>
              <w:spacing w:after="0"/>
              <w:ind w:firstLine="0"/>
              <w:jc w:val="left"/>
              <w:rPr>
                <w:color w:val="auto"/>
                <w:szCs w:val="24"/>
              </w:rPr>
            </w:pPr>
            <w:r w:rsidRPr="00295EB4">
              <w:rPr>
                <w:color w:val="auto"/>
                <w:szCs w:val="24"/>
              </w:rPr>
              <w:t>11. Kopējie izdevumi</w:t>
            </w:r>
          </w:p>
        </w:tc>
        <w:tc>
          <w:tcPr>
            <w:tcW w:w="1149" w:type="dxa"/>
            <w:vAlign w:val="center"/>
            <w:hideMark/>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auto"/>
                <w:szCs w:val="24"/>
              </w:rPr>
              <w:t>TE</w:t>
            </w:r>
          </w:p>
        </w:tc>
        <w:tc>
          <w:tcPr>
            <w:tcW w:w="1256"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47,4</w:t>
            </w:r>
          </w:p>
        </w:tc>
        <w:tc>
          <w:tcPr>
            <w:tcW w:w="1275" w:type="dxa"/>
            <w:vAlign w:val="center"/>
          </w:tcPr>
          <w:p w:rsidR="00295EB4" w:rsidRPr="00295EB4" w:rsidRDefault="00295EB4" w:rsidP="00295EB4">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295EB4">
              <w:rPr>
                <w:color w:val="000000"/>
                <w:szCs w:val="24"/>
              </w:rPr>
              <w:t>43,2</w:t>
            </w:r>
          </w:p>
        </w:tc>
      </w:tr>
    </w:tbl>
    <w:p w:rsidR="005119CA" w:rsidRPr="00BF5371" w:rsidRDefault="005119CA" w:rsidP="00BF53B7">
      <w:pPr>
        <w:pStyle w:val="Heading1"/>
        <w:tabs>
          <w:tab w:val="left" w:pos="0"/>
        </w:tabs>
        <w:spacing w:before="0" w:after="240"/>
        <w:ind w:firstLine="0"/>
        <w:rPr>
          <w:rFonts w:ascii="Times New Roman" w:hAnsi="Times New Roman"/>
          <w:color w:val="18185F"/>
          <w:sz w:val="24"/>
          <w:highlight w:val="yellow"/>
        </w:rPr>
      </w:pPr>
      <w:bookmarkStart w:id="19" w:name="_Toc400715669"/>
    </w:p>
    <w:p w:rsidR="008906EA" w:rsidRPr="00BF5371" w:rsidRDefault="008906EA" w:rsidP="008906EA">
      <w:pPr>
        <w:rPr>
          <w:highlight w:val="yellow"/>
          <w:lang w:val="x-none" w:eastAsia="x-none"/>
        </w:rPr>
      </w:pPr>
    </w:p>
    <w:p w:rsidR="00E2310C" w:rsidRPr="00BF5371" w:rsidRDefault="00E2310C">
      <w:pPr>
        <w:spacing w:after="0"/>
        <w:ind w:firstLine="0"/>
        <w:jc w:val="left"/>
        <w:rPr>
          <w:b/>
          <w:bCs/>
          <w:color w:val="18185E"/>
          <w:sz w:val="28"/>
          <w:szCs w:val="28"/>
          <w:highlight w:val="yellow"/>
          <w:lang w:val="x-none" w:eastAsia="x-none"/>
        </w:rPr>
      </w:pPr>
      <w:r w:rsidRPr="00BF5371">
        <w:rPr>
          <w:color w:val="18185E"/>
          <w:sz w:val="28"/>
          <w:highlight w:val="yellow"/>
        </w:rPr>
        <w:br w:type="page"/>
      </w:r>
    </w:p>
    <w:p w:rsidR="008906EA" w:rsidRPr="005E1D08" w:rsidRDefault="008906EA" w:rsidP="00720756">
      <w:pPr>
        <w:pStyle w:val="Heading1"/>
        <w:tabs>
          <w:tab w:val="left" w:pos="1276"/>
        </w:tabs>
        <w:spacing w:before="0" w:after="240"/>
        <w:jc w:val="center"/>
      </w:pPr>
      <w:bookmarkStart w:id="20" w:name="_Toc53388934"/>
      <w:r w:rsidRPr="005E1D08">
        <w:rPr>
          <w:rFonts w:ascii="Times New Roman" w:hAnsi="Times New Roman"/>
          <w:color w:val="18185E"/>
          <w:sz w:val="28"/>
        </w:rPr>
        <w:lastRenderedPageBreak/>
        <w:t>Vidēja termiņa budžeta politikas prioritāro attīstības virzienu īstenošana</w:t>
      </w:r>
      <w:bookmarkEnd w:id="20"/>
    </w:p>
    <w:p w:rsidR="008906EA" w:rsidRPr="005E1D08" w:rsidRDefault="008906EA" w:rsidP="008906EA">
      <w:pPr>
        <w:ind w:firstLine="0"/>
        <w:rPr>
          <w:szCs w:val="24"/>
          <w:lang w:eastAsia="x-none"/>
        </w:rPr>
      </w:pPr>
      <w:r w:rsidRPr="005E1D08">
        <w:rPr>
          <w:b/>
          <w:szCs w:val="24"/>
          <w:lang w:eastAsia="x-none"/>
        </w:rPr>
        <w:t>Iedzīvotāju ienākumu nevienlīdzības mazināšana</w:t>
      </w:r>
    </w:p>
    <w:p w:rsidR="005E1D08" w:rsidRPr="005E1D08" w:rsidRDefault="005E1D08" w:rsidP="0001288B">
      <w:pPr>
        <w:spacing w:after="0"/>
        <w:ind w:firstLine="720"/>
        <w:rPr>
          <w:szCs w:val="24"/>
        </w:rPr>
      </w:pPr>
      <w:r w:rsidRPr="005E1D08">
        <w:rPr>
          <w:szCs w:val="24"/>
        </w:rPr>
        <w:t xml:space="preserve">Ienākumu nevienlīdzības mazināšana, paaugstinot ienākumu slieksni, līdz kuram piemēro ar iedzīvotāju ienākuma nodokli neapliekamo minimumu, kā arī palielinot garantēto minimālo ienākumu, minimālo pensiju un pabalstus sociāli maz aizsargātām sabiedrības grupām. Iedzīvotāju dzīves kvalitāti nosaka, gan absolūtie rādītāji, gan relatīvie rādītāji </w:t>
      </w:r>
      <w:r w:rsidR="0001288B">
        <w:rPr>
          <w:color w:val="000000"/>
          <w:szCs w:val="24"/>
        </w:rPr>
        <w:t>–</w:t>
      </w:r>
      <w:r w:rsidRPr="005E1D08">
        <w:rPr>
          <w:szCs w:val="24"/>
        </w:rPr>
        <w:t xml:space="preserve"> vidējā iedzīvotāju dzīves kvalitāti un dzīves kvalitātes atšķirības iedzīvotājiem ar atšķirīgu ieņēmumu lielumu. Būtisks rādītājs, vērtējot vidējo dzīves kvalitāti, ir IKP apjoms uz vienu iedzīvotāju, kas Latvijai saskaņā ar </w:t>
      </w:r>
      <w:proofErr w:type="spellStart"/>
      <w:r w:rsidRPr="005E1D08">
        <w:rPr>
          <w:i/>
          <w:iCs/>
          <w:szCs w:val="24"/>
        </w:rPr>
        <w:t>Eurostat</w:t>
      </w:r>
      <w:proofErr w:type="spellEnd"/>
      <w:r w:rsidRPr="005E1D08">
        <w:rPr>
          <w:szCs w:val="24"/>
        </w:rPr>
        <w:t xml:space="preserve"> datiem ir ceturtais zemākais ES (IKP uz vienu iedzīvotāju pēc PPS (pirktspējas paritātes) 2019.gadā</w:t>
      </w:r>
      <w:r w:rsidRPr="005E1D08">
        <w:rPr>
          <w:i/>
          <w:iCs/>
          <w:szCs w:val="24"/>
        </w:rPr>
        <w:t>)</w:t>
      </w:r>
      <w:r w:rsidRPr="005E1D08">
        <w:rPr>
          <w:szCs w:val="24"/>
        </w:rPr>
        <w:t xml:space="preserve">. Savukārt, </w:t>
      </w:r>
      <w:proofErr w:type="spellStart"/>
      <w:r w:rsidRPr="005E1D08">
        <w:rPr>
          <w:i/>
          <w:iCs/>
          <w:szCs w:val="24"/>
        </w:rPr>
        <w:t>Džinī</w:t>
      </w:r>
      <w:proofErr w:type="spellEnd"/>
      <w:r w:rsidRPr="005E1D08">
        <w:rPr>
          <w:i/>
          <w:iCs/>
          <w:szCs w:val="24"/>
        </w:rPr>
        <w:t xml:space="preserve"> </w:t>
      </w:r>
      <w:r w:rsidRPr="005E1D08">
        <w:rPr>
          <w:szCs w:val="24"/>
        </w:rPr>
        <w:t>koeficients, kas raksturo ieņēmumu nevienlīdzību, Latvijā ir vien</w:t>
      </w:r>
      <w:r w:rsidR="00091234">
        <w:rPr>
          <w:szCs w:val="24"/>
        </w:rPr>
        <w:t>s no augstākajiem ES, pēc 2019.</w:t>
      </w:r>
      <w:r w:rsidRPr="005E1D08">
        <w:rPr>
          <w:szCs w:val="24"/>
        </w:rPr>
        <w:t xml:space="preserve">gada </w:t>
      </w:r>
      <w:proofErr w:type="spellStart"/>
      <w:r w:rsidRPr="005E1D08">
        <w:rPr>
          <w:i/>
          <w:iCs/>
          <w:szCs w:val="24"/>
        </w:rPr>
        <w:t>Euro</w:t>
      </w:r>
      <w:r w:rsidRPr="005E1D08">
        <w:rPr>
          <w:szCs w:val="24"/>
        </w:rPr>
        <w:t>stat</w:t>
      </w:r>
      <w:proofErr w:type="spellEnd"/>
      <w:r w:rsidRPr="005E1D08">
        <w:rPr>
          <w:szCs w:val="24"/>
        </w:rPr>
        <w:t xml:space="preserve"> datiem apsteidzot vienīgi Lietuvu un Bulgāriju. </w:t>
      </w:r>
    </w:p>
    <w:p w:rsidR="005E1D08" w:rsidRPr="005E1D08" w:rsidRDefault="005E1D08" w:rsidP="0001288B">
      <w:pPr>
        <w:spacing w:after="0"/>
        <w:ind w:firstLine="720"/>
        <w:rPr>
          <w:szCs w:val="24"/>
        </w:rPr>
      </w:pPr>
      <w:r w:rsidRPr="005E1D08">
        <w:rPr>
          <w:szCs w:val="24"/>
        </w:rPr>
        <w:t xml:space="preserve">Aktuālais </w:t>
      </w:r>
      <w:r w:rsidR="00993BB8" w:rsidRPr="00993BB8">
        <w:rPr>
          <w:rFonts w:eastAsia="Calibri"/>
          <w:color w:val="000000"/>
          <w:szCs w:val="24"/>
        </w:rPr>
        <w:t>Ietvara likums</w:t>
      </w:r>
      <w:r w:rsidRPr="005E1D08">
        <w:rPr>
          <w:szCs w:val="24"/>
        </w:rPr>
        <w:t xml:space="preserve"> paredz šādus galvenos politikas pasākumus iedzīvotāju ienākumu nevienlīdzības mazināšanā:</w:t>
      </w:r>
    </w:p>
    <w:p w:rsidR="005E1D08" w:rsidRPr="005E1D08" w:rsidRDefault="005E1D08" w:rsidP="005E1D08">
      <w:pPr>
        <w:pStyle w:val="ListParagraph"/>
        <w:numPr>
          <w:ilvl w:val="0"/>
          <w:numId w:val="21"/>
        </w:numPr>
        <w:spacing w:after="0" w:line="240" w:lineRule="auto"/>
        <w:jc w:val="both"/>
        <w:rPr>
          <w:rFonts w:ascii="Times New Roman" w:hAnsi="Times New Roman"/>
          <w:sz w:val="24"/>
          <w:szCs w:val="24"/>
        </w:rPr>
      </w:pPr>
      <w:r w:rsidRPr="005E1D08">
        <w:rPr>
          <w:rFonts w:ascii="Times New Roman" w:hAnsi="Times New Roman"/>
          <w:sz w:val="24"/>
          <w:szCs w:val="24"/>
        </w:rPr>
        <w:t>palielinot ienākumu slieksni līdz 1</w:t>
      </w:r>
      <w:r w:rsidR="00091234" w:rsidRPr="00195D14">
        <w:rPr>
          <w:bCs/>
          <w:szCs w:val="24"/>
          <w:lang w:eastAsia="lv-LV"/>
        </w:rPr>
        <w:t> </w:t>
      </w:r>
      <w:r w:rsidRPr="005E1D08">
        <w:rPr>
          <w:rFonts w:ascii="Times New Roman" w:hAnsi="Times New Roman"/>
          <w:sz w:val="24"/>
          <w:szCs w:val="24"/>
        </w:rPr>
        <w:t xml:space="preserve">800 </w:t>
      </w:r>
      <w:proofErr w:type="spellStart"/>
      <w:r w:rsidRPr="005E1D08">
        <w:rPr>
          <w:rFonts w:ascii="Times New Roman" w:hAnsi="Times New Roman"/>
          <w:i/>
          <w:iCs/>
          <w:sz w:val="24"/>
          <w:szCs w:val="24"/>
        </w:rPr>
        <w:t>euro</w:t>
      </w:r>
      <w:proofErr w:type="spellEnd"/>
      <w:r w:rsidRPr="005E1D08">
        <w:rPr>
          <w:rFonts w:ascii="Times New Roman" w:hAnsi="Times New Roman"/>
          <w:sz w:val="24"/>
          <w:szCs w:val="24"/>
        </w:rPr>
        <w:t xml:space="preserve"> mēnesī, līdz kuram tiek piemērots diferencētais neapliekamais minimums (šobrīd 1</w:t>
      </w:r>
      <w:r w:rsidR="00091234" w:rsidRPr="00195D14">
        <w:rPr>
          <w:bCs/>
          <w:szCs w:val="24"/>
          <w:lang w:eastAsia="lv-LV"/>
        </w:rPr>
        <w:t> </w:t>
      </w:r>
      <w:r w:rsidRPr="005E1D08">
        <w:rPr>
          <w:rFonts w:ascii="Times New Roman" w:hAnsi="Times New Roman"/>
          <w:sz w:val="24"/>
          <w:szCs w:val="24"/>
        </w:rPr>
        <w:t xml:space="preserve">200 </w:t>
      </w:r>
      <w:proofErr w:type="spellStart"/>
      <w:r w:rsidRPr="005E1D08">
        <w:rPr>
          <w:rFonts w:ascii="Times New Roman" w:hAnsi="Times New Roman"/>
          <w:i/>
          <w:iCs/>
          <w:sz w:val="24"/>
          <w:szCs w:val="24"/>
        </w:rPr>
        <w:t>euro</w:t>
      </w:r>
      <w:proofErr w:type="spellEnd"/>
      <w:r w:rsidRPr="005E1D08">
        <w:rPr>
          <w:rFonts w:ascii="Times New Roman" w:hAnsi="Times New Roman"/>
          <w:sz w:val="24"/>
          <w:szCs w:val="24"/>
        </w:rPr>
        <w:t xml:space="preserve"> mēnesī)</w:t>
      </w:r>
    </w:p>
    <w:p w:rsidR="005E1D08" w:rsidRPr="005E1D08" w:rsidRDefault="005E1D08" w:rsidP="005E1D08">
      <w:pPr>
        <w:pStyle w:val="ListParagraph"/>
        <w:numPr>
          <w:ilvl w:val="0"/>
          <w:numId w:val="21"/>
        </w:numPr>
        <w:spacing w:after="0" w:line="240" w:lineRule="auto"/>
        <w:jc w:val="both"/>
        <w:rPr>
          <w:rFonts w:ascii="Times New Roman" w:hAnsi="Times New Roman"/>
          <w:sz w:val="24"/>
          <w:szCs w:val="24"/>
        </w:rPr>
      </w:pPr>
      <w:r w:rsidRPr="005E1D08">
        <w:rPr>
          <w:rFonts w:ascii="Times New Roman" w:hAnsi="Times New Roman"/>
          <w:sz w:val="24"/>
          <w:szCs w:val="24"/>
        </w:rPr>
        <w:t>palielinot garantēto minimālo ienākumu, minimālo pensiju un pabalstus sociāli maz aizsargātām sabiedrības grupām.</w:t>
      </w:r>
    </w:p>
    <w:p w:rsidR="005E1D08" w:rsidRPr="005E1D08" w:rsidRDefault="005E1D08" w:rsidP="005E1D08">
      <w:pPr>
        <w:rPr>
          <w:szCs w:val="24"/>
        </w:rPr>
      </w:pPr>
    </w:p>
    <w:p w:rsidR="008906EA" w:rsidRPr="005E1D08" w:rsidRDefault="008906EA" w:rsidP="005E1D08">
      <w:pPr>
        <w:ind w:firstLine="0"/>
        <w:rPr>
          <w:b/>
          <w:szCs w:val="24"/>
          <w:lang w:eastAsia="x-none"/>
        </w:rPr>
      </w:pPr>
      <w:r w:rsidRPr="005E1D08">
        <w:rPr>
          <w:b/>
          <w:szCs w:val="24"/>
          <w:lang w:eastAsia="x-none"/>
        </w:rPr>
        <w:t xml:space="preserve">Valsts </w:t>
      </w:r>
      <w:proofErr w:type="spellStart"/>
      <w:r w:rsidRPr="005E1D08">
        <w:rPr>
          <w:b/>
          <w:szCs w:val="24"/>
          <w:lang w:eastAsia="x-none"/>
        </w:rPr>
        <w:t>cilvēkkapitāla</w:t>
      </w:r>
      <w:proofErr w:type="spellEnd"/>
      <w:r w:rsidRPr="005E1D08">
        <w:rPr>
          <w:b/>
          <w:szCs w:val="24"/>
          <w:lang w:eastAsia="x-none"/>
        </w:rPr>
        <w:t xml:space="preserve"> palielināšana</w:t>
      </w:r>
    </w:p>
    <w:p w:rsidR="005E1D08" w:rsidRPr="005E1D08" w:rsidRDefault="005E1D08" w:rsidP="00091234">
      <w:pPr>
        <w:spacing w:after="0"/>
        <w:rPr>
          <w:szCs w:val="24"/>
        </w:rPr>
      </w:pPr>
      <w:r w:rsidRPr="005E1D08">
        <w:rPr>
          <w:szCs w:val="24"/>
        </w:rPr>
        <w:t xml:space="preserve">Veselības un izglītības nozares </w:t>
      </w:r>
      <w:proofErr w:type="spellStart"/>
      <w:r w:rsidRPr="005E1D08">
        <w:rPr>
          <w:szCs w:val="24"/>
        </w:rPr>
        <w:t>cilvēkkapitāla</w:t>
      </w:r>
      <w:proofErr w:type="spellEnd"/>
      <w:r w:rsidRPr="005E1D08">
        <w:rPr>
          <w:szCs w:val="24"/>
        </w:rPr>
        <w:t xml:space="preserve"> kapacitātes saglabāšana un stiprināšana, palielinot publisko finansējumu ārstniecības personu un pedagogu atalgojumam. </w:t>
      </w:r>
    </w:p>
    <w:p w:rsidR="005E1D08" w:rsidRPr="00993BB8" w:rsidRDefault="005E1D08" w:rsidP="00091234">
      <w:pPr>
        <w:spacing w:after="0"/>
        <w:rPr>
          <w:i/>
          <w:iCs/>
          <w:szCs w:val="24"/>
        </w:rPr>
      </w:pPr>
      <w:r w:rsidRPr="005E1D08">
        <w:rPr>
          <w:b/>
          <w:bCs/>
          <w:szCs w:val="24"/>
        </w:rPr>
        <w:t xml:space="preserve">Veselības aprūpe. </w:t>
      </w:r>
      <w:r w:rsidRPr="005E1D08">
        <w:rPr>
          <w:szCs w:val="24"/>
        </w:rPr>
        <w:t xml:space="preserve">Dzīves kvalitātes uzlabošana ir iespējama, nodrošinot ekonomikas strauju izaugsmi ilgtermiņā, jeb relatīvi augstu potenciālā IKP pieaugumu. Nelabvēlīgo demogrāfijas tendenču kontekstā darbaspēka komponents ieguldījums kopējā potenciālā IKP pieaugumā būs tuvs nullei. Šādos apstākļos darbaspēka komponentes ieguldījumu var palielināt, mazinot laiku, ko darbspējīgā vecuma iedzīvotāji atrodas ārpus darba slimības dēļ. Sabiedrības veselības stiprināšana, nodrošinot kvalitatīvākus un pieejamākus veselības aprūpes pasākumus tiešā veidā ietekmē potenciālā IKP izaugsmi un līdz ar to ir viens no rādītājiem valsts </w:t>
      </w:r>
      <w:proofErr w:type="spellStart"/>
      <w:r w:rsidRPr="005E1D08">
        <w:rPr>
          <w:szCs w:val="24"/>
        </w:rPr>
        <w:t>cilvēkkapitālā</w:t>
      </w:r>
      <w:proofErr w:type="spellEnd"/>
      <w:r w:rsidRPr="005E1D08">
        <w:rPr>
          <w:szCs w:val="24"/>
        </w:rPr>
        <w:t xml:space="preserve">. Jāatzīmē arī, ka kvalitatīvāka un pieejamāka veselības aprūpe tiešā veidā pozitīvi ietekmē fiskālās politikas vispārējo mērķi – iedzīvotāju dzīves kvalitāti. Līdz ar to publisko finanšu ieguldījumi veselības aprūpē gan tiešā veidā uzlabo iedzīvotāju dzīves kvalitāti, gan rada priekšnosacījumus ekonomikas izaugsmei, kas, savukārt, nodrošina uzlabotās </w:t>
      </w:r>
      <w:r w:rsidRPr="00993BB8">
        <w:rPr>
          <w:szCs w:val="24"/>
        </w:rPr>
        <w:t xml:space="preserve">dzīves kvalitātes ilgtspēju. </w:t>
      </w:r>
    </w:p>
    <w:p w:rsidR="005E1D08" w:rsidRPr="005E1D08" w:rsidRDefault="005E1D08" w:rsidP="00091234">
      <w:pPr>
        <w:spacing w:after="0"/>
        <w:ind w:firstLine="720"/>
        <w:rPr>
          <w:szCs w:val="24"/>
        </w:rPr>
      </w:pPr>
      <w:r w:rsidRPr="00993BB8">
        <w:rPr>
          <w:szCs w:val="24"/>
        </w:rPr>
        <w:t xml:space="preserve">Šajā </w:t>
      </w:r>
      <w:r w:rsidR="00993BB8" w:rsidRPr="00993BB8">
        <w:rPr>
          <w:rFonts w:eastAsia="Calibri"/>
          <w:color w:val="000000"/>
          <w:szCs w:val="24"/>
        </w:rPr>
        <w:t>Ietvara likumā</w:t>
      </w:r>
      <w:r w:rsidRPr="005E1D08">
        <w:rPr>
          <w:szCs w:val="24"/>
        </w:rPr>
        <w:t xml:space="preserve"> viens no MK lēmum</w:t>
      </w:r>
      <w:r w:rsidR="00091234">
        <w:rPr>
          <w:szCs w:val="24"/>
        </w:rPr>
        <w:t>iem vidējā termiņā ietver 2021.</w:t>
      </w:r>
      <w:r w:rsidRPr="005E1D08">
        <w:rPr>
          <w:szCs w:val="24"/>
        </w:rPr>
        <w:t xml:space="preserve">gadam 183,0 milj. </w:t>
      </w:r>
      <w:proofErr w:type="spellStart"/>
      <w:r w:rsidRPr="005E1D08">
        <w:rPr>
          <w:i/>
          <w:iCs/>
          <w:szCs w:val="24"/>
        </w:rPr>
        <w:t>euro</w:t>
      </w:r>
      <w:proofErr w:type="spellEnd"/>
      <w:r w:rsidRPr="005E1D08">
        <w:rPr>
          <w:szCs w:val="24"/>
        </w:rPr>
        <w:t xml:space="preserve"> piešķiršanu ārstniecības personu darba samaksas pieauguma nodrošināšanai</w:t>
      </w:r>
      <w:r w:rsidR="00091234">
        <w:rPr>
          <w:szCs w:val="24"/>
        </w:rPr>
        <w:t>.</w:t>
      </w:r>
    </w:p>
    <w:p w:rsidR="005E1D08" w:rsidRPr="005E1D08" w:rsidRDefault="005E1D08" w:rsidP="00091234">
      <w:pPr>
        <w:spacing w:after="0"/>
        <w:rPr>
          <w:szCs w:val="24"/>
        </w:rPr>
      </w:pPr>
      <w:r w:rsidRPr="005E1D08">
        <w:rPr>
          <w:szCs w:val="24"/>
        </w:rPr>
        <w:t xml:space="preserve">Būtisks aspekts veselības nozares sekmīgai funkcionēšanai ir izglītota un motivēta medicīnas personāla pieejamība, ko nosaka arī adekvāts atalgojums. </w:t>
      </w:r>
    </w:p>
    <w:p w:rsidR="005E1D08" w:rsidRPr="005E1D08" w:rsidRDefault="005E1D08" w:rsidP="00091234">
      <w:pPr>
        <w:shd w:val="clear" w:color="auto" w:fill="FFFFFF"/>
        <w:spacing w:after="0"/>
        <w:ind w:firstLine="720"/>
        <w:rPr>
          <w:color w:val="000000"/>
          <w:szCs w:val="24"/>
        </w:rPr>
      </w:pPr>
      <w:proofErr w:type="spellStart"/>
      <w:r w:rsidRPr="005E1D08">
        <w:rPr>
          <w:i/>
          <w:iCs/>
          <w:color w:val="000000"/>
          <w:szCs w:val="24"/>
        </w:rPr>
        <w:t>Eurostat</w:t>
      </w:r>
      <w:proofErr w:type="spellEnd"/>
      <w:r w:rsidR="00091234">
        <w:rPr>
          <w:color w:val="000000"/>
          <w:szCs w:val="24"/>
        </w:rPr>
        <w:t xml:space="preserve"> </w:t>
      </w:r>
      <w:r w:rsidRPr="005E1D08">
        <w:rPr>
          <w:color w:val="000000"/>
          <w:szCs w:val="24"/>
        </w:rPr>
        <w:t>dati norāda, ka 2018.gadā medicīnas personāla skaits Latvijā uz 1</w:t>
      </w:r>
      <w:r w:rsidR="005B63F0" w:rsidRPr="00195D14">
        <w:rPr>
          <w:bCs/>
          <w:szCs w:val="24"/>
          <w:lang w:eastAsia="lv-LV"/>
        </w:rPr>
        <w:t> </w:t>
      </w:r>
      <w:r w:rsidRPr="005E1D08">
        <w:rPr>
          <w:color w:val="000000"/>
          <w:szCs w:val="24"/>
        </w:rPr>
        <w:t>000 iedzīvotājiem bija zemāks nekā vidēji ES, t.sk. medicīnas māsu skaits bija tikai 4,4 uz 1</w:t>
      </w:r>
      <w:r w:rsidR="005B63F0" w:rsidRPr="00195D14">
        <w:rPr>
          <w:bCs/>
          <w:szCs w:val="24"/>
          <w:lang w:eastAsia="lv-LV"/>
        </w:rPr>
        <w:t> </w:t>
      </w:r>
      <w:r w:rsidRPr="005E1D08">
        <w:rPr>
          <w:color w:val="000000"/>
          <w:szCs w:val="24"/>
        </w:rPr>
        <w:t>000 iedzīvotājiem, kas ir vien</w:t>
      </w:r>
      <w:r w:rsidR="00091234">
        <w:rPr>
          <w:color w:val="000000"/>
          <w:szCs w:val="24"/>
        </w:rPr>
        <w:t xml:space="preserve">s no zemākajiem rādītājiem ES, savukārt </w:t>
      </w:r>
      <w:r w:rsidRPr="005E1D08">
        <w:rPr>
          <w:color w:val="000000"/>
          <w:szCs w:val="24"/>
        </w:rPr>
        <w:t>ārstu skaits bija 3,3 uz 1</w:t>
      </w:r>
      <w:r w:rsidR="00091234" w:rsidRPr="00195D14">
        <w:rPr>
          <w:bCs/>
          <w:szCs w:val="24"/>
          <w:lang w:eastAsia="lv-LV"/>
        </w:rPr>
        <w:t> </w:t>
      </w:r>
      <w:r w:rsidRPr="005E1D08">
        <w:rPr>
          <w:color w:val="000000"/>
          <w:szCs w:val="24"/>
        </w:rPr>
        <w:t>000 iedzīvotājiem, kas arī ir zem ES vidējā rādītāja (3,8). Attiecīgi ir pamatoti izvērtēt to, kā atalgojums potenciāli ietekmē medicīnas studiju absolventu lēmumu strādāt medicīnas nozarē Latvijā (valsts vai pašvaldību slimnīcās) vai arī ārzemēs.</w:t>
      </w:r>
    </w:p>
    <w:p w:rsidR="005E1D08" w:rsidRPr="005E1D08" w:rsidRDefault="005E1D08" w:rsidP="00091234">
      <w:pPr>
        <w:shd w:val="clear" w:color="auto" w:fill="FFFFFF"/>
        <w:spacing w:after="0"/>
        <w:ind w:firstLine="720"/>
        <w:rPr>
          <w:color w:val="000000"/>
          <w:szCs w:val="24"/>
        </w:rPr>
      </w:pPr>
      <w:r w:rsidRPr="005E1D08">
        <w:rPr>
          <w:color w:val="000000"/>
          <w:szCs w:val="24"/>
        </w:rPr>
        <w:t>Atbilstoši V</w:t>
      </w:r>
      <w:r w:rsidR="00A51EAB">
        <w:rPr>
          <w:color w:val="000000"/>
          <w:szCs w:val="24"/>
        </w:rPr>
        <w:t xml:space="preserve">M </w:t>
      </w:r>
      <w:r w:rsidRPr="005E1D08">
        <w:rPr>
          <w:color w:val="000000"/>
          <w:szCs w:val="24"/>
        </w:rPr>
        <w:t xml:space="preserve">analīzei, 2019.gadā no visiem rezidentūras absolventiem (210) darba vietas ārstniecības nozarē neuzrādīja tikai 4% (9 personas), salīdzinot ar 2018.gadu, kad darba </w:t>
      </w:r>
      <w:r w:rsidRPr="005E1D08">
        <w:rPr>
          <w:color w:val="000000"/>
          <w:szCs w:val="24"/>
        </w:rPr>
        <w:lastRenderedPageBreak/>
        <w:t>vietu neuzrādīja p</w:t>
      </w:r>
      <w:r w:rsidR="00091234">
        <w:rPr>
          <w:color w:val="000000"/>
          <w:szCs w:val="24"/>
        </w:rPr>
        <w:t xml:space="preserve">at 18% rezidentūras absolventu. </w:t>
      </w:r>
      <w:r w:rsidRPr="005E1D08">
        <w:rPr>
          <w:color w:val="000000"/>
          <w:szCs w:val="24"/>
        </w:rPr>
        <w:t>Situācijas uzlabošanās ir vērtējama īpaši pozitīvi, ņemot vērā, cik valsts ir samaksājusi par rezidentūras studijām (gadā viena rezidenta apmācības</w:t>
      </w:r>
      <w:r w:rsidR="00091234">
        <w:rPr>
          <w:color w:val="000000"/>
          <w:szCs w:val="24"/>
        </w:rPr>
        <w:t xml:space="preserve"> izmaksas ir aptuveni 24 tūkst. </w:t>
      </w:r>
      <w:proofErr w:type="spellStart"/>
      <w:r w:rsidRPr="005E1D08">
        <w:rPr>
          <w:i/>
          <w:iCs/>
          <w:color w:val="000000"/>
          <w:szCs w:val="24"/>
        </w:rPr>
        <w:t>euro</w:t>
      </w:r>
      <w:proofErr w:type="spellEnd"/>
      <w:r w:rsidRPr="005E1D08">
        <w:rPr>
          <w:color w:val="000000"/>
          <w:szCs w:val="24"/>
        </w:rPr>
        <w:t xml:space="preserve">). </w:t>
      </w:r>
    </w:p>
    <w:p w:rsidR="005E1D08" w:rsidRPr="005E1D08" w:rsidRDefault="005E1D08" w:rsidP="00091234">
      <w:pPr>
        <w:shd w:val="clear" w:color="auto" w:fill="FFFFFF"/>
        <w:spacing w:after="0"/>
        <w:ind w:firstLine="720"/>
        <w:rPr>
          <w:color w:val="000000"/>
          <w:szCs w:val="24"/>
        </w:rPr>
      </w:pPr>
      <w:r w:rsidRPr="005E1D08">
        <w:rPr>
          <w:color w:val="000000"/>
          <w:szCs w:val="24"/>
        </w:rPr>
        <w:t>Savukārt, medicīnas māsu st</w:t>
      </w:r>
      <w:r w:rsidR="00091234">
        <w:rPr>
          <w:color w:val="000000"/>
          <w:szCs w:val="24"/>
        </w:rPr>
        <w:t xml:space="preserve">atistika norāda, ka 2019.gadā </w:t>
      </w:r>
      <w:r w:rsidRPr="005E1D08">
        <w:rPr>
          <w:color w:val="000000"/>
          <w:szCs w:val="24"/>
        </w:rPr>
        <w:t>516 māsas absolvēja izglītības iestādi, no kurām tikai 202 reģistrējās Ārstniecības personu un ārstniecības atbalsta person</w:t>
      </w:r>
      <w:r w:rsidR="00091234">
        <w:rPr>
          <w:color w:val="000000"/>
          <w:szCs w:val="24"/>
        </w:rPr>
        <w:t xml:space="preserve">u reģistrā, bet no tām – tikai </w:t>
      </w:r>
      <w:r w:rsidRPr="005E1D08">
        <w:rPr>
          <w:color w:val="000000"/>
          <w:szCs w:val="24"/>
        </w:rPr>
        <w:t xml:space="preserve">126 uzsāka darbu </w:t>
      </w:r>
      <w:r w:rsidR="00091234">
        <w:rPr>
          <w:color w:val="000000"/>
          <w:szCs w:val="24"/>
        </w:rPr>
        <w:t xml:space="preserve">veselības aprūpes sistēmā (jeb </w:t>
      </w:r>
      <w:r w:rsidRPr="005E1D08">
        <w:rPr>
          <w:color w:val="000000"/>
          <w:szCs w:val="24"/>
        </w:rPr>
        <w:t>24% no visiem absolventiem). Laika periodā no 2010.gada līdz 2020.gada 1.septembrim ārstniecības personām un</w:t>
      </w:r>
      <w:r w:rsidR="00091234">
        <w:rPr>
          <w:color w:val="000000"/>
          <w:szCs w:val="24"/>
        </w:rPr>
        <w:t xml:space="preserve"> ārstniecības atbalsta personām</w:t>
      </w:r>
      <w:r w:rsidRPr="005E1D08">
        <w:rPr>
          <w:color w:val="000000"/>
          <w:szCs w:val="24"/>
        </w:rPr>
        <w:t xml:space="preserve"> izsniegtas 1</w:t>
      </w:r>
      <w:r w:rsidR="00091234" w:rsidRPr="00195D14">
        <w:rPr>
          <w:bCs/>
          <w:szCs w:val="24"/>
          <w:lang w:eastAsia="lv-LV"/>
        </w:rPr>
        <w:t> </w:t>
      </w:r>
      <w:r w:rsidRPr="005E1D08">
        <w:rPr>
          <w:color w:val="000000"/>
          <w:szCs w:val="24"/>
        </w:rPr>
        <w:t>261 profesionālās kvalifikācijas izziņas darbam ārvalstīs, no tām – 1</w:t>
      </w:r>
      <w:r w:rsidR="00091234" w:rsidRPr="00195D14">
        <w:rPr>
          <w:bCs/>
          <w:szCs w:val="24"/>
          <w:lang w:eastAsia="lv-LV"/>
        </w:rPr>
        <w:t> </w:t>
      </w:r>
      <w:r w:rsidRPr="005E1D08">
        <w:rPr>
          <w:color w:val="000000"/>
          <w:szCs w:val="24"/>
        </w:rPr>
        <w:t>011 māsām, 141 ārsta palīgiem.</w:t>
      </w:r>
    </w:p>
    <w:p w:rsidR="005E1D08" w:rsidRPr="005E1D08" w:rsidRDefault="00A51EAB" w:rsidP="00091234">
      <w:pPr>
        <w:shd w:val="clear" w:color="auto" w:fill="FFFFFF"/>
        <w:spacing w:after="0"/>
        <w:ind w:firstLine="720"/>
        <w:rPr>
          <w:color w:val="000000"/>
          <w:szCs w:val="24"/>
        </w:rPr>
      </w:pPr>
      <w:r>
        <w:rPr>
          <w:color w:val="000000"/>
          <w:szCs w:val="24"/>
        </w:rPr>
        <w:t>No aptaujātajiem 2018./2019.</w:t>
      </w:r>
      <w:r w:rsidR="005E1D08" w:rsidRPr="005E1D08">
        <w:rPr>
          <w:color w:val="000000"/>
          <w:szCs w:val="24"/>
        </w:rPr>
        <w:t xml:space="preserve">mācību gada 159 absolventiem (ārstiem) 25% ir norādījuši, ka plāno doties prom no Latvijas. Katru gadu latviešu izcelsmes ārstiem tiek izsniegtas izziņas kvalifikācijas atzīšanai ārvalstīs </w:t>
      </w:r>
      <w:r w:rsidR="0001288B">
        <w:rPr>
          <w:color w:val="000000"/>
          <w:szCs w:val="24"/>
        </w:rPr>
        <w:t>–</w:t>
      </w:r>
      <w:r w:rsidR="005E1D08" w:rsidRPr="005E1D08">
        <w:rPr>
          <w:color w:val="000000"/>
          <w:szCs w:val="24"/>
        </w:rPr>
        <w:t xml:space="preserve"> 2016.ga</w:t>
      </w:r>
      <w:r w:rsidR="00091234">
        <w:rPr>
          <w:color w:val="000000"/>
          <w:szCs w:val="24"/>
        </w:rPr>
        <w:t xml:space="preserve">dā – 102, 2017.gadā </w:t>
      </w:r>
      <w:r w:rsidR="0001288B">
        <w:rPr>
          <w:color w:val="000000"/>
          <w:szCs w:val="24"/>
        </w:rPr>
        <w:t>–</w:t>
      </w:r>
      <w:r w:rsidR="006A2240">
        <w:rPr>
          <w:color w:val="000000"/>
          <w:szCs w:val="24"/>
        </w:rPr>
        <w:t xml:space="preserve"> </w:t>
      </w:r>
      <w:r w:rsidR="00091234">
        <w:rPr>
          <w:color w:val="000000"/>
          <w:szCs w:val="24"/>
        </w:rPr>
        <w:t>85; 2018.</w:t>
      </w:r>
      <w:r w:rsidR="005E1D08" w:rsidRPr="005E1D08">
        <w:rPr>
          <w:color w:val="000000"/>
          <w:szCs w:val="24"/>
        </w:rPr>
        <w:t xml:space="preserve">gadā </w:t>
      </w:r>
      <w:r w:rsidR="0001288B">
        <w:rPr>
          <w:color w:val="000000"/>
          <w:szCs w:val="24"/>
        </w:rPr>
        <w:t>–</w:t>
      </w:r>
      <w:r w:rsidR="005E1D08" w:rsidRPr="005E1D08">
        <w:rPr>
          <w:color w:val="000000"/>
          <w:szCs w:val="24"/>
        </w:rPr>
        <w:t xml:space="preserve"> 75. </w:t>
      </w:r>
    </w:p>
    <w:p w:rsidR="005E1D08" w:rsidRPr="005E1D08" w:rsidRDefault="005E1D08" w:rsidP="00091234">
      <w:pPr>
        <w:shd w:val="clear" w:color="auto" w:fill="FFFFFF"/>
        <w:spacing w:after="0"/>
        <w:ind w:firstLine="720"/>
        <w:rPr>
          <w:color w:val="000000"/>
          <w:szCs w:val="24"/>
        </w:rPr>
      </w:pPr>
      <w:r w:rsidRPr="005E1D08">
        <w:rPr>
          <w:color w:val="000000"/>
          <w:szCs w:val="24"/>
        </w:rPr>
        <w:t xml:space="preserve">OECD dati norāda, ka slimnīcās, kur tiek nodrošināta neatliekamā medicīniskā palīdzība, sekundārā un terciārā līmeņa veselības aprūpe, nodarbināto ārstu skaits Latvijā ir mazāks kā OECD valstīs vidēji </w:t>
      </w:r>
      <w:r w:rsidR="0001288B">
        <w:rPr>
          <w:color w:val="000000"/>
          <w:szCs w:val="24"/>
        </w:rPr>
        <w:t>–</w:t>
      </w:r>
      <w:r w:rsidRPr="005E1D08">
        <w:rPr>
          <w:color w:val="000000"/>
          <w:szCs w:val="24"/>
        </w:rPr>
        <w:t xml:space="preserve"> Latvijā aptuveni 59%</w:t>
      </w:r>
      <w:bookmarkStart w:id="21" w:name="x_x__ftnref1"/>
      <w:bookmarkEnd w:id="21"/>
      <w:r w:rsidR="009E4BB9">
        <w:rPr>
          <w:rStyle w:val="FootnoteReference"/>
          <w:color w:val="000000"/>
          <w:szCs w:val="24"/>
        </w:rPr>
        <w:footnoteReference w:customMarkFollows="1" w:id="3"/>
        <w:t>2</w:t>
      </w:r>
      <w:r w:rsidRPr="005E1D08">
        <w:rPr>
          <w:color w:val="000000"/>
          <w:szCs w:val="24"/>
        </w:rPr>
        <w:t>, OECD valstīs vairāk nekā 75% (tikai 25% strādā ārpus slimnīcu sektora)</w:t>
      </w:r>
      <w:bookmarkStart w:id="22" w:name="x_x__ftnref2"/>
      <w:bookmarkEnd w:id="22"/>
      <w:r w:rsidR="009E4BB9">
        <w:rPr>
          <w:rStyle w:val="FootnoteReference"/>
          <w:color w:val="000000"/>
          <w:szCs w:val="24"/>
        </w:rPr>
        <w:footnoteReference w:customMarkFollows="1" w:id="4"/>
        <w:t>3</w:t>
      </w:r>
      <w:r w:rsidRPr="005E1D08">
        <w:rPr>
          <w:color w:val="000000"/>
          <w:szCs w:val="24"/>
        </w:rPr>
        <w:t>. Principā šie dati norāda uz to, ka pārāk maza proporcija ārstu strādā slimnīcās t.i. stacionārajā segmentā.</w:t>
      </w:r>
    </w:p>
    <w:p w:rsidR="005E1D08" w:rsidRPr="005E1D08" w:rsidRDefault="005E1D08" w:rsidP="00091234">
      <w:pPr>
        <w:spacing w:after="0"/>
        <w:ind w:firstLine="720"/>
        <w:rPr>
          <w:szCs w:val="24"/>
        </w:rPr>
      </w:pPr>
      <w:r w:rsidRPr="005E1D08">
        <w:rPr>
          <w:szCs w:val="24"/>
        </w:rPr>
        <w:t xml:space="preserve">Pēdējo gadu politikas izmaiņas veselības nozarē ir sekmējušas finansējuma pieaugumu gan slimnīcu aprīkojuma un infrastruktūras uzlabojumiem, gan arī ārstniecības personāla atalgojumam un turpmāki centieni finansējuma pieaugumam t.sk. atalgojumam </w:t>
      </w:r>
      <w:r w:rsidR="00A34690">
        <w:rPr>
          <w:szCs w:val="24"/>
        </w:rPr>
        <w:t>ir</w:t>
      </w:r>
      <w:r w:rsidR="00A34690" w:rsidRPr="005E1D08">
        <w:rPr>
          <w:szCs w:val="24"/>
        </w:rPr>
        <w:t xml:space="preserve"> </w:t>
      </w:r>
      <w:r w:rsidRPr="005E1D08">
        <w:rPr>
          <w:szCs w:val="24"/>
        </w:rPr>
        <w:t>viens no potenciālajiem risinājumiem, lai sekmētu gan medicīnas personāla ataudzes nodrošināšanu nozarē, gan arī pašlaik veselība</w:t>
      </w:r>
      <w:r w:rsidR="004444EA">
        <w:rPr>
          <w:szCs w:val="24"/>
        </w:rPr>
        <w:t>s nozarē strādājošo motivācijas</w:t>
      </w:r>
      <w:r w:rsidRPr="005E1D08">
        <w:rPr>
          <w:szCs w:val="24"/>
        </w:rPr>
        <w:t xml:space="preserve"> pieaugumu. </w:t>
      </w:r>
    </w:p>
    <w:p w:rsidR="005E1D08" w:rsidRPr="005E1D08" w:rsidRDefault="005E1D08" w:rsidP="00091234">
      <w:pPr>
        <w:spacing w:after="0"/>
        <w:ind w:firstLine="720"/>
        <w:rPr>
          <w:i/>
          <w:iCs/>
          <w:szCs w:val="24"/>
        </w:rPr>
      </w:pPr>
      <w:r w:rsidRPr="005E1D08">
        <w:rPr>
          <w:b/>
          <w:bCs/>
          <w:szCs w:val="24"/>
        </w:rPr>
        <w:t>Izglītība un zinātne.</w:t>
      </w:r>
      <w:r w:rsidRPr="005E1D08">
        <w:rPr>
          <w:i/>
          <w:iCs/>
          <w:szCs w:val="24"/>
        </w:rPr>
        <w:t xml:space="preserve"> </w:t>
      </w:r>
      <w:r w:rsidRPr="005E1D08">
        <w:rPr>
          <w:szCs w:val="24"/>
        </w:rPr>
        <w:t>Ņemot vērā ierobežojumus darbaspēka apjomā, kopējo faktoru produktivitātes paaugstināšana Latvijas apstākļos ir galvenais faktors potenciālā IKP izaugsmē. Latvijas iedzīvotāju zināšanas, prasmes un spēja būt inovatīviem un apstākļu izveide iespējai inovatīvās idejas īstenot dzīvē ir tie priekšnoteikumi, kas nepieciešami potenciālās IKP izaugsmei. Izglītībai un zinātnei šeit ir galvenā nozī</w:t>
      </w:r>
      <w:r w:rsidR="00091234">
        <w:rPr>
          <w:szCs w:val="24"/>
        </w:rPr>
        <w:t>me.</w:t>
      </w:r>
    </w:p>
    <w:p w:rsidR="005E1D08" w:rsidRDefault="005E1D08" w:rsidP="00091234">
      <w:pPr>
        <w:spacing w:after="0"/>
        <w:ind w:firstLine="720"/>
        <w:rPr>
          <w:szCs w:val="24"/>
        </w:rPr>
      </w:pPr>
      <w:r w:rsidRPr="005E1D08">
        <w:rPr>
          <w:szCs w:val="24"/>
        </w:rPr>
        <w:t xml:space="preserve">Atbilstoši </w:t>
      </w:r>
      <w:proofErr w:type="spellStart"/>
      <w:r w:rsidRPr="005E1D08">
        <w:rPr>
          <w:i/>
          <w:iCs/>
          <w:szCs w:val="24"/>
        </w:rPr>
        <w:t>Eurostat</w:t>
      </w:r>
      <w:proofErr w:type="spellEnd"/>
      <w:r w:rsidRPr="005E1D08">
        <w:rPr>
          <w:szCs w:val="24"/>
        </w:rPr>
        <w:t xml:space="preserve"> COFOG vispārējās valdības sektora izdevumu klasifikācijas datiem finansējums izglītības jomā</w:t>
      </w:r>
      <w:r w:rsidR="00091234">
        <w:rPr>
          <w:szCs w:val="24"/>
        </w:rPr>
        <w:t xml:space="preserve"> Latvijā (5,8% no IKP pēc 2018.</w:t>
      </w:r>
      <w:r w:rsidRPr="005E1D08">
        <w:rPr>
          <w:szCs w:val="24"/>
        </w:rPr>
        <w:t xml:space="preserve">gada datiem) ir piektais augstākais ES, pārsniedzot gan ES vidējo rādītāju (4,6% no IKP), gan arī apsteidzot Lietuvu (4,6% no IKP), bet vienlaikus atpaliekot no Igaunijas (6,2% no IKP). Tas norāda uz to, ka finansējums izglītībai Latvijā ir adekvātā līmenī, bet ir jārisina jautājumi saistībā ar skolu tīkla optimizāciju un skolēnu skaita uz vienu pedagogu attiecības palielināšanu. Jāatzīmē, ka būtiska skolēnu skaita uz vienu pedagogu palielināšana, kā arī nozīmīga progresa sasniegšana skolu tīkla reorganizācijā nav iespējama īsā laika periodā, neapdraudot izglītības kvalitāti. Tādējādi viens no risinājumiem ir ieguldīt izglītības sistēmā papildu līdzekļus, lai celtu pedagogu atalgojumu, kas arī ir bijis viens no MK lēmumiem šī </w:t>
      </w:r>
      <w:r w:rsidR="00993BB8" w:rsidRPr="00993BB8">
        <w:rPr>
          <w:rFonts w:eastAsia="Calibri"/>
          <w:color w:val="000000"/>
          <w:szCs w:val="24"/>
        </w:rPr>
        <w:t>Ietvara likuma</w:t>
      </w:r>
      <w:r w:rsidRPr="005E1D08">
        <w:rPr>
          <w:szCs w:val="24"/>
        </w:rPr>
        <w:t xml:space="preserve"> izstrādē. Atbilstoši, 2021.gadā MK ir piešķīris papildu finansējumu 40,6 milj. </w:t>
      </w:r>
      <w:proofErr w:type="spellStart"/>
      <w:r w:rsidRPr="005E1D08">
        <w:rPr>
          <w:i/>
          <w:iCs/>
          <w:szCs w:val="24"/>
        </w:rPr>
        <w:t>euro</w:t>
      </w:r>
      <w:proofErr w:type="spellEnd"/>
      <w:r w:rsidRPr="005E1D08">
        <w:rPr>
          <w:szCs w:val="24"/>
        </w:rPr>
        <w:t xml:space="preserve"> gan pedagogu darba samaksas pieauguma grafika īstenošanai pirmsskolas izglītībā, vispārējā izglītībā, profesionālajā izglītībā, profesionālajā ievirzē un interešu izglītībā, gan arī akadēmiskā personāla minimālo atlīdzības likmju paaugstināšanai. Savu</w:t>
      </w:r>
      <w:r w:rsidR="009E4BB9">
        <w:rPr>
          <w:szCs w:val="24"/>
        </w:rPr>
        <w:t>kārt, gan 2022.</w:t>
      </w:r>
      <w:r w:rsidR="00091234">
        <w:rPr>
          <w:szCs w:val="24"/>
        </w:rPr>
        <w:t>gadā, gan 2023.</w:t>
      </w:r>
      <w:r w:rsidRPr="005E1D08">
        <w:rPr>
          <w:szCs w:val="24"/>
        </w:rPr>
        <w:t xml:space="preserve">gadā šim mērķim ir atvēlēti 56,3 milj. </w:t>
      </w:r>
      <w:proofErr w:type="spellStart"/>
      <w:r w:rsidRPr="005E1D08">
        <w:rPr>
          <w:i/>
          <w:iCs/>
          <w:szCs w:val="24"/>
        </w:rPr>
        <w:t>euro</w:t>
      </w:r>
      <w:proofErr w:type="spellEnd"/>
      <w:r w:rsidRPr="005E1D08">
        <w:rPr>
          <w:szCs w:val="24"/>
        </w:rPr>
        <w:t>.</w:t>
      </w:r>
    </w:p>
    <w:p w:rsidR="006E12AD" w:rsidRPr="005E1D08" w:rsidRDefault="006E12AD" w:rsidP="00091234">
      <w:pPr>
        <w:spacing w:after="0"/>
        <w:ind w:firstLine="720"/>
        <w:rPr>
          <w:szCs w:val="24"/>
        </w:rPr>
      </w:pPr>
    </w:p>
    <w:p w:rsidR="001819B8" w:rsidRDefault="001819B8">
      <w:pPr>
        <w:spacing w:after="0"/>
        <w:ind w:firstLine="0"/>
        <w:jc w:val="left"/>
        <w:rPr>
          <w:b/>
          <w:bCs/>
          <w:szCs w:val="24"/>
        </w:rPr>
      </w:pPr>
      <w:r>
        <w:rPr>
          <w:b/>
          <w:bCs/>
          <w:szCs w:val="24"/>
        </w:rPr>
        <w:br w:type="page"/>
      </w:r>
    </w:p>
    <w:p w:rsidR="005E1D08" w:rsidRPr="005E1D08" w:rsidRDefault="005E1D08" w:rsidP="005E1D08">
      <w:pPr>
        <w:ind w:firstLine="0"/>
        <w:jc w:val="left"/>
        <w:rPr>
          <w:b/>
          <w:bCs/>
          <w:szCs w:val="24"/>
        </w:rPr>
      </w:pPr>
      <w:r w:rsidRPr="005E1D08">
        <w:rPr>
          <w:b/>
          <w:bCs/>
          <w:szCs w:val="24"/>
        </w:rPr>
        <w:lastRenderedPageBreak/>
        <w:t>Uzņēmumu konkurētspējas veicināšana</w:t>
      </w:r>
    </w:p>
    <w:p w:rsidR="005E1D08" w:rsidRPr="005E1D08" w:rsidRDefault="005E1D08" w:rsidP="004444EA">
      <w:pPr>
        <w:spacing w:after="0"/>
        <w:ind w:firstLine="720"/>
        <w:rPr>
          <w:szCs w:val="24"/>
        </w:rPr>
      </w:pPr>
      <w:r w:rsidRPr="005E1D08">
        <w:rPr>
          <w:szCs w:val="24"/>
        </w:rPr>
        <w:t xml:space="preserve">Lai Latvijas uzņēmumi varētu veikt ieguldījumus </w:t>
      </w:r>
      <w:proofErr w:type="spellStart"/>
      <w:r w:rsidRPr="005E1D08">
        <w:rPr>
          <w:szCs w:val="24"/>
        </w:rPr>
        <w:t>cilvēkkapitālā</w:t>
      </w:r>
      <w:proofErr w:type="spellEnd"/>
      <w:r w:rsidRPr="005E1D08">
        <w:rPr>
          <w:szCs w:val="24"/>
        </w:rPr>
        <w:t>, nodrošinot darbinieku izglītošanu un atalgojuma palielināšanu kā arī ieguldījumus ražojošajā kapitālā, tiem nepieciešams nodrošināt pietiekamu pelņas līmeni, kuru ietekmē gan valstī pastāvošā nodokļu politika, gan konkurences apstākļi nacionālā un reģionālā līmenī. Attiecībā uz reģionālo konkurētspēju, nozīmīgs rādītājs, kas nosaka Latvijas uzņēmēju konkurences pozīciju attiecībā pret Baltijas valstīm un pārējām ES dalībvalstīm ir darbaspēka izmaksas, kurās būtisku īpatsvaru sastāda darbaspēka nodokļi. Darbaspēka izmaksas labi raksturo darbaspēka nodokļu slogs jeb nodokļu ķīlis, kas parāda cik daudz darbinieks izmaksā darba devējam. To aprēķina kā par darbinieku samaksātās nodokļu summas attiecību pret darba devēja darbaspēka izmaksām. Atbilstoši EK nodokļu un p</w:t>
      </w:r>
      <w:r w:rsidR="004444EA">
        <w:rPr>
          <w:szCs w:val="24"/>
        </w:rPr>
        <w:t>abalstu datubāzes datiem, 2019.</w:t>
      </w:r>
      <w:r w:rsidRPr="005E1D08">
        <w:rPr>
          <w:szCs w:val="24"/>
        </w:rPr>
        <w:t>gadā Latvijā nodokļu ķīlis, izmantojot rādītāju par strādājošo bez apgādībā esošajām personām, kurš saņem vidējo algu valstī, bija 42,6%, kas pārsniedz gan ES vidējo rādītāju (40,2), gan arī Lietuvu un Igauniju (abās 37,2).</w:t>
      </w:r>
    </w:p>
    <w:p w:rsidR="005E1D08" w:rsidRPr="005E1D08" w:rsidRDefault="005E1D08" w:rsidP="004444EA">
      <w:pPr>
        <w:spacing w:after="0"/>
        <w:ind w:firstLine="720"/>
        <w:rPr>
          <w:szCs w:val="24"/>
        </w:rPr>
      </w:pPr>
      <w:r w:rsidRPr="005E1D08">
        <w:rPr>
          <w:szCs w:val="24"/>
        </w:rPr>
        <w:t>Vienlaikus, līdztekus Latvijas uzņēmēju starptautiskās konkurētspējas sekmēšanai, nozīmīgs faktors, kas nosaka godīgu konkurenci Latvijas iekšējā tirgū, ir nodokļu politikas nosacījumi attiecībā uz darbaspēka izmaksām dažādos nodokļu režīmos strādājošajiem. Viens no šādiem režīmiem ir MUN</w:t>
      </w:r>
      <w:r w:rsidR="00B3173D" w:rsidRPr="00B3173D">
        <w:rPr>
          <w:szCs w:val="24"/>
        </w:rPr>
        <w:t xml:space="preserve"> </w:t>
      </w:r>
      <w:r w:rsidR="00B3173D" w:rsidRPr="005E1D08">
        <w:rPr>
          <w:szCs w:val="24"/>
        </w:rPr>
        <w:t>režīms</w:t>
      </w:r>
      <w:r w:rsidRPr="005E1D08">
        <w:rPr>
          <w:szCs w:val="24"/>
        </w:rPr>
        <w:t xml:space="preserve">, kuram, lai gan ir tendence samazināties, tomēr informācija par 2019.gada 4.ceturksni liecina, ka MUN joprojām ir nodarbināti 8% no visiem tautsaimniecībā </w:t>
      </w:r>
      <w:r w:rsidR="004444EA">
        <w:rPr>
          <w:szCs w:val="24"/>
        </w:rPr>
        <w:t>nodarbinātajiem. Saskaņā ar VID</w:t>
      </w:r>
      <w:r w:rsidRPr="005E1D08">
        <w:rPr>
          <w:szCs w:val="24"/>
        </w:rPr>
        <w:t xml:space="preserve"> informāciju MUN maksātājiem VSAOI slogs ir gandrīz trīs reizes mazāks nekā vispārējā nodokļu maksāšanas režīma darba devējiem (pamatojoties uz MK 2020.gada 23.aprīļa sēdē izskatīto informatīvo ziņojumu “Pa</w:t>
      </w:r>
      <w:r w:rsidR="00B3173D">
        <w:rPr>
          <w:szCs w:val="24"/>
        </w:rPr>
        <w:t xml:space="preserve">r dīkstāves pabalstiem </w:t>
      </w:r>
      <w:r w:rsidR="006E12AD">
        <w:rPr>
          <w:szCs w:val="24"/>
        </w:rPr>
        <w:t>Covid</w:t>
      </w:r>
      <w:r w:rsidR="00B3173D">
        <w:rPr>
          <w:szCs w:val="24"/>
        </w:rPr>
        <w:t>-19</w:t>
      </w:r>
      <w:r w:rsidRPr="005E1D08">
        <w:rPr>
          <w:szCs w:val="24"/>
        </w:rPr>
        <w:t xml:space="preserve"> krīzes skartajiem uzņēmumiem”), tādējādi nostādot MUN režīma darba devējus krietni izdevīgākā konkurences pozīcijā. </w:t>
      </w:r>
    </w:p>
    <w:p w:rsidR="005E1D08" w:rsidRPr="005E1D08" w:rsidRDefault="005E1D08" w:rsidP="004444EA">
      <w:pPr>
        <w:spacing w:after="0"/>
        <w:ind w:firstLine="720"/>
        <w:rPr>
          <w:szCs w:val="24"/>
        </w:rPr>
      </w:pPr>
      <w:r w:rsidRPr="005E1D08">
        <w:rPr>
          <w:szCs w:val="24"/>
        </w:rPr>
        <w:t>Ņemot vērā iepriekš minēto</w:t>
      </w:r>
      <w:r w:rsidR="00993BB8">
        <w:rPr>
          <w:szCs w:val="24"/>
        </w:rPr>
        <w:t>,</w:t>
      </w:r>
      <w:r w:rsidRPr="005E1D08">
        <w:rPr>
          <w:szCs w:val="24"/>
        </w:rPr>
        <w:t xml:space="preserve"> aktuālajā </w:t>
      </w:r>
      <w:r w:rsidR="00993BB8" w:rsidRPr="00993BB8">
        <w:rPr>
          <w:rFonts w:eastAsia="Calibri"/>
          <w:color w:val="000000"/>
          <w:szCs w:val="24"/>
        </w:rPr>
        <w:t>Ietvara likuma</w:t>
      </w:r>
      <w:r w:rsidRPr="005E1D08">
        <w:rPr>
          <w:szCs w:val="24"/>
        </w:rPr>
        <w:t xml:space="preserve"> sagatavošanas ciklā</w:t>
      </w:r>
      <w:r w:rsidR="00993BB8">
        <w:rPr>
          <w:szCs w:val="24"/>
        </w:rPr>
        <w:t>,</w:t>
      </w:r>
      <w:r w:rsidRPr="005E1D08">
        <w:rPr>
          <w:szCs w:val="24"/>
        </w:rPr>
        <w:t xml:space="preserve"> MK ir lēmis risināt augstākminēto problemātiku gan samazinot VSAOI likmi par vienu procentpunktu, tai skaitā darba devēja likme par 0,5% un darba ņēmēja likme par 0,5%, gan arī reorganizējot MUN režīmu, lai MUN netiktu izmantots kā nodokļu modelis ar būtiski zemāku darbaspēka nodokļu slogu, tādējādi kropļojot konkurenci.</w:t>
      </w:r>
    </w:p>
    <w:p w:rsidR="005E1D08" w:rsidRPr="005E1D08" w:rsidRDefault="005E1D08" w:rsidP="005E1D08">
      <w:pPr>
        <w:rPr>
          <w:szCs w:val="24"/>
        </w:rPr>
      </w:pPr>
    </w:p>
    <w:p w:rsidR="005E1D08" w:rsidRPr="005E1D08" w:rsidRDefault="005E1D08" w:rsidP="005E1D08">
      <w:pPr>
        <w:ind w:firstLine="0"/>
        <w:jc w:val="left"/>
        <w:rPr>
          <w:b/>
          <w:bCs/>
          <w:szCs w:val="24"/>
        </w:rPr>
      </w:pPr>
      <w:r w:rsidRPr="005E1D08">
        <w:rPr>
          <w:b/>
          <w:bCs/>
          <w:szCs w:val="24"/>
        </w:rPr>
        <w:t>Adekvātu valsts sociālās apdrošināšanas pakalpojumu nodrošināšana</w:t>
      </w:r>
    </w:p>
    <w:p w:rsidR="005E1D08" w:rsidRPr="005E1D08" w:rsidRDefault="005E1D08" w:rsidP="004444EA">
      <w:pPr>
        <w:spacing w:after="0"/>
        <w:ind w:firstLine="720"/>
        <w:rPr>
          <w:szCs w:val="24"/>
        </w:rPr>
      </w:pPr>
      <w:r w:rsidRPr="005E1D08">
        <w:rPr>
          <w:szCs w:val="24"/>
        </w:rPr>
        <w:t>Adekvātu valsts sociālās apdrošināšanas pakalpojumu nodrošināšana, nosakot atbilstošu obligāto iemaksu objektu vispārējā nodokļu režīmā un alternatīvajos nodokļu režīmos nodarbinātajiem. Viens no sociālās labklājības rādītājiem valstī ir ne tikai darba algas vidējais apmērs, bet arī valsts spēja nodrošināt iedzīvotāju sociālo drošību un labklājību tiem gan īslaicīgi atstājot darba tirgu, gan aizejot pensijā, gan arī situācijās, kad tautsaimniecībā iestājas nozīmīgi ekonomiski satricinājumi.</w:t>
      </w:r>
    </w:p>
    <w:p w:rsidR="00E02718" w:rsidRPr="009526FC" w:rsidRDefault="005E1D08" w:rsidP="00E02718">
      <w:pPr>
        <w:ind w:firstLine="709"/>
        <w:rPr>
          <w:bCs/>
          <w:color w:val="000000" w:themeColor="text1"/>
          <w:szCs w:val="26"/>
          <w:shd w:val="clear" w:color="auto" w:fill="FFFFFF"/>
        </w:rPr>
      </w:pPr>
      <w:r w:rsidRPr="005E1D08">
        <w:rPr>
          <w:szCs w:val="24"/>
        </w:rPr>
        <w:t xml:space="preserve">Atbilstoši </w:t>
      </w:r>
      <w:proofErr w:type="spellStart"/>
      <w:r w:rsidRPr="005E1D08">
        <w:rPr>
          <w:i/>
          <w:iCs/>
          <w:szCs w:val="24"/>
        </w:rPr>
        <w:t>Euro</w:t>
      </w:r>
      <w:r w:rsidR="00940365">
        <w:rPr>
          <w:szCs w:val="24"/>
        </w:rPr>
        <w:t>stat</w:t>
      </w:r>
      <w:proofErr w:type="spellEnd"/>
      <w:r w:rsidR="00940365">
        <w:rPr>
          <w:szCs w:val="24"/>
        </w:rPr>
        <w:t xml:space="preserve"> datiem 2018.</w:t>
      </w:r>
      <w:r w:rsidRPr="005E1D08">
        <w:rPr>
          <w:szCs w:val="24"/>
        </w:rPr>
        <w:t xml:space="preserve">gadā kopējais ienākumu atvietošanas līmenis Latvijā personai aizejot pensijā bija trešais zemākais ES, sasniedzot vien 40% rādītāju. </w:t>
      </w:r>
      <w:r w:rsidR="00E02718">
        <w:rPr>
          <w:bCs/>
          <w:color w:val="000000" w:themeColor="text1"/>
          <w:szCs w:val="26"/>
          <w:shd w:val="clear" w:color="auto" w:fill="FFFFFF"/>
        </w:rPr>
        <w:t>S</w:t>
      </w:r>
      <w:r w:rsidR="00E02718" w:rsidRPr="009526FC">
        <w:rPr>
          <w:bCs/>
          <w:color w:val="000000" w:themeColor="text1"/>
          <w:szCs w:val="26"/>
          <w:shd w:val="clear" w:color="auto" w:fill="FFFFFF"/>
        </w:rPr>
        <w:t>askaņā ar Valsts sociālās apdrošināšanas aģe</w:t>
      </w:r>
      <w:r w:rsidR="00E02718">
        <w:rPr>
          <w:bCs/>
          <w:color w:val="000000" w:themeColor="text1"/>
          <w:szCs w:val="26"/>
          <w:shd w:val="clear" w:color="auto" w:fill="FFFFFF"/>
        </w:rPr>
        <w:t>ntūras datiem 2019.gadā ap 111</w:t>
      </w:r>
      <w:r w:rsidR="00E02718" w:rsidRPr="009526FC">
        <w:rPr>
          <w:bCs/>
          <w:color w:val="000000" w:themeColor="text1"/>
          <w:szCs w:val="26"/>
          <w:shd w:val="clear" w:color="auto" w:fill="FFFFFF"/>
        </w:rPr>
        <w:t> </w:t>
      </w:r>
      <w:r w:rsidR="00E02718" w:rsidRPr="009526FC">
        <w:rPr>
          <w:bCs/>
          <w:i/>
          <w:color w:val="000000" w:themeColor="text1"/>
          <w:szCs w:val="26"/>
          <w:shd w:val="clear" w:color="auto" w:fill="FFFFFF"/>
        </w:rPr>
        <w:t>tūkst</w:t>
      </w:r>
      <w:r w:rsidR="00E02718">
        <w:rPr>
          <w:bCs/>
          <w:i/>
          <w:color w:val="000000" w:themeColor="text1"/>
          <w:szCs w:val="26"/>
          <w:shd w:val="clear" w:color="auto" w:fill="FFFFFF"/>
        </w:rPr>
        <w:t>.</w:t>
      </w:r>
      <w:r w:rsidR="00E02718" w:rsidRPr="009526FC">
        <w:rPr>
          <w:bCs/>
          <w:color w:val="000000" w:themeColor="text1"/>
          <w:szCs w:val="26"/>
          <w:shd w:val="clear" w:color="auto" w:fill="FFFFFF"/>
        </w:rPr>
        <w:t xml:space="preserve"> no sociāli apdrošinātām personām darba ņēmēju un </w:t>
      </w:r>
      <w:proofErr w:type="spellStart"/>
      <w:r w:rsidR="00E02718" w:rsidRPr="009526FC">
        <w:rPr>
          <w:bCs/>
          <w:color w:val="000000" w:themeColor="text1"/>
          <w:szCs w:val="26"/>
          <w:shd w:val="clear" w:color="auto" w:fill="FFFFFF"/>
        </w:rPr>
        <w:t>pašnodarbināto</w:t>
      </w:r>
      <w:proofErr w:type="spellEnd"/>
      <w:r w:rsidR="00E02718" w:rsidRPr="009526FC">
        <w:rPr>
          <w:bCs/>
          <w:color w:val="000000" w:themeColor="text1"/>
          <w:szCs w:val="26"/>
          <w:shd w:val="clear" w:color="auto" w:fill="FFFFFF"/>
        </w:rPr>
        <w:t xml:space="preserve"> personu</w:t>
      </w:r>
      <w:r w:rsidR="00E02718">
        <w:rPr>
          <w:rStyle w:val="FootnoteReference"/>
          <w:bCs/>
          <w:color w:val="000000" w:themeColor="text1"/>
          <w:szCs w:val="26"/>
          <w:shd w:val="clear" w:color="auto" w:fill="FFFFFF"/>
        </w:rPr>
        <w:footnoteReference w:customMarkFollows="1" w:id="5"/>
        <w:t>4</w:t>
      </w:r>
      <w:r w:rsidR="00E02718" w:rsidRPr="009526FC">
        <w:rPr>
          <w:bCs/>
          <w:color w:val="000000" w:themeColor="text1"/>
          <w:szCs w:val="26"/>
          <w:shd w:val="clear" w:color="auto" w:fill="FFFFFF"/>
        </w:rPr>
        <w:t xml:space="preserve">, ienākumi jeb VSAOI objekts bija </w:t>
      </w:r>
      <w:r w:rsidR="00E02718">
        <w:rPr>
          <w:bCs/>
          <w:color w:val="000000" w:themeColor="text1"/>
          <w:szCs w:val="26"/>
          <w:shd w:val="clear" w:color="auto" w:fill="FFFFFF"/>
        </w:rPr>
        <w:t>līdz 430</w:t>
      </w:r>
      <w:r w:rsidR="00E02718" w:rsidRPr="009526FC">
        <w:rPr>
          <w:bCs/>
          <w:color w:val="000000" w:themeColor="text1"/>
          <w:szCs w:val="26"/>
          <w:shd w:val="clear" w:color="auto" w:fill="FFFFFF"/>
        </w:rPr>
        <w:t> </w:t>
      </w:r>
      <w:proofErr w:type="spellStart"/>
      <w:r w:rsidR="00E02718" w:rsidRPr="009526FC">
        <w:rPr>
          <w:bCs/>
          <w:i/>
          <w:color w:val="000000" w:themeColor="text1"/>
          <w:szCs w:val="26"/>
          <w:shd w:val="clear" w:color="auto" w:fill="FFFFFF"/>
        </w:rPr>
        <w:t>euro</w:t>
      </w:r>
      <w:proofErr w:type="spellEnd"/>
      <w:r w:rsidR="00E02718">
        <w:rPr>
          <w:bCs/>
          <w:color w:val="000000" w:themeColor="text1"/>
          <w:szCs w:val="26"/>
          <w:shd w:val="clear" w:color="auto" w:fill="FFFFFF"/>
        </w:rPr>
        <w:t xml:space="preserve"> mēnesī;</w:t>
      </w:r>
      <w:r w:rsidR="00E02718" w:rsidRPr="009526FC">
        <w:rPr>
          <w:bCs/>
          <w:color w:val="000000" w:themeColor="text1"/>
          <w:szCs w:val="26"/>
          <w:shd w:val="clear" w:color="auto" w:fill="FFFFFF"/>
        </w:rPr>
        <w:t xml:space="preserve"> </w:t>
      </w:r>
      <w:r w:rsidR="00E02718">
        <w:rPr>
          <w:bCs/>
          <w:color w:val="000000" w:themeColor="text1"/>
          <w:szCs w:val="26"/>
          <w:shd w:val="clear" w:color="auto" w:fill="FFFFFF"/>
        </w:rPr>
        <w:t>š</w:t>
      </w:r>
      <w:r w:rsidR="00E02718" w:rsidRPr="009526FC">
        <w:rPr>
          <w:bCs/>
          <w:color w:val="000000" w:themeColor="text1"/>
          <w:szCs w:val="26"/>
          <w:shd w:val="clear" w:color="auto" w:fill="FFFFFF"/>
        </w:rPr>
        <w:t>o personu vidējais veicamo iemaksu objekt</w:t>
      </w:r>
      <w:r w:rsidR="00E02718">
        <w:rPr>
          <w:bCs/>
          <w:color w:val="000000" w:themeColor="text1"/>
          <w:szCs w:val="26"/>
          <w:shd w:val="clear" w:color="auto" w:fill="FFFFFF"/>
        </w:rPr>
        <w:t xml:space="preserve">s jeb gūtie </w:t>
      </w:r>
      <w:r w:rsidR="00E02718">
        <w:rPr>
          <w:bCs/>
          <w:color w:val="000000" w:themeColor="text1"/>
          <w:szCs w:val="26"/>
          <w:shd w:val="clear" w:color="auto" w:fill="FFFFFF"/>
        </w:rPr>
        <w:lastRenderedPageBreak/>
        <w:t>ienākumi bija 219</w:t>
      </w:r>
      <w:r w:rsidR="00E02718" w:rsidRPr="009526FC">
        <w:rPr>
          <w:bCs/>
          <w:color w:val="000000" w:themeColor="text1"/>
          <w:szCs w:val="26"/>
          <w:shd w:val="clear" w:color="auto" w:fill="FFFFFF"/>
        </w:rPr>
        <w:t> </w:t>
      </w:r>
      <w:proofErr w:type="spellStart"/>
      <w:r w:rsidR="00E02718" w:rsidRPr="009526FC">
        <w:rPr>
          <w:bCs/>
          <w:i/>
          <w:color w:val="000000" w:themeColor="text1"/>
          <w:szCs w:val="26"/>
          <w:shd w:val="clear" w:color="auto" w:fill="FFFFFF"/>
        </w:rPr>
        <w:t>euro</w:t>
      </w:r>
      <w:proofErr w:type="spellEnd"/>
      <w:r w:rsidR="00E02718" w:rsidRPr="009526FC">
        <w:rPr>
          <w:bCs/>
          <w:color w:val="000000" w:themeColor="text1"/>
          <w:szCs w:val="26"/>
          <w:shd w:val="clear" w:color="auto" w:fill="FFFFFF"/>
        </w:rPr>
        <w:t xml:space="preserve"> mēnesī (salīdzinājumam vispārējā režīmā vidējie ienākumi vienam darba ņēmējam 2019.gadā bija 796 </w:t>
      </w:r>
      <w:proofErr w:type="spellStart"/>
      <w:r w:rsidR="00E02718" w:rsidRPr="009526FC">
        <w:rPr>
          <w:bCs/>
          <w:i/>
          <w:color w:val="000000" w:themeColor="text1"/>
          <w:szCs w:val="26"/>
          <w:shd w:val="clear" w:color="auto" w:fill="FFFFFF"/>
        </w:rPr>
        <w:t>euro</w:t>
      </w:r>
      <w:proofErr w:type="spellEnd"/>
      <w:r w:rsidR="00E02718" w:rsidRPr="009526FC">
        <w:rPr>
          <w:bCs/>
          <w:color w:val="000000" w:themeColor="text1"/>
          <w:szCs w:val="26"/>
          <w:shd w:val="clear" w:color="auto" w:fill="FFFFFF"/>
        </w:rPr>
        <w:t xml:space="preserve"> mēnesī). </w:t>
      </w:r>
    </w:p>
    <w:p w:rsidR="005E1D08" w:rsidRPr="005E1D08" w:rsidRDefault="005E1D08" w:rsidP="004444EA">
      <w:pPr>
        <w:spacing w:after="0"/>
        <w:ind w:firstLine="720"/>
        <w:rPr>
          <w:szCs w:val="24"/>
        </w:rPr>
      </w:pPr>
    </w:p>
    <w:p w:rsidR="005E1D08" w:rsidRPr="005E1D08" w:rsidRDefault="005E1D08" w:rsidP="009F74A8">
      <w:pPr>
        <w:spacing w:after="0"/>
        <w:ind w:firstLine="720"/>
        <w:rPr>
          <w:szCs w:val="24"/>
        </w:rPr>
      </w:pPr>
      <w:r w:rsidRPr="005E1D08">
        <w:rPr>
          <w:szCs w:val="24"/>
        </w:rPr>
        <w:t xml:space="preserve">Šie dati norāda uz to, ka būtiskas iedzīvotāju daļas sociālās labklājības līmenis nākotnē pensionējoties vai iestājoties sociālās apdrošināšanas gadījumiem, būs būtiski apdraudēts. </w:t>
      </w:r>
    </w:p>
    <w:p w:rsidR="005E1D08" w:rsidRPr="005E1D08" w:rsidRDefault="005E1D08" w:rsidP="009F74A8">
      <w:pPr>
        <w:spacing w:after="0"/>
        <w:ind w:firstLine="720"/>
        <w:rPr>
          <w:szCs w:val="24"/>
        </w:rPr>
      </w:pPr>
      <w:r w:rsidRPr="005E1D08">
        <w:rPr>
          <w:szCs w:val="24"/>
        </w:rPr>
        <w:t xml:space="preserve">Arī Covid-19 krīze ir parādījusi, ka nepietiekošā apjomā veikto VSAOI iemaksu dēļ strādājošo saņemtais valsts sociālo pabalstu apmērs ir mazs. Uz to norāda statistikas dati par valdības sniegto atbalsta mehānismu uzņēmumiem un </w:t>
      </w:r>
      <w:proofErr w:type="spellStart"/>
      <w:r w:rsidRPr="005E1D08">
        <w:rPr>
          <w:szCs w:val="24"/>
        </w:rPr>
        <w:t>pašnodarbinātajiem</w:t>
      </w:r>
      <w:proofErr w:type="spellEnd"/>
      <w:r w:rsidRPr="005E1D08">
        <w:rPr>
          <w:szCs w:val="24"/>
        </w:rPr>
        <w:t xml:space="preserve">, kuri ir nonākuši dīkstāvē. Maksimālais dīkstāves pabalsta apmērs </w:t>
      </w:r>
      <w:r w:rsidR="009F74A8">
        <w:rPr>
          <w:szCs w:val="24"/>
        </w:rPr>
        <w:t>mēnesī personai ir noteikts 700</w:t>
      </w:r>
      <w:r w:rsidR="009F74A8" w:rsidRPr="005E1D08">
        <w:rPr>
          <w:szCs w:val="24"/>
        </w:rPr>
        <w:t> </w:t>
      </w:r>
      <w:proofErr w:type="spellStart"/>
      <w:r w:rsidRPr="005E1D08">
        <w:rPr>
          <w:i/>
          <w:iCs/>
          <w:szCs w:val="24"/>
        </w:rPr>
        <w:t>euro</w:t>
      </w:r>
      <w:proofErr w:type="spellEnd"/>
      <w:r w:rsidRPr="005E1D08">
        <w:rPr>
          <w:szCs w:val="24"/>
        </w:rPr>
        <w:t xml:space="preserve"> (75% no iepriekšējo sešu mēnešu vidējās atlīdzības apmēra). Savukārt līdz 2020.gada 10.jūlijam ir piešķirts atbalsts Covid-19 infekcijas laikā, izmaksājot: </w:t>
      </w:r>
    </w:p>
    <w:p w:rsidR="005E1D08" w:rsidRPr="005E1D08" w:rsidRDefault="005E1D08" w:rsidP="005E1D08">
      <w:pPr>
        <w:pStyle w:val="ListParagraph"/>
        <w:numPr>
          <w:ilvl w:val="0"/>
          <w:numId w:val="22"/>
        </w:numPr>
        <w:spacing w:after="0" w:line="240" w:lineRule="auto"/>
        <w:jc w:val="both"/>
        <w:rPr>
          <w:rFonts w:ascii="Times New Roman" w:hAnsi="Times New Roman"/>
          <w:sz w:val="24"/>
          <w:szCs w:val="24"/>
        </w:rPr>
      </w:pPr>
      <w:r w:rsidRPr="005E1D08">
        <w:rPr>
          <w:rFonts w:ascii="Times New Roman" w:hAnsi="Times New Roman"/>
          <w:sz w:val="24"/>
          <w:szCs w:val="24"/>
        </w:rPr>
        <w:t>127</w:t>
      </w:r>
      <w:r w:rsidR="009F74A8" w:rsidRPr="005E1D08">
        <w:rPr>
          <w:rFonts w:ascii="Times New Roman" w:hAnsi="Times New Roman"/>
          <w:sz w:val="24"/>
          <w:szCs w:val="24"/>
        </w:rPr>
        <w:t> </w:t>
      </w:r>
      <w:r w:rsidR="009F74A8">
        <w:rPr>
          <w:rFonts w:ascii="Times New Roman" w:hAnsi="Times New Roman"/>
          <w:sz w:val="24"/>
          <w:szCs w:val="24"/>
        </w:rPr>
        <w:t>925 dīkstāves pabalstus pēc 18</w:t>
      </w:r>
      <w:r w:rsidR="009F74A8" w:rsidRPr="005E1D08">
        <w:rPr>
          <w:rFonts w:ascii="Times New Roman" w:hAnsi="Times New Roman"/>
          <w:sz w:val="24"/>
          <w:szCs w:val="24"/>
        </w:rPr>
        <w:t> </w:t>
      </w:r>
      <w:r w:rsidRPr="005E1D08">
        <w:rPr>
          <w:rFonts w:ascii="Times New Roman" w:hAnsi="Times New Roman"/>
          <w:sz w:val="24"/>
          <w:szCs w:val="24"/>
        </w:rPr>
        <w:t xml:space="preserve">435 uzņēmumu iesniegumiem ar vidējo dīkstāves pabalstu </w:t>
      </w:r>
      <w:r w:rsidRPr="00F84A72">
        <w:rPr>
          <w:rFonts w:ascii="Times New Roman" w:hAnsi="Times New Roman"/>
          <w:bCs/>
          <w:sz w:val="24"/>
          <w:szCs w:val="24"/>
        </w:rPr>
        <w:t xml:space="preserve">404 </w:t>
      </w:r>
      <w:proofErr w:type="spellStart"/>
      <w:r w:rsidRPr="00F84A72">
        <w:rPr>
          <w:rFonts w:ascii="Times New Roman" w:hAnsi="Times New Roman"/>
          <w:bCs/>
          <w:i/>
          <w:iCs/>
          <w:sz w:val="24"/>
          <w:szCs w:val="24"/>
        </w:rPr>
        <w:t>euro</w:t>
      </w:r>
      <w:proofErr w:type="spellEnd"/>
      <w:r w:rsidRPr="005E1D08">
        <w:rPr>
          <w:rFonts w:ascii="Times New Roman" w:hAnsi="Times New Roman"/>
          <w:sz w:val="24"/>
          <w:szCs w:val="24"/>
        </w:rPr>
        <w:t xml:space="preserve"> apmērā, no kuriem 56,3% piešķirtais pabalsts bija mazāks par MK noteiktās minimālās mēneša darba algas apmēru; </w:t>
      </w:r>
    </w:p>
    <w:p w:rsidR="005E1D08" w:rsidRPr="005E1D08" w:rsidRDefault="005E1D08" w:rsidP="005E1D08">
      <w:pPr>
        <w:pStyle w:val="ListParagraph"/>
        <w:numPr>
          <w:ilvl w:val="0"/>
          <w:numId w:val="22"/>
        </w:numPr>
        <w:spacing w:after="0" w:line="240" w:lineRule="auto"/>
        <w:jc w:val="both"/>
        <w:rPr>
          <w:rFonts w:ascii="Times New Roman" w:hAnsi="Times New Roman"/>
          <w:sz w:val="24"/>
          <w:szCs w:val="24"/>
        </w:rPr>
      </w:pPr>
      <w:r w:rsidRPr="005E1D08">
        <w:rPr>
          <w:rFonts w:ascii="Times New Roman" w:hAnsi="Times New Roman"/>
          <w:sz w:val="24"/>
          <w:szCs w:val="24"/>
        </w:rPr>
        <w:t>6</w:t>
      </w:r>
      <w:r w:rsidR="009F74A8" w:rsidRPr="005E1D08">
        <w:rPr>
          <w:rFonts w:ascii="Times New Roman" w:hAnsi="Times New Roman"/>
          <w:sz w:val="24"/>
          <w:szCs w:val="24"/>
        </w:rPr>
        <w:t> </w:t>
      </w:r>
      <w:r w:rsidRPr="005E1D08">
        <w:rPr>
          <w:rFonts w:ascii="Times New Roman" w:hAnsi="Times New Roman"/>
          <w:sz w:val="24"/>
          <w:szCs w:val="24"/>
        </w:rPr>
        <w:t xml:space="preserve">309 dīkstāves pabalstus pēc </w:t>
      </w:r>
      <w:proofErr w:type="spellStart"/>
      <w:r w:rsidRPr="005E1D08">
        <w:rPr>
          <w:rFonts w:ascii="Times New Roman" w:hAnsi="Times New Roman"/>
          <w:sz w:val="24"/>
          <w:szCs w:val="24"/>
        </w:rPr>
        <w:t>pašnodarbināto</w:t>
      </w:r>
      <w:proofErr w:type="spellEnd"/>
      <w:r w:rsidRPr="005E1D08">
        <w:rPr>
          <w:rFonts w:ascii="Times New Roman" w:hAnsi="Times New Roman"/>
          <w:sz w:val="24"/>
          <w:szCs w:val="24"/>
        </w:rPr>
        <w:t xml:space="preserve"> iesniegumiem ar vidējo dīkstāves pabalstu </w:t>
      </w:r>
      <w:r w:rsidRPr="00F84A72">
        <w:rPr>
          <w:rFonts w:ascii="Times New Roman" w:hAnsi="Times New Roman"/>
          <w:bCs/>
          <w:sz w:val="24"/>
          <w:szCs w:val="24"/>
        </w:rPr>
        <w:t xml:space="preserve">353 </w:t>
      </w:r>
      <w:proofErr w:type="spellStart"/>
      <w:r w:rsidRPr="00F84A72">
        <w:rPr>
          <w:rFonts w:ascii="Times New Roman" w:hAnsi="Times New Roman"/>
          <w:bCs/>
          <w:i/>
          <w:iCs/>
          <w:sz w:val="24"/>
          <w:szCs w:val="24"/>
        </w:rPr>
        <w:t>euro</w:t>
      </w:r>
      <w:proofErr w:type="spellEnd"/>
      <w:r w:rsidRPr="005E1D08">
        <w:rPr>
          <w:rFonts w:ascii="Times New Roman" w:hAnsi="Times New Roman"/>
          <w:sz w:val="24"/>
          <w:szCs w:val="24"/>
        </w:rPr>
        <w:t xml:space="preserve"> apmērā, no kuriem 63,6 % piešķirtais pabalsts bija mazāks par MK noteiktās minimālās mēneša darba algas apmēru (VID informācija uz 2020.gada 13.jūliju). </w:t>
      </w:r>
    </w:p>
    <w:p w:rsidR="005E1D08" w:rsidRPr="005E1D08" w:rsidRDefault="005E1D08" w:rsidP="005E1D08">
      <w:pPr>
        <w:spacing w:after="0"/>
        <w:rPr>
          <w:szCs w:val="24"/>
        </w:rPr>
      </w:pPr>
      <w:r w:rsidRPr="005E1D08">
        <w:rPr>
          <w:szCs w:val="24"/>
        </w:rPr>
        <w:t>Ņemot vērā augstāk minēto, MK sākot ar 2021.gadu ir pieņēmis lēmumu ieviest minimālo VSAOI apmēru, kura ieviešanas mērķis ir nodrošināt ilgtspējīgu valsts sociālās apdrošināšanas politiku, paredzot, ka par visiem nodokļu maksātājiem, kuri aktīvi piedalās ekonomiskajā dzīvē, VSAOI tiktu veiktas vismaz minimālu valsts sociālās apdrošināšanas iemaksu līmenī, un novērst dažādo nodokļu režīmu izņēmuma modeļa izmantošanu nodokļu optimizācijas nolūkā. Vienlaikus, atbilstoši F</w:t>
      </w:r>
      <w:r w:rsidR="00B3173D">
        <w:rPr>
          <w:szCs w:val="24"/>
        </w:rPr>
        <w:t xml:space="preserve">M </w:t>
      </w:r>
      <w:r w:rsidRPr="005E1D08">
        <w:rPr>
          <w:szCs w:val="24"/>
        </w:rPr>
        <w:t xml:space="preserve">aprēķiniem, no šīs iniciatīvas ieviešanas tiek prognozēta pozitīva fiskālā </w:t>
      </w:r>
      <w:r w:rsidR="009F74A8">
        <w:rPr>
          <w:szCs w:val="24"/>
        </w:rPr>
        <w:t>ietekme uz valsts budžetu 2021.</w:t>
      </w:r>
      <w:r w:rsidRPr="005E1D08">
        <w:rPr>
          <w:szCs w:val="24"/>
        </w:rPr>
        <w:t xml:space="preserve">gadā sasniedzot 64,3 milj. </w:t>
      </w:r>
      <w:proofErr w:type="spellStart"/>
      <w:r w:rsidRPr="005E1D08">
        <w:rPr>
          <w:i/>
          <w:iCs/>
          <w:szCs w:val="24"/>
        </w:rPr>
        <w:t>euro</w:t>
      </w:r>
      <w:proofErr w:type="spellEnd"/>
      <w:r w:rsidR="009F74A8">
        <w:rPr>
          <w:szCs w:val="24"/>
        </w:rPr>
        <w:t>, 2022.</w:t>
      </w:r>
      <w:r w:rsidRPr="005E1D08">
        <w:rPr>
          <w:szCs w:val="24"/>
        </w:rPr>
        <w:t xml:space="preserve">gadā 135,5 milj. </w:t>
      </w:r>
      <w:proofErr w:type="spellStart"/>
      <w:r w:rsidRPr="005E1D08">
        <w:rPr>
          <w:i/>
          <w:iCs/>
          <w:szCs w:val="24"/>
        </w:rPr>
        <w:t>euro</w:t>
      </w:r>
      <w:proofErr w:type="spellEnd"/>
      <w:r w:rsidR="009F74A8">
        <w:rPr>
          <w:szCs w:val="24"/>
        </w:rPr>
        <w:t>, un 2023.</w:t>
      </w:r>
      <w:r w:rsidR="00D53A5F">
        <w:rPr>
          <w:szCs w:val="24"/>
        </w:rPr>
        <w:t>gadā 137,</w:t>
      </w:r>
      <w:r w:rsidRPr="005E1D08">
        <w:rPr>
          <w:szCs w:val="24"/>
        </w:rPr>
        <w:t xml:space="preserve">2 milj. </w:t>
      </w:r>
      <w:proofErr w:type="spellStart"/>
      <w:r w:rsidRPr="005E1D08">
        <w:rPr>
          <w:i/>
          <w:iCs/>
          <w:szCs w:val="24"/>
        </w:rPr>
        <w:t>euro</w:t>
      </w:r>
      <w:proofErr w:type="spellEnd"/>
      <w:r w:rsidRPr="005E1D08">
        <w:rPr>
          <w:szCs w:val="24"/>
        </w:rPr>
        <w:t>.</w:t>
      </w:r>
    </w:p>
    <w:p w:rsidR="00646008" w:rsidRPr="00BF5371" w:rsidRDefault="00646008" w:rsidP="007132F8">
      <w:pPr>
        <w:rPr>
          <w:highlight w:val="yellow"/>
          <w:lang w:eastAsia="x-none"/>
        </w:rPr>
      </w:pPr>
    </w:p>
    <w:p w:rsidR="00646008" w:rsidRPr="00BF5371" w:rsidRDefault="00646008" w:rsidP="009F74A8">
      <w:pPr>
        <w:ind w:firstLine="0"/>
        <w:rPr>
          <w:highlight w:val="yellow"/>
          <w:lang w:val="x-none" w:eastAsia="x-none"/>
        </w:rPr>
        <w:sectPr w:rsidR="00646008" w:rsidRPr="00BF5371" w:rsidSect="00B65294">
          <w:headerReference w:type="first" r:id="rId52"/>
          <w:pgSz w:w="11906" w:h="16838"/>
          <w:pgMar w:top="1418" w:right="1134" w:bottom="1418" w:left="1701" w:header="1077" w:footer="624" w:gutter="0"/>
          <w:cols w:space="708"/>
          <w:docGrid w:linePitch="360"/>
        </w:sectPr>
      </w:pPr>
    </w:p>
    <w:p w:rsidR="00646008" w:rsidRPr="007425A7" w:rsidRDefault="00646008" w:rsidP="00646008">
      <w:pPr>
        <w:pStyle w:val="Heading1"/>
        <w:tabs>
          <w:tab w:val="left" w:pos="1276"/>
        </w:tabs>
        <w:spacing w:before="0" w:after="240"/>
        <w:ind w:left="1276" w:hanging="1276"/>
        <w:jc w:val="left"/>
        <w:rPr>
          <w:rFonts w:ascii="Times New Roman" w:hAnsi="Times New Roman"/>
          <w:color w:val="18185F"/>
          <w:sz w:val="24"/>
        </w:rPr>
      </w:pPr>
      <w:bookmarkStart w:id="23" w:name="_Toc494786352"/>
      <w:bookmarkStart w:id="24" w:name="_Toc53388935"/>
      <w:r w:rsidRPr="007425A7">
        <w:rPr>
          <w:rFonts w:ascii="Times New Roman" w:hAnsi="Times New Roman"/>
          <w:color w:val="18185F"/>
          <w:sz w:val="24"/>
        </w:rPr>
        <w:lastRenderedPageBreak/>
        <w:t>Tabula 5</w:t>
      </w:r>
      <w:r w:rsidRPr="007425A7">
        <w:rPr>
          <w:rFonts w:ascii="Times New Roman" w:hAnsi="Times New Roman"/>
          <w:color w:val="18185F"/>
          <w:sz w:val="24"/>
          <w:lang w:val="lv-LV"/>
        </w:rPr>
        <w:t>:</w:t>
      </w:r>
      <w:r w:rsidRPr="007425A7">
        <w:rPr>
          <w:rFonts w:ascii="Times New Roman" w:hAnsi="Times New Roman"/>
          <w:color w:val="18185F"/>
          <w:sz w:val="24"/>
        </w:rPr>
        <w:t xml:space="preserve"> </w:t>
      </w:r>
      <w:proofErr w:type="spellStart"/>
      <w:r w:rsidRPr="007425A7">
        <w:rPr>
          <w:rFonts w:ascii="Times New Roman" w:hAnsi="Times New Roman"/>
          <w:color w:val="18185F"/>
          <w:sz w:val="24"/>
        </w:rPr>
        <w:t>Diskrecionāro</w:t>
      </w:r>
      <w:proofErr w:type="spellEnd"/>
      <w:r w:rsidRPr="007425A7">
        <w:rPr>
          <w:rFonts w:ascii="Times New Roman" w:hAnsi="Times New Roman"/>
          <w:color w:val="18185F"/>
          <w:sz w:val="24"/>
        </w:rPr>
        <w:t xml:space="preserve"> pasākumu apraksts, kas iekļauti budžeta projektā</w:t>
      </w:r>
      <w:bookmarkEnd w:id="23"/>
      <w:bookmarkEnd w:id="24"/>
    </w:p>
    <w:p w:rsidR="00646008" w:rsidRPr="007425A7" w:rsidRDefault="00F900B2" w:rsidP="00646008">
      <w:pPr>
        <w:pStyle w:val="Heading1"/>
        <w:tabs>
          <w:tab w:val="left" w:pos="1276"/>
        </w:tabs>
        <w:spacing w:before="0" w:after="240"/>
        <w:ind w:left="1276" w:hanging="1276"/>
        <w:jc w:val="left"/>
        <w:rPr>
          <w:rFonts w:ascii="Times New Roman" w:hAnsi="Times New Roman"/>
          <w:color w:val="18185F"/>
          <w:sz w:val="24"/>
          <w:lang w:val="lv-LV"/>
        </w:rPr>
      </w:pPr>
      <w:bookmarkStart w:id="25" w:name="_Toc430608615"/>
      <w:bookmarkStart w:id="26" w:name="_Toc494786353"/>
      <w:bookmarkStart w:id="27" w:name="_Toc53388936"/>
      <w:r w:rsidRPr="007425A7">
        <w:rPr>
          <w:rFonts w:ascii="Times New Roman" w:hAnsi="Times New Roman"/>
          <w:color w:val="18185F"/>
          <w:sz w:val="24"/>
          <w:lang w:val="lv-LV"/>
        </w:rPr>
        <w:t>Tabula</w:t>
      </w:r>
      <w:r w:rsidRPr="007425A7">
        <w:rPr>
          <w:rFonts w:ascii="Times New Roman" w:hAnsi="Times New Roman"/>
          <w:color w:val="18185F"/>
          <w:sz w:val="24"/>
        </w:rPr>
        <w:t xml:space="preserve"> </w:t>
      </w:r>
      <w:r w:rsidR="00646008" w:rsidRPr="007425A7">
        <w:rPr>
          <w:rFonts w:ascii="Times New Roman" w:hAnsi="Times New Roman"/>
          <w:color w:val="18185F"/>
          <w:sz w:val="24"/>
        </w:rPr>
        <w:t>5.a</w:t>
      </w:r>
      <w:r w:rsidR="005B2F54" w:rsidRPr="007425A7">
        <w:rPr>
          <w:rFonts w:ascii="Times New Roman" w:hAnsi="Times New Roman"/>
          <w:color w:val="18185F"/>
          <w:sz w:val="24"/>
          <w:lang w:val="lv-LV"/>
        </w:rPr>
        <w:t>.i)</w:t>
      </w:r>
      <w:r w:rsidR="00006BD6" w:rsidRPr="007425A7">
        <w:rPr>
          <w:rFonts w:ascii="Times New Roman" w:hAnsi="Times New Roman"/>
          <w:color w:val="18185F"/>
          <w:sz w:val="24"/>
          <w:lang w:val="lv-LV"/>
        </w:rPr>
        <w:t>:</w:t>
      </w:r>
      <w:r w:rsidR="00646008" w:rsidRPr="007425A7">
        <w:rPr>
          <w:rFonts w:ascii="Times New Roman" w:hAnsi="Times New Roman"/>
          <w:color w:val="18185F"/>
          <w:sz w:val="24"/>
        </w:rPr>
        <w:t xml:space="preserve"> </w:t>
      </w:r>
      <w:proofErr w:type="spellStart"/>
      <w:r w:rsidR="00646008" w:rsidRPr="007425A7">
        <w:rPr>
          <w:rFonts w:ascii="Times New Roman" w:hAnsi="Times New Roman"/>
          <w:color w:val="18185F"/>
          <w:sz w:val="24"/>
        </w:rPr>
        <w:t>Diskrecionārie</w:t>
      </w:r>
      <w:proofErr w:type="spellEnd"/>
      <w:r w:rsidR="00646008" w:rsidRPr="007425A7">
        <w:rPr>
          <w:rFonts w:ascii="Times New Roman" w:hAnsi="Times New Roman"/>
          <w:color w:val="18185F"/>
          <w:sz w:val="24"/>
        </w:rPr>
        <w:t xml:space="preserve"> </w:t>
      </w:r>
      <w:r w:rsidR="00646008" w:rsidRPr="007425A7">
        <w:rPr>
          <w:rFonts w:ascii="Times New Roman" w:hAnsi="Times New Roman"/>
          <w:color w:val="18185F"/>
          <w:sz w:val="24"/>
          <w:lang w:val="lv-LV"/>
        </w:rPr>
        <w:t xml:space="preserve">ieņēmumu </w:t>
      </w:r>
      <w:r w:rsidR="00646008" w:rsidRPr="007425A7">
        <w:rPr>
          <w:rFonts w:ascii="Times New Roman" w:hAnsi="Times New Roman"/>
          <w:color w:val="18185F"/>
          <w:sz w:val="24"/>
        </w:rPr>
        <w:t>pasākumi visp</w:t>
      </w:r>
      <w:r w:rsidR="00646008" w:rsidRPr="007425A7">
        <w:rPr>
          <w:rFonts w:ascii="Times New Roman" w:hAnsi="Times New Roman"/>
          <w:color w:val="18185F"/>
          <w:sz w:val="24"/>
          <w:lang w:val="lv-LV"/>
        </w:rPr>
        <w:t>ārējās valdības budžetā</w:t>
      </w:r>
      <w:bookmarkEnd w:id="25"/>
      <w:bookmarkEnd w:id="26"/>
      <w:bookmarkEnd w:id="27"/>
    </w:p>
    <w:tbl>
      <w:tblPr>
        <w:tblW w:w="14997"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657"/>
        <w:gridCol w:w="3686"/>
        <w:gridCol w:w="1701"/>
        <w:gridCol w:w="850"/>
        <w:gridCol w:w="1134"/>
        <w:gridCol w:w="1418"/>
        <w:gridCol w:w="850"/>
        <w:gridCol w:w="851"/>
        <w:gridCol w:w="850"/>
      </w:tblGrid>
      <w:tr w:rsidR="00D6171D" w:rsidRPr="009840E8" w:rsidTr="0030524C">
        <w:trPr>
          <w:trHeight w:val="227"/>
        </w:trPr>
        <w:tc>
          <w:tcPr>
            <w:tcW w:w="3652" w:type="dxa"/>
            <w:vMerge w:val="restart"/>
            <w:shd w:val="clear" w:color="auto" w:fill="DBE5F1" w:themeFill="accent1" w:themeFillTint="33"/>
            <w:vAlign w:val="center"/>
            <w:hideMark/>
          </w:tcPr>
          <w:p w:rsidR="00D6171D" w:rsidRPr="009840E8" w:rsidRDefault="00D6171D" w:rsidP="00646008">
            <w:pPr>
              <w:spacing w:after="0"/>
              <w:ind w:firstLine="0"/>
              <w:jc w:val="center"/>
              <w:rPr>
                <w:b/>
                <w:bCs/>
                <w:color w:val="000000"/>
                <w:sz w:val="20"/>
                <w:lang w:eastAsia="lv-LV"/>
              </w:rPr>
            </w:pPr>
            <w:r w:rsidRPr="009840E8">
              <w:rPr>
                <w:b/>
                <w:bCs/>
                <w:color w:val="000000"/>
                <w:sz w:val="20"/>
                <w:lang w:eastAsia="lv-LV"/>
              </w:rPr>
              <w:t>Pasākumu saraksts</w:t>
            </w:r>
          </w:p>
        </w:tc>
        <w:tc>
          <w:tcPr>
            <w:tcW w:w="3686" w:type="dxa"/>
            <w:vMerge w:val="restart"/>
            <w:shd w:val="clear" w:color="auto" w:fill="DBE5F1" w:themeFill="accent1" w:themeFillTint="33"/>
            <w:vAlign w:val="center"/>
            <w:hideMark/>
          </w:tcPr>
          <w:p w:rsidR="00D6171D" w:rsidRPr="009840E8" w:rsidRDefault="00D6171D" w:rsidP="00646008">
            <w:pPr>
              <w:spacing w:after="0"/>
              <w:ind w:firstLine="0"/>
              <w:jc w:val="center"/>
              <w:rPr>
                <w:b/>
                <w:bCs/>
                <w:color w:val="000000"/>
                <w:sz w:val="20"/>
                <w:lang w:eastAsia="lv-LV"/>
              </w:rPr>
            </w:pPr>
            <w:r w:rsidRPr="009840E8">
              <w:rPr>
                <w:b/>
                <w:bCs/>
                <w:color w:val="000000"/>
                <w:sz w:val="20"/>
                <w:lang w:eastAsia="lv-LV"/>
              </w:rPr>
              <w:t>Detalizēts apraksts*</w:t>
            </w:r>
          </w:p>
        </w:tc>
        <w:tc>
          <w:tcPr>
            <w:tcW w:w="1701" w:type="dxa"/>
            <w:vMerge w:val="restart"/>
            <w:shd w:val="clear" w:color="auto" w:fill="DBE5F1" w:themeFill="accent1" w:themeFillTint="33"/>
            <w:vAlign w:val="center"/>
            <w:hideMark/>
          </w:tcPr>
          <w:p w:rsidR="00D6171D" w:rsidRPr="009840E8" w:rsidRDefault="00D6171D" w:rsidP="008C010D">
            <w:pPr>
              <w:spacing w:after="0"/>
              <w:ind w:firstLine="0"/>
              <w:jc w:val="center"/>
              <w:rPr>
                <w:b/>
                <w:bCs/>
                <w:color w:val="000000"/>
                <w:sz w:val="20"/>
                <w:lang w:eastAsia="lv-LV"/>
              </w:rPr>
            </w:pPr>
            <w:r w:rsidRPr="009840E8">
              <w:rPr>
                <w:b/>
                <w:bCs/>
                <w:color w:val="000000"/>
                <w:sz w:val="20"/>
                <w:lang w:eastAsia="lv-LV"/>
              </w:rPr>
              <w:t>Nodokļu veids</w:t>
            </w:r>
          </w:p>
        </w:tc>
        <w:tc>
          <w:tcPr>
            <w:tcW w:w="850" w:type="dxa"/>
            <w:vMerge w:val="restart"/>
            <w:shd w:val="clear" w:color="auto" w:fill="DBE5F1" w:themeFill="accent1" w:themeFillTint="33"/>
            <w:vAlign w:val="center"/>
            <w:hideMark/>
          </w:tcPr>
          <w:p w:rsidR="00D6171D" w:rsidRPr="009840E8" w:rsidRDefault="00D6171D" w:rsidP="00646008">
            <w:pPr>
              <w:spacing w:after="0"/>
              <w:ind w:firstLine="0"/>
              <w:jc w:val="center"/>
              <w:rPr>
                <w:b/>
                <w:bCs/>
                <w:color w:val="000000"/>
                <w:sz w:val="20"/>
                <w:lang w:eastAsia="lv-LV"/>
              </w:rPr>
            </w:pPr>
            <w:r w:rsidRPr="009840E8">
              <w:rPr>
                <w:b/>
                <w:bCs/>
                <w:color w:val="000000"/>
                <w:sz w:val="20"/>
                <w:lang w:eastAsia="lv-LV"/>
              </w:rPr>
              <w:t>ESA kods</w:t>
            </w:r>
          </w:p>
        </w:tc>
        <w:tc>
          <w:tcPr>
            <w:tcW w:w="1134" w:type="dxa"/>
            <w:vMerge w:val="restart"/>
            <w:shd w:val="clear" w:color="auto" w:fill="DBE5F1" w:themeFill="accent1" w:themeFillTint="33"/>
            <w:vAlign w:val="center"/>
            <w:hideMark/>
          </w:tcPr>
          <w:p w:rsidR="00D6171D" w:rsidRPr="009840E8" w:rsidRDefault="00D6171D" w:rsidP="00646008">
            <w:pPr>
              <w:spacing w:after="0"/>
              <w:ind w:firstLine="0"/>
              <w:jc w:val="center"/>
              <w:rPr>
                <w:b/>
                <w:bCs/>
                <w:color w:val="000000"/>
                <w:sz w:val="20"/>
                <w:lang w:eastAsia="lv-LV"/>
              </w:rPr>
            </w:pPr>
            <w:r w:rsidRPr="009840E8">
              <w:rPr>
                <w:b/>
                <w:bCs/>
                <w:color w:val="000000"/>
                <w:sz w:val="20"/>
                <w:lang w:eastAsia="lv-LV"/>
              </w:rPr>
              <w:t>Uzskaites princips</w:t>
            </w:r>
          </w:p>
        </w:tc>
        <w:tc>
          <w:tcPr>
            <w:tcW w:w="1418" w:type="dxa"/>
            <w:vMerge w:val="restart"/>
            <w:shd w:val="clear" w:color="auto" w:fill="DBE5F1" w:themeFill="accent1" w:themeFillTint="33"/>
            <w:vAlign w:val="center"/>
            <w:hideMark/>
          </w:tcPr>
          <w:p w:rsidR="00D6171D" w:rsidRPr="009840E8" w:rsidRDefault="00D6171D" w:rsidP="00646008">
            <w:pPr>
              <w:spacing w:after="0"/>
              <w:ind w:firstLine="0"/>
              <w:jc w:val="center"/>
              <w:rPr>
                <w:b/>
                <w:bCs/>
                <w:color w:val="000000"/>
                <w:sz w:val="20"/>
                <w:lang w:eastAsia="lv-LV"/>
              </w:rPr>
            </w:pPr>
            <w:r w:rsidRPr="009840E8">
              <w:rPr>
                <w:b/>
                <w:bCs/>
                <w:color w:val="000000"/>
                <w:sz w:val="20"/>
                <w:lang w:eastAsia="lv-LV"/>
              </w:rPr>
              <w:t>Pieņemšanas statuss</w:t>
            </w:r>
          </w:p>
        </w:tc>
        <w:tc>
          <w:tcPr>
            <w:tcW w:w="2551" w:type="dxa"/>
            <w:gridSpan w:val="3"/>
            <w:shd w:val="clear" w:color="auto" w:fill="DBE5F1" w:themeFill="accent1" w:themeFillTint="33"/>
            <w:noWrap/>
            <w:vAlign w:val="center"/>
            <w:hideMark/>
          </w:tcPr>
          <w:p w:rsidR="00D6171D" w:rsidRPr="009840E8" w:rsidRDefault="00D6171D" w:rsidP="00756E10">
            <w:pPr>
              <w:spacing w:after="0"/>
              <w:ind w:firstLine="0"/>
              <w:jc w:val="center"/>
              <w:rPr>
                <w:b/>
                <w:bCs/>
                <w:color w:val="000000"/>
                <w:sz w:val="20"/>
                <w:lang w:eastAsia="lv-LV"/>
              </w:rPr>
            </w:pPr>
            <w:r w:rsidRPr="009840E8">
              <w:rPr>
                <w:b/>
                <w:bCs/>
                <w:color w:val="000000"/>
                <w:sz w:val="20"/>
                <w:lang w:eastAsia="lv-LV"/>
              </w:rPr>
              <w:t>Ietekme uz budžetu</w:t>
            </w:r>
          </w:p>
        </w:tc>
      </w:tr>
      <w:tr w:rsidR="00D6171D" w:rsidRPr="009840E8" w:rsidTr="0030524C">
        <w:trPr>
          <w:trHeight w:val="227"/>
        </w:trPr>
        <w:tc>
          <w:tcPr>
            <w:tcW w:w="3652" w:type="dxa"/>
            <w:vMerge/>
            <w:vAlign w:val="center"/>
            <w:hideMark/>
          </w:tcPr>
          <w:p w:rsidR="00D6171D" w:rsidRPr="009840E8" w:rsidRDefault="00D6171D" w:rsidP="004D7430">
            <w:pPr>
              <w:spacing w:after="0"/>
              <w:ind w:firstLine="0"/>
              <w:jc w:val="left"/>
              <w:rPr>
                <w:b/>
                <w:bCs/>
                <w:color w:val="000000"/>
                <w:sz w:val="20"/>
                <w:lang w:eastAsia="lv-LV"/>
              </w:rPr>
            </w:pPr>
          </w:p>
        </w:tc>
        <w:tc>
          <w:tcPr>
            <w:tcW w:w="3686" w:type="dxa"/>
            <w:vMerge/>
            <w:vAlign w:val="center"/>
            <w:hideMark/>
          </w:tcPr>
          <w:p w:rsidR="00D6171D" w:rsidRPr="009840E8" w:rsidRDefault="00D6171D" w:rsidP="004D7430">
            <w:pPr>
              <w:spacing w:after="0"/>
              <w:ind w:firstLine="0"/>
              <w:jc w:val="left"/>
              <w:rPr>
                <w:b/>
                <w:bCs/>
                <w:color w:val="000000"/>
                <w:sz w:val="20"/>
                <w:lang w:eastAsia="lv-LV"/>
              </w:rPr>
            </w:pPr>
          </w:p>
        </w:tc>
        <w:tc>
          <w:tcPr>
            <w:tcW w:w="1701" w:type="dxa"/>
            <w:vMerge/>
            <w:vAlign w:val="center"/>
            <w:hideMark/>
          </w:tcPr>
          <w:p w:rsidR="00D6171D" w:rsidRPr="009840E8" w:rsidRDefault="00D6171D" w:rsidP="004D7430">
            <w:pPr>
              <w:spacing w:after="0"/>
              <w:ind w:firstLine="0"/>
              <w:jc w:val="center"/>
              <w:rPr>
                <w:b/>
                <w:bCs/>
                <w:color w:val="000000"/>
                <w:sz w:val="20"/>
                <w:lang w:eastAsia="lv-LV"/>
              </w:rPr>
            </w:pPr>
          </w:p>
        </w:tc>
        <w:tc>
          <w:tcPr>
            <w:tcW w:w="850" w:type="dxa"/>
            <w:vMerge/>
            <w:vAlign w:val="center"/>
            <w:hideMark/>
          </w:tcPr>
          <w:p w:rsidR="00D6171D" w:rsidRPr="009840E8" w:rsidRDefault="00D6171D" w:rsidP="004D7430">
            <w:pPr>
              <w:spacing w:after="0"/>
              <w:ind w:firstLine="0"/>
              <w:jc w:val="left"/>
              <w:rPr>
                <w:b/>
                <w:bCs/>
                <w:color w:val="000000"/>
                <w:sz w:val="20"/>
                <w:lang w:eastAsia="lv-LV"/>
              </w:rPr>
            </w:pPr>
          </w:p>
        </w:tc>
        <w:tc>
          <w:tcPr>
            <w:tcW w:w="1134" w:type="dxa"/>
            <w:vMerge/>
            <w:vAlign w:val="center"/>
            <w:hideMark/>
          </w:tcPr>
          <w:p w:rsidR="00D6171D" w:rsidRPr="009840E8" w:rsidRDefault="00D6171D" w:rsidP="004D7430">
            <w:pPr>
              <w:spacing w:after="0"/>
              <w:ind w:firstLine="0"/>
              <w:jc w:val="left"/>
              <w:rPr>
                <w:b/>
                <w:bCs/>
                <w:color w:val="000000"/>
                <w:sz w:val="20"/>
                <w:lang w:eastAsia="lv-LV"/>
              </w:rPr>
            </w:pPr>
          </w:p>
        </w:tc>
        <w:tc>
          <w:tcPr>
            <w:tcW w:w="1418" w:type="dxa"/>
            <w:vMerge/>
            <w:vAlign w:val="center"/>
            <w:hideMark/>
          </w:tcPr>
          <w:p w:rsidR="00D6171D" w:rsidRPr="009840E8" w:rsidRDefault="00D6171D" w:rsidP="004D7430">
            <w:pPr>
              <w:spacing w:after="0"/>
              <w:ind w:firstLine="0"/>
              <w:jc w:val="left"/>
              <w:rPr>
                <w:b/>
                <w:bCs/>
                <w:color w:val="000000"/>
                <w:sz w:val="20"/>
                <w:lang w:eastAsia="lv-LV"/>
              </w:rPr>
            </w:pPr>
          </w:p>
        </w:tc>
        <w:tc>
          <w:tcPr>
            <w:tcW w:w="850" w:type="dxa"/>
            <w:shd w:val="clear" w:color="auto" w:fill="auto"/>
            <w:vAlign w:val="center"/>
            <w:hideMark/>
          </w:tcPr>
          <w:p w:rsidR="00D6171D" w:rsidRPr="009840E8" w:rsidRDefault="00D6171D" w:rsidP="00756E10">
            <w:pPr>
              <w:spacing w:after="0"/>
              <w:ind w:firstLine="0"/>
              <w:jc w:val="center"/>
              <w:rPr>
                <w:b/>
                <w:bCs/>
                <w:color w:val="000000"/>
                <w:sz w:val="20"/>
                <w:lang w:eastAsia="lv-LV"/>
              </w:rPr>
            </w:pPr>
            <w:r w:rsidRPr="009840E8">
              <w:rPr>
                <w:b/>
                <w:bCs/>
                <w:color w:val="000000"/>
                <w:sz w:val="20"/>
              </w:rPr>
              <w:t>2021</w:t>
            </w:r>
          </w:p>
        </w:tc>
        <w:tc>
          <w:tcPr>
            <w:tcW w:w="851" w:type="dxa"/>
            <w:shd w:val="clear" w:color="auto" w:fill="auto"/>
            <w:vAlign w:val="center"/>
            <w:hideMark/>
          </w:tcPr>
          <w:p w:rsidR="00D6171D" w:rsidRPr="009840E8" w:rsidRDefault="00D6171D" w:rsidP="00756E10">
            <w:pPr>
              <w:spacing w:after="0"/>
              <w:ind w:firstLine="0"/>
              <w:jc w:val="center"/>
              <w:rPr>
                <w:b/>
                <w:bCs/>
                <w:color w:val="000000"/>
                <w:sz w:val="20"/>
                <w:lang w:eastAsia="lv-LV"/>
              </w:rPr>
            </w:pPr>
            <w:r w:rsidRPr="009840E8">
              <w:rPr>
                <w:b/>
                <w:bCs/>
                <w:color w:val="000000"/>
                <w:sz w:val="20"/>
              </w:rPr>
              <w:t>2022</w:t>
            </w:r>
          </w:p>
        </w:tc>
        <w:tc>
          <w:tcPr>
            <w:tcW w:w="850" w:type="dxa"/>
            <w:shd w:val="clear" w:color="auto" w:fill="auto"/>
            <w:vAlign w:val="center"/>
            <w:hideMark/>
          </w:tcPr>
          <w:p w:rsidR="00D6171D" w:rsidRPr="009840E8" w:rsidRDefault="00D6171D" w:rsidP="00756E10">
            <w:pPr>
              <w:spacing w:after="0"/>
              <w:ind w:firstLine="0"/>
              <w:jc w:val="center"/>
              <w:rPr>
                <w:b/>
                <w:bCs/>
                <w:color w:val="000000"/>
                <w:sz w:val="20"/>
                <w:lang w:eastAsia="lv-LV"/>
              </w:rPr>
            </w:pPr>
            <w:r w:rsidRPr="009840E8">
              <w:rPr>
                <w:b/>
                <w:bCs/>
                <w:color w:val="000000"/>
                <w:sz w:val="20"/>
              </w:rPr>
              <w:t>2023</w:t>
            </w:r>
          </w:p>
        </w:tc>
      </w:tr>
      <w:tr w:rsidR="00D6171D" w:rsidRPr="009840E8" w:rsidTr="0030524C">
        <w:trPr>
          <w:trHeight w:val="227"/>
        </w:trPr>
        <w:tc>
          <w:tcPr>
            <w:tcW w:w="3652" w:type="dxa"/>
            <w:vMerge/>
            <w:vAlign w:val="center"/>
            <w:hideMark/>
          </w:tcPr>
          <w:p w:rsidR="00D6171D" w:rsidRPr="009840E8" w:rsidRDefault="00D6171D" w:rsidP="00646008">
            <w:pPr>
              <w:spacing w:after="0"/>
              <w:ind w:firstLine="0"/>
              <w:jc w:val="left"/>
              <w:rPr>
                <w:b/>
                <w:bCs/>
                <w:color w:val="000000"/>
                <w:sz w:val="20"/>
                <w:highlight w:val="yellow"/>
                <w:lang w:eastAsia="lv-LV"/>
              </w:rPr>
            </w:pPr>
          </w:p>
        </w:tc>
        <w:tc>
          <w:tcPr>
            <w:tcW w:w="3686" w:type="dxa"/>
            <w:vMerge/>
            <w:vAlign w:val="center"/>
            <w:hideMark/>
          </w:tcPr>
          <w:p w:rsidR="00D6171D" w:rsidRPr="009840E8" w:rsidRDefault="00D6171D" w:rsidP="00646008">
            <w:pPr>
              <w:spacing w:after="0"/>
              <w:ind w:firstLine="0"/>
              <w:jc w:val="left"/>
              <w:rPr>
                <w:b/>
                <w:bCs/>
                <w:color w:val="000000"/>
                <w:sz w:val="20"/>
                <w:highlight w:val="yellow"/>
                <w:lang w:eastAsia="lv-LV"/>
              </w:rPr>
            </w:pPr>
          </w:p>
        </w:tc>
        <w:tc>
          <w:tcPr>
            <w:tcW w:w="1701" w:type="dxa"/>
            <w:vMerge/>
            <w:vAlign w:val="center"/>
            <w:hideMark/>
          </w:tcPr>
          <w:p w:rsidR="00D6171D" w:rsidRPr="009840E8" w:rsidRDefault="00D6171D" w:rsidP="008C010D">
            <w:pPr>
              <w:spacing w:after="0"/>
              <w:ind w:firstLine="0"/>
              <w:jc w:val="center"/>
              <w:rPr>
                <w:b/>
                <w:bCs/>
                <w:color w:val="000000"/>
                <w:sz w:val="20"/>
                <w:highlight w:val="yellow"/>
                <w:lang w:eastAsia="lv-LV"/>
              </w:rPr>
            </w:pPr>
          </w:p>
        </w:tc>
        <w:tc>
          <w:tcPr>
            <w:tcW w:w="850" w:type="dxa"/>
            <w:vMerge/>
            <w:vAlign w:val="center"/>
            <w:hideMark/>
          </w:tcPr>
          <w:p w:rsidR="00D6171D" w:rsidRPr="009840E8" w:rsidRDefault="00D6171D" w:rsidP="00646008">
            <w:pPr>
              <w:spacing w:after="0"/>
              <w:ind w:firstLine="0"/>
              <w:jc w:val="left"/>
              <w:rPr>
                <w:b/>
                <w:bCs/>
                <w:color w:val="000000"/>
                <w:sz w:val="20"/>
                <w:highlight w:val="yellow"/>
                <w:lang w:eastAsia="lv-LV"/>
              </w:rPr>
            </w:pPr>
          </w:p>
        </w:tc>
        <w:tc>
          <w:tcPr>
            <w:tcW w:w="1134" w:type="dxa"/>
            <w:vMerge/>
            <w:vAlign w:val="center"/>
            <w:hideMark/>
          </w:tcPr>
          <w:p w:rsidR="00D6171D" w:rsidRPr="009840E8" w:rsidRDefault="00D6171D" w:rsidP="00646008">
            <w:pPr>
              <w:spacing w:after="0"/>
              <w:ind w:firstLine="0"/>
              <w:jc w:val="left"/>
              <w:rPr>
                <w:b/>
                <w:bCs/>
                <w:color w:val="000000"/>
                <w:sz w:val="20"/>
                <w:highlight w:val="yellow"/>
                <w:lang w:eastAsia="lv-LV"/>
              </w:rPr>
            </w:pPr>
          </w:p>
        </w:tc>
        <w:tc>
          <w:tcPr>
            <w:tcW w:w="1418" w:type="dxa"/>
            <w:vMerge/>
            <w:vAlign w:val="center"/>
            <w:hideMark/>
          </w:tcPr>
          <w:p w:rsidR="00D6171D" w:rsidRPr="009840E8" w:rsidRDefault="00D6171D" w:rsidP="00646008">
            <w:pPr>
              <w:spacing w:after="0"/>
              <w:ind w:firstLine="0"/>
              <w:jc w:val="left"/>
              <w:rPr>
                <w:b/>
                <w:bCs/>
                <w:color w:val="000000"/>
                <w:sz w:val="20"/>
                <w:highlight w:val="yellow"/>
                <w:lang w:eastAsia="lv-LV"/>
              </w:rPr>
            </w:pPr>
          </w:p>
        </w:tc>
        <w:tc>
          <w:tcPr>
            <w:tcW w:w="2551" w:type="dxa"/>
            <w:gridSpan w:val="3"/>
            <w:shd w:val="clear" w:color="auto" w:fill="DBE5F1" w:themeFill="accent1" w:themeFillTint="33"/>
            <w:vAlign w:val="center"/>
            <w:hideMark/>
          </w:tcPr>
          <w:p w:rsidR="00D6171D" w:rsidRPr="009840E8" w:rsidRDefault="00D6171D" w:rsidP="00756E10">
            <w:pPr>
              <w:spacing w:after="0"/>
              <w:ind w:firstLine="0"/>
              <w:jc w:val="center"/>
              <w:rPr>
                <w:b/>
                <w:bCs/>
                <w:color w:val="000000"/>
                <w:sz w:val="20"/>
                <w:lang w:eastAsia="lv-LV"/>
              </w:rPr>
            </w:pPr>
            <w:r w:rsidRPr="009840E8">
              <w:rPr>
                <w:b/>
                <w:bCs/>
                <w:color w:val="000000"/>
                <w:sz w:val="20"/>
                <w:lang w:eastAsia="lv-LV"/>
              </w:rPr>
              <w:t>% IKP</w:t>
            </w:r>
          </w:p>
        </w:tc>
      </w:tr>
      <w:tr w:rsidR="00114F55" w:rsidRPr="00114F55" w:rsidTr="0030524C">
        <w:trPr>
          <w:trHeight w:val="2262"/>
        </w:trPr>
        <w:tc>
          <w:tcPr>
            <w:tcW w:w="3657" w:type="dxa"/>
            <w:shd w:val="clear" w:color="auto" w:fill="auto"/>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PVN piemērošanas vienkāršošanas noteikumi e-komercijas jomā</w:t>
            </w:r>
          </w:p>
        </w:tc>
        <w:tc>
          <w:tcPr>
            <w:tcW w:w="3686" w:type="dxa"/>
            <w:shd w:val="clear" w:color="auto" w:fill="auto"/>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 xml:space="preserve">PVN piemērošanas vienkāršošanas noteikumi e-komercijas jomā: ar 2021.gadu tiks paplašināts īpašā PVN režīma piemērošanas tvērums, radot iespēju reģistrēties vienā dalībvalstī un veikt PVN samaksu par jebkādiem darījumiem, kas veikti e-vidē īpašā PVN režīma ietvaros; papildus tam ar 2021.gadu tiks atcelts PVN atbrīvojums mazās vērtības preču sūtījumiem 22 </w:t>
            </w:r>
            <w:proofErr w:type="spellStart"/>
            <w:r w:rsidRPr="00114F55">
              <w:rPr>
                <w:i/>
                <w:color w:val="000000"/>
                <w:sz w:val="20"/>
                <w:lang w:eastAsia="lv-LV"/>
              </w:rPr>
              <w:t>euro</w:t>
            </w:r>
            <w:proofErr w:type="spellEnd"/>
            <w:r w:rsidRPr="00114F55">
              <w:rPr>
                <w:color w:val="000000"/>
                <w:sz w:val="20"/>
                <w:lang w:eastAsia="lv-LV"/>
              </w:rPr>
              <w:t xml:space="preserve"> apmērā.</w:t>
            </w: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PVN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D.2</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0,03</w:t>
            </w:r>
          </w:p>
        </w:tc>
        <w:tc>
          <w:tcPr>
            <w:tcW w:w="851"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825"/>
        </w:trPr>
        <w:tc>
          <w:tcPr>
            <w:tcW w:w="3657"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VSAOI likmes samazināšana par 1 procentpunktu (no 35.09% uz 34.09%)</w:t>
            </w:r>
          </w:p>
        </w:tc>
        <w:tc>
          <w:tcPr>
            <w:tcW w:w="3686"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VSAOI likmes samazināšana par 1 procentpunktu (no 35.09% uz 34.09%)</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IIN</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1"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114F55" w:rsidRPr="00114F55" w:rsidTr="0030524C">
        <w:trPr>
          <w:trHeight w:val="600"/>
        </w:trPr>
        <w:tc>
          <w:tcPr>
            <w:tcW w:w="3657" w:type="dxa"/>
            <w:vMerge/>
            <w:vAlign w:val="center"/>
            <w:hideMark/>
          </w:tcPr>
          <w:p w:rsidR="00114F55" w:rsidRPr="00114F55" w:rsidRDefault="00114F55" w:rsidP="00114F55">
            <w:pPr>
              <w:spacing w:after="0"/>
              <w:ind w:firstLine="0"/>
              <w:rPr>
                <w:color w:val="2A2A2A"/>
                <w:sz w:val="20"/>
                <w:lang w:eastAsia="lv-LV"/>
              </w:rPr>
            </w:pPr>
          </w:p>
        </w:tc>
        <w:tc>
          <w:tcPr>
            <w:tcW w:w="3686" w:type="dxa"/>
            <w:vMerge/>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SOC</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D.61</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-0,27</w:t>
            </w:r>
          </w:p>
        </w:tc>
        <w:tc>
          <w:tcPr>
            <w:tcW w:w="851"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114F55" w:rsidRPr="00114F55" w:rsidTr="0030524C">
        <w:trPr>
          <w:trHeight w:val="926"/>
        </w:trPr>
        <w:tc>
          <w:tcPr>
            <w:tcW w:w="3657" w:type="dxa"/>
            <w:shd w:val="clear" w:color="auto" w:fill="auto"/>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 xml:space="preserve">DNM sliekšņa līdz kuram piemēro DNM paaugstināšana līdz 1 800 </w:t>
            </w:r>
            <w:proofErr w:type="spellStart"/>
            <w:r w:rsidRPr="00114F55">
              <w:rPr>
                <w:i/>
                <w:iCs/>
                <w:color w:val="000000"/>
                <w:sz w:val="20"/>
                <w:lang w:eastAsia="lv-LV"/>
              </w:rPr>
              <w:t>euro</w:t>
            </w:r>
            <w:proofErr w:type="spellEnd"/>
            <w:r w:rsidRPr="00114F55">
              <w:rPr>
                <w:i/>
                <w:iCs/>
                <w:color w:val="000000"/>
                <w:sz w:val="20"/>
                <w:lang w:eastAsia="lv-LV"/>
              </w:rPr>
              <w:t xml:space="preserve"> mēnesī</w:t>
            </w:r>
            <w:r w:rsidRPr="00114F55">
              <w:rPr>
                <w:color w:val="000000"/>
                <w:sz w:val="20"/>
                <w:lang w:eastAsia="lv-LV"/>
              </w:rPr>
              <w:t xml:space="preserve">  </w:t>
            </w:r>
          </w:p>
        </w:tc>
        <w:tc>
          <w:tcPr>
            <w:tcW w:w="3686" w:type="dxa"/>
            <w:shd w:val="clear" w:color="auto" w:fill="auto"/>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 xml:space="preserve">DNM sliekšņa līdz kuram piemēro DNM paaugstināšana līdz 1 800 </w:t>
            </w:r>
            <w:proofErr w:type="spellStart"/>
            <w:r w:rsidRPr="00114F55">
              <w:rPr>
                <w:i/>
                <w:iCs/>
                <w:color w:val="000000"/>
                <w:sz w:val="20"/>
                <w:lang w:eastAsia="lv-LV"/>
              </w:rPr>
              <w:t>euro</w:t>
            </w:r>
            <w:proofErr w:type="spellEnd"/>
            <w:r w:rsidRPr="00114F55">
              <w:rPr>
                <w:i/>
                <w:iCs/>
                <w:color w:val="000000"/>
                <w:sz w:val="20"/>
                <w:lang w:eastAsia="lv-LV"/>
              </w:rPr>
              <w:t xml:space="preserve"> mēnesī</w:t>
            </w:r>
            <w:r w:rsidRPr="00114F55">
              <w:rPr>
                <w:color w:val="000000"/>
                <w:sz w:val="20"/>
                <w:lang w:eastAsia="lv-LV"/>
              </w:rPr>
              <w:t xml:space="preserve">  </w:t>
            </w: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IIN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-0,14</w:t>
            </w:r>
          </w:p>
        </w:tc>
        <w:tc>
          <w:tcPr>
            <w:tcW w:w="851"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545"/>
        </w:trPr>
        <w:tc>
          <w:tcPr>
            <w:tcW w:w="3657"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 xml:space="preserve">Minimālā VSAOI apmēra ieviešana un alternatīvo nodokļu (tostarp </w:t>
            </w:r>
            <w:proofErr w:type="spellStart"/>
            <w:r w:rsidRPr="00114F55">
              <w:rPr>
                <w:color w:val="2A2A2A"/>
                <w:sz w:val="20"/>
                <w:lang w:eastAsia="lv-LV"/>
              </w:rPr>
              <w:t>mikrouzņēmuma</w:t>
            </w:r>
            <w:proofErr w:type="spellEnd"/>
            <w:r w:rsidRPr="00114F55">
              <w:rPr>
                <w:color w:val="2A2A2A"/>
                <w:sz w:val="20"/>
                <w:lang w:eastAsia="lv-LV"/>
              </w:rPr>
              <w:t>) režīmu reorganizēšana</w:t>
            </w:r>
          </w:p>
        </w:tc>
        <w:tc>
          <w:tcPr>
            <w:tcW w:w="3686"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 xml:space="preserve">Minimālā VSAOI apmēra ieviešana un alternatīvo nodokļu (tostarp </w:t>
            </w:r>
            <w:proofErr w:type="spellStart"/>
            <w:r w:rsidRPr="00114F55">
              <w:rPr>
                <w:color w:val="2A2A2A"/>
                <w:sz w:val="20"/>
                <w:lang w:eastAsia="lv-LV"/>
              </w:rPr>
              <w:t>mikrouzņēmuma</w:t>
            </w:r>
            <w:proofErr w:type="spellEnd"/>
            <w:r w:rsidRPr="00114F55">
              <w:rPr>
                <w:color w:val="2A2A2A"/>
                <w:sz w:val="20"/>
                <w:lang w:eastAsia="lv-LV"/>
              </w:rPr>
              <w:t>) režīmu reorganizēšana</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IIN</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0,06</w:t>
            </w:r>
          </w:p>
        </w:tc>
        <w:tc>
          <w:tcPr>
            <w:tcW w:w="851"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114F55" w:rsidRPr="00114F55" w:rsidTr="0030524C">
        <w:trPr>
          <w:trHeight w:val="600"/>
        </w:trPr>
        <w:tc>
          <w:tcPr>
            <w:tcW w:w="3657" w:type="dxa"/>
            <w:vMerge/>
            <w:vAlign w:val="center"/>
            <w:hideMark/>
          </w:tcPr>
          <w:p w:rsidR="00114F55" w:rsidRPr="00114F55" w:rsidRDefault="00114F55" w:rsidP="00114F55">
            <w:pPr>
              <w:spacing w:after="0"/>
              <w:ind w:firstLine="0"/>
              <w:rPr>
                <w:color w:val="2A2A2A"/>
                <w:sz w:val="20"/>
                <w:lang w:eastAsia="lv-LV"/>
              </w:rPr>
            </w:pPr>
          </w:p>
        </w:tc>
        <w:tc>
          <w:tcPr>
            <w:tcW w:w="3686" w:type="dxa"/>
            <w:vMerge/>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SOC</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D.61</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0,20</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0,22</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519"/>
        </w:trPr>
        <w:tc>
          <w:tcPr>
            <w:tcW w:w="3657" w:type="dxa"/>
            <w:vMerge/>
            <w:vAlign w:val="center"/>
            <w:hideMark/>
          </w:tcPr>
          <w:p w:rsidR="00114F55" w:rsidRPr="00114F55" w:rsidRDefault="00114F55" w:rsidP="00114F55">
            <w:pPr>
              <w:spacing w:after="0"/>
              <w:ind w:firstLine="0"/>
              <w:rPr>
                <w:color w:val="2A2A2A"/>
                <w:sz w:val="20"/>
                <w:lang w:eastAsia="lv-LV"/>
              </w:rPr>
            </w:pPr>
          </w:p>
        </w:tc>
        <w:tc>
          <w:tcPr>
            <w:tcW w:w="3686" w:type="dxa"/>
            <w:vMerge/>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SOC veselības finansēšanai</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D.61</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114F55" w:rsidRPr="00114F55" w:rsidTr="0030524C">
        <w:trPr>
          <w:trHeight w:val="420"/>
        </w:trPr>
        <w:tc>
          <w:tcPr>
            <w:tcW w:w="3657" w:type="dxa"/>
            <w:vMerge w:val="restart"/>
            <w:shd w:val="clear" w:color="auto" w:fill="auto"/>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 xml:space="preserve">AN likmju tabakas izstrādājumiem un elektroniskajās cigaretēs izmantojamajiem šķidrumiem paaugstināšana </w:t>
            </w:r>
          </w:p>
        </w:tc>
        <w:tc>
          <w:tcPr>
            <w:tcW w:w="3686" w:type="dxa"/>
            <w:vMerge w:val="restart"/>
            <w:shd w:val="clear" w:color="auto" w:fill="auto"/>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 xml:space="preserve">AN likmju tabakas izstrādājumiem un elektroniskajās cigaretēs izmantojamajiem šķidrumiem paaugstināšana </w:t>
            </w:r>
          </w:p>
        </w:tc>
        <w:tc>
          <w:tcPr>
            <w:tcW w:w="1701" w:type="dxa"/>
            <w:shd w:val="clear" w:color="auto" w:fill="auto"/>
            <w:vAlign w:val="center"/>
            <w:hideMark/>
          </w:tcPr>
          <w:p w:rsidR="00114F55" w:rsidRPr="00114F55" w:rsidRDefault="00114F55" w:rsidP="00114F55">
            <w:pPr>
              <w:spacing w:after="0"/>
              <w:ind w:firstLine="0"/>
              <w:jc w:val="center"/>
              <w:rPr>
                <w:sz w:val="20"/>
                <w:lang w:eastAsia="lv-LV"/>
              </w:rPr>
            </w:pPr>
            <w:r w:rsidRPr="00114F55">
              <w:rPr>
                <w:sz w:val="20"/>
                <w:lang w:eastAsia="lv-LV"/>
              </w:rPr>
              <w:t>Akcīzes nodoklis</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D214</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r>
      <w:tr w:rsidR="00114F55" w:rsidRPr="00114F55" w:rsidTr="0030524C">
        <w:trPr>
          <w:trHeight w:val="600"/>
        </w:trPr>
        <w:tc>
          <w:tcPr>
            <w:tcW w:w="3657" w:type="dxa"/>
            <w:vMerge/>
            <w:vAlign w:val="center"/>
            <w:hideMark/>
          </w:tcPr>
          <w:p w:rsidR="00114F55" w:rsidRPr="00114F55" w:rsidRDefault="00114F55" w:rsidP="00114F55">
            <w:pPr>
              <w:spacing w:after="0"/>
              <w:ind w:firstLine="0"/>
              <w:rPr>
                <w:color w:val="2A2A2A"/>
                <w:sz w:val="20"/>
                <w:lang w:eastAsia="lv-LV"/>
              </w:rPr>
            </w:pPr>
          </w:p>
        </w:tc>
        <w:tc>
          <w:tcPr>
            <w:tcW w:w="3686" w:type="dxa"/>
            <w:vMerge/>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PVN</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D.2</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r>
      <w:tr w:rsidR="00226554" w:rsidRPr="00114F55" w:rsidTr="0030524C">
        <w:trPr>
          <w:trHeight w:val="719"/>
        </w:trPr>
        <w:tc>
          <w:tcPr>
            <w:tcW w:w="3657" w:type="dxa"/>
            <w:shd w:val="clear" w:color="auto" w:fill="DBE5F1" w:themeFill="accent1" w:themeFillTint="33"/>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Transportlīdzekļu ekspluatācijas nodokļa likmju izmaiņas</w:t>
            </w:r>
          </w:p>
        </w:tc>
        <w:tc>
          <w:tcPr>
            <w:tcW w:w="3686" w:type="dxa"/>
            <w:shd w:val="clear" w:color="auto" w:fill="DBE5F1" w:themeFill="accent1" w:themeFillTint="33"/>
            <w:vAlign w:val="center"/>
            <w:hideMark/>
          </w:tcPr>
          <w:p w:rsidR="00114F55" w:rsidRPr="00114F55" w:rsidRDefault="00114F55" w:rsidP="00114F55">
            <w:pPr>
              <w:spacing w:after="0"/>
              <w:ind w:firstLine="0"/>
              <w:rPr>
                <w:color w:val="000000"/>
                <w:sz w:val="20"/>
                <w:lang w:eastAsia="lv-LV"/>
              </w:rPr>
            </w:pPr>
            <w:r w:rsidRPr="00114F55">
              <w:rPr>
                <w:color w:val="000000"/>
                <w:sz w:val="20"/>
                <w:lang w:eastAsia="lv-LV"/>
              </w:rPr>
              <w:t>Transportlīdzekļu ekspluatācijas nodokļa likmju izmaiņas</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Transportlīdzekļa ekspluatācijas nodoklis</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r w:rsidR="00226554">
              <w:rPr>
                <w:color w:val="000000"/>
                <w:sz w:val="20"/>
                <w:lang w:eastAsia="lv-LV"/>
              </w:rPr>
              <w:t xml:space="preserve"> </w:t>
            </w:r>
            <w:r w:rsidRPr="00114F55">
              <w:rPr>
                <w:color w:val="000000"/>
                <w:sz w:val="20"/>
                <w:lang w:eastAsia="lv-LV"/>
              </w:rPr>
              <w:t>D.29</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uzkrājuma</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1"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c>
          <w:tcPr>
            <w:tcW w:w="850"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1307"/>
        </w:trPr>
        <w:tc>
          <w:tcPr>
            <w:tcW w:w="3657" w:type="dxa"/>
            <w:shd w:val="clear" w:color="auto" w:fill="auto"/>
            <w:vAlign w:val="center"/>
            <w:hideMark/>
          </w:tcPr>
          <w:p w:rsidR="00114F55" w:rsidRPr="00114F55" w:rsidRDefault="00114F55" w:rsidP="00BF0E38">
            <w:pPr>
              <w:spacing w:after="0"/>
              <w:ind w:firstLine="0"/>
              <w:rPr>
                <w:color w:val="000000"/>
                <w:sz w:val="20"/>
                <w:lang w:eastAsia="lv-LV"/>
              </w:rPr>
            </w:pPr>
            <w:r w:rsidRPr="00114F55">
              <w:rPr>
                <w:color w:val="000000"/>
                <w:sz w:val="20"/>
                <w:lang w:eastAsia="lv-LV"/>
              </w:rPr>
              <w:t>M</w:t>
            </w:r>
            <w:r w:rsidR="00BF0E38">
              <w:rPr>
                <w:color w:val="000000"/>
                <w:sz w:val="20"/>
                <w:lang w:eastAsia="lv-LV"/>
              </w:rPr>
              <w:t xml:space="preserve">K </w:t>
            </w:r>
            <w:r w:rsidRPr="00114F55">
              <w:rPr>
                <w:color w:val="000000"/>
                <w:sz w:val="20"/>
                <w:lang w:eastAsia="lv-LV"/>
              </w:rPr>
              <w:t>rīkojuma projekts “Par Satiksmes ministrijas ilgtermiņa saistībām valsts galvenā autoceļa “E67/A7 Ķekavas apvedceļš” publiskās un privātās partnerības projekta īstenošanai”.</w:t>
            </w:r>
          </w:p>
        </w:tc>
        <w:tc>
          <w:tcPr>
            <w:tcW w:w="3686" w:type="dxa"/>
            <w:shd w:val="clear" w:color="auto" w:fill="auto"/>
            <w:vAlign w:val="center"/>
            <w:hideMark/>
          </w:tcPr>
          <w:p w:rsidR="00114F55" w:rsidRPr="00114F55" w:rsidRDefault="00114F55" w:rsidP="00BF0E38">
            <w:pPr>
              <w:spacing w:after="0"/>
              <w:ind w:firstLine="0"/>
              <w:rPr>
                <w:color w:val="000000"/>
                <w:sz w:val="20"/>
                <w:lang w:eastAsia="lv-LV"/>
              </w:rPr>
            </w:pPr>
            <w:r w:rsidRPr="00114F55">
              <w:rPr>
                <w:color w:val="000000"/>
                <w:sz w:val="20"/>
                <w:lang w:eastAsia="lv-LV"/>
              </w:rPr>
              <w:t>M</w:t>
            </w:r>
            <w:r w:rsidR="00BF0E38">
              <w:rPr>
                <w:color w:val="000000"/>
                <w:sz w:val="20"/>
                <w:lang w:eastAsia="lv-LV"/>
              </w:rPr>
              <w:t xml:space="preserve">K </w:t>
            </w:r>
            <w:r w:rsidRPr="00114F55">
              <w:rPr>
                <w:color w:val="000000"/>
                <w:sz w:val="20"/>
                <w:lang w:eastAsia="lv-LV"/>
              </w:rPr>
              <w:t>rīkojuma projekts “Par Satiksmes ministrijas ilgtermiņa saistībām valsts galvenā autoceļa “E67/A7 Ķekavas apvedceļš” publiskās un privātās partnerības projekta īstenošanai”.</w:t>
            </w: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PVN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D.2</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0,03</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r>
      <w:tr w:rsidR="00226554" w:rsidRPr="00114F55" w:rsidTr="0030524C">
        <w:trPr>
          <w:trHeight w:val="516"/>
        </w:trPr>
        <w:tc>
          <w:tcPr>
            <w:tcW w:w="3657"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Pamatbudžetā prognozējamo ieņēmumu palielināšana no AS "Latvenergo" dividendēm</w:t>
            </w:r>
          </w:p>
        </w:tc>
        <w:tc>
          <w:tcPr>
            <w:tcW w:w="3686"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Pamatbudžetā prognozējamo ieņēmumu palielināšana no AS "Latvenergo" dividendēm</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proofErr w:type="spellStart"/>
            <w:r w:rsidRPr="00114F55">
              <w:rPr>
                <w:color w:val="000000"/>
                <w:sz w:val="20"/>
                <w:lang w:eastAsia="lv-LV"/>
              </w:rPr>
              <w:t>Nenodokļi</w:t>
            </w:r>
            <w:proofErr w:type="spellEnd"/>
            <w:r w:rsidRPr="00114F55">
              <w:rPr>
                <w:color w:val="000000"/>
                <w:sz w:val="20"/>
                <w:lang w:eastAsia="lv-LV"/>
              </w:rPr>
              <w:t xml:space="preserve"> </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D.421</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r>
      <w:tr w:rsidR="00226554" w:rsidRPr="00114F55" w:rsidTr="0030524C">
        <w:trPr>
          <w:trHeight w:val="600"/>
        </w:trPr>
        <w:tc>
          <w:tcPr>
            <w:tcW w:w="3657"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3686"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UIN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0,00</w:t>
            </w:r>
          </w:p>
        </w:tc>
      </w:tr>
      <w:tr w:rsidR="00226554" w:rsidRPr="00114F55" w:rsidTr="0030524C">
        <w:trPr>
          <w:trHeight w:val="915"/>
        </w:trPr>
        <w:tc>
          <w:tcPr>
            <w:tcW w:w="3657" w:type="dxa"/>
            <w:vMerge w:val="restart"/>
            <w:shd w:val="clear" w:color="auto" w:fill="auto"/>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AS "Latvenergo" dividenžu paredzēšana saskaņā ar konceptuālo ziņojumu "Kompleksi pasākumi obligātā iepirkuma komponentes problemātikas risināšanai un elektroenerģijas tirgus attīstībai"</w:t>
            </w:r>
          </w:p>
        </w:tc>
        <w:tc>
          <w:tcPr>
            <w:tcW w:w="3686" w:type="dxa"/>
            <w:vMerge w:val="restart"/>
            <w:shd w:val="clear" w:color="auto" w:fill="auto"/>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AS "Latvenergo" dividenžu paredzēšana saskaņā ar konceptuālo ziņojumu "Kompleksi pasākumi obligātā iepirkuma komponentes problemātikas risināšanai un elektroenerģijas tirgus attīstībai"</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proofErr w:type="spellStart"/>
            <w:r w:rsidRPr="00114F55">
              <w:rPr>
                <w:color w:val="000000"/>
                <w:sz w:val="20"/>
                <w:lang w:eastAsia="lv-LV"/>
              </w:rPr>
              <w:t>Nenodokļi</w:t>
            </w:r>
            <w:proofErr w:type="spellEnd"/>
            <w:r w:rsidRPr="00114F55">
              <w:rPr>
                <w:color w:val="000000"/>
                <w:sz w:val="20"/>
                <w:lang w:eastAsia="lv-LV"/>
              </w:rPr>
              <w:t xml:space="preserve"> </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D.421</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0,24</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-0,04</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-0,04</w:t>
            </w:r>
          </w:p>
        </w:tc>
      </w:tr>
      <w:tr w:rsidR="00226554" w:rsidRPr="00114F55" w:rsidTr="0030524C">
        <w:trPr>
          <w:trHeight w:val="600"/>
        </w:trPr>
        <w:tc>
          <w:tcPr>
            <w:tcW w:w="3657"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3686"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UIN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0,06</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r>
      <w:tr w:rsidR="00226554" w:rsidRPr="00114F55" w:rsidTr="0030524C">
        <w:trPr>
          <w:trHeight w:val="661"/>
        </w:trPr>
        <w:tc>
          <w:tcPr>
            <w:tcW w:w="3657"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Pamatbudžetā prognozējamo ieņēmumu palielināšana no AS "Latvijas valsts meži" dividendēm</w:t>
            </w:r>
          </w:p>
        </w:tc>
        <w:tc>
          <w:tcPr>
            <w:tcW w:w="3686" w:type="dxa"/>
            <w:vMerge w:val="restart"/>
            <w:shd w:val="clear" w:color="auto" w:fill="DBE5F1" w:themeFill="accent1" w:themeFillTint="33"/>
            <w:vAlign w:val="center"/>
            <w:hideMark/>
          </w:tcPr>
          <w:p w:rsidR="00114F55" w:rsidRPr="00114F55" w:rsidRDefault="00114F55" w:rsidP="00114F55">
            <w:pPr>
              <w:spacing w:after="0"/>
              <w:ind w:firstLine="0"/>
              <w:rPr>
                <w:color w:val="2A2A2A"/>
                <w:sz w:val="20"/>
                <w:lang w:eastAsia="lv-LV"/>
              </w:rPr>
            </w:pPr>
            <w:r w:rsidRPr="00114F55">
              <w:rPr>
                <w:color w:val="2A2A2A"/>
                <w:sz w:val="20"/>
                <w:lang w:eastAsia="lv-LV"/>
              </w:rPr>
              <w:t>Pamatbudžetā prognozējamo ieņēmumu palielināšana no AS "Latvijas valsts meži" dividendēm</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proofErr w:type="spellStart"/>
            <w:r w:rsidRPr="00114F55">
              <w:rPr>
                <w:color w:val="000000"/>
                <w:sz w:val="20"/>
                <w:lang w:eastAsia="lv-LV"/>
              </w:rPr>
              <w:t>Nenodokļi</w:t>
            </w:r>
            <w:proofErr w:type="spellEnd"/>
            <w:r w:rsidRPr="00114F55">
              <w:rPr>
                <w:color w:val="000000"/>
                <w:sz w:val="20"/>
                <w:lang w:eastAsia="lv-LV"/>
              </w:rPr>
              <w:t xml:space="preserve"> </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D.421</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0,05</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-0,04</w:t>
            </w:r>
          </w:p>
        </w:tc>
        <w:tc>
          <w:tcPr>
            <w:tcW w:w="850" w:type="dxa"/>
            <w:shd w:val="clear" w:color="auto" w:fill="DBE5F1" w:themeFill="accent1" w:themeFillTint="33"/>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600"/>
        </w:trPr>
        <w:tc>
          <w:tcPr>
            <w:tcW w:w="3657"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3686" w:type="dxa"/>
            <w:vMerge/>
            <w:shd w:val="clear" w:color="auto" w:fill="auto"/>
            <w:vAlign w:val="center"/>
            <w:hideMark/>
          </w:tcPr>
          <w:p w:rsidR="00114F55" w:rsidRPr="00114F55" w:rsidRDefault="00114F55" w:rsidP="00114F55">
            <w:pPr>
              <w:spacing w:after="0"/>
              <w:ind w:firstLine="0"/>
              <w:rPr>
                <w:color w:val="2A2A2A"/>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UIN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600"/>
        </w:trPr>
        <w:tc>
          <w:tcPr>
            <w:tcW w:w="3657" w:type="dxa"/>
            <w:vMerge w:val="restart"/>
            <w:shd w:val="clear" w:color="auto" w:fill="auto"/>
            <w:vAlign w:val="center"/>
            <w:hideMark/>
          </w:tcPr>
          <w:p w:rsidR="00114F55" w:rsidRPr="00114F55" w:rsidRDefault="00114F55" w:rsidP="00114F55">
            <w:pPr>
              <w:spacing w:after="0"/>
              <w:ind w:firstLine="0"/>
              <w:rPr>
                <w:sz w:val="20"/>
                <w:lang w:eastAsia="lv-LV"/>
              </w:rPr>
            </w:pPr>
            <w:r w:rsidRPr="00114F55">
              <w:rPr>
                <w:sz w:val="20"/>
                <w:lang w:eastAsia="lv-LV"/>
              </w:rPr>
              <w:t>Atgriezeniskai</w:t>
            </w:r>
            <w:r w:rsidR="00BA1DFE">
              <w:rPr>
                <w:sz w:val="20"/>
                <w:lang w:eastAsia="lv-LV"/>
              </w:rPr>
              <w:t>s efekts no algu palielināšanas, saistībā ar MK lēmumiem palielināt atalgojumu veselības nozarē strādājošajiem un pedagogiem</w:t>
            </w:r>
          </w:p>
        </w:tc>
        <w:tc>
          <w:tcPr>
            <w:tcW w:w="3686" w:type="dxa"/>
            <w:vMerge w:val="restart"/>
            <w:shd w:val="clear" w:color="auto" w:fill="auto"/>
            <w:vAlign w:val="center"/>
            <w:hideMark/>
          </w:tcPr>
          <w:p w:rsidR="00114F55" w:rsidRPr="00114F55" w:rsidRDefault="00114F55" w:rsidP="00114F55">
            <w:pPr>
              <w:spacing w:after="0"/>
              <w:ind w:firstLine="0"/>
              <w:rPr>
                <w:sz w:val="20"/>
                <w:lang w:eastAsia="lv-LV"/>
              </w:rPr>
            </w:pPr>
            <w:r w:rsidRPr="00114F55">
              <w:rPr>
                <w:sz w:val="20"/>
                <w:lang w:eastAsia="lv-LV"/>
              </w:rPr>
              <w:t>Atgriezeniskais efekts no algu palielināšanas</w:t>
            </w:r>
            <w:r w:rsidR="00BA1DFE">
              <w:rPr>
                <w:sz w:val="20"/>
                <w:lang w:eastAsia="lv-LV"/>
              </w:rPr>
              <w:t>, saistībā ar MK lēmumiem palielināt atalgojumu veselības nozarē strādājošajiem un pedagogiem</w:t>
            </w:r>
            <w:r w:rsidRPr="00114F55">
              <w:rPr>
                <w:sz w:val="20"/>
                <w:lang w:eastAsia="lv-LV"/>
              </w:rPr>
              <w:t xml:space="preserve"> </w:t>
            </w: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IIN</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D.5</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0,11</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r>
      <w:tr w:rsidR="00226554" w:rsidRPr="00114F55" w:rsidTr="0030524C">
        <w:trPr>
          <w:trHeight w:val="600"/>
        </w:trPr>
        <w:tc>
          <w:tcPr>
            <w:tcW w:w="3657" w:type="dxa"/>
            <w:vMerge/>
            <w:shd w:val="clear" w:color="auto" w:fill="auto"/>
            <w:vAlign w:val="center"/>
            <w:hideMark/>
          </w:tcPr>
          <w:p w:rsidR="00114F55" w:rsidRPr="00114F55" w:rsidRDefault="00114F55" w:rsidP="00114F55">
            <w:pPr>
              <w:spacing w:after="0"/>
              <w:ind w:firstLine="0"/>
              <w:rPr>
                <w:sz w:val="20"/>
                <w:lang w:eastAsia="lv-LV"/>
              </w:rPr>
            </w:pPr>
          </w:p>
        </w:tc>
        <w:tc>
          <w:tcPr>
            <w:tcW w:w="3686" w:type="dxa"/>
            <w:vMerge/>
            <w:shd w:val="clear" w:color="auto" w:fill="auto"/>
            <w:vAlign w:val="center"/>
            <w:hideMark/>
          </w:tcPr>
          <w:p w:rsidR="00114F55" w:rsidRPr="00114F55" w:rsidRDefault="00114F55" w:rsidP="00114F55">
            <w:pPr>
              <w:spacing w:after="0"/>
              <w:ind w:firstLine="0"/>
              <w:rPr>
                <w:sz w:val="20"/>
                <w:lang w:eastAsia="lv-LV"/>
              </w:rPr>
            </w:pP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PVN</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D.2</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0,09</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0,01</w:t>
            </w:r>
          </w:p>
        </w:tc>
      </w:tr>
      <w:tr w:rsidR="00226554" w:rsidRPr="00114F55" w:rsidTr="0030524C">
        <w:trPr>
          <w:trHeight w:val="600"/>
        </w:trPr>
        <w:tc>
          <w:tcPr>
            <w:tcW w:w="3657" w:type="dxa"/>
            <w:vMerge/>
            <w:shd w:val="clear" w:color="auto" w:fill="auto"/>
            <w:vAlign w:val="center"/>
            <w:hideMark/>
          </w:tcPr>
          <w:p w:rsidR="00114F55" w:rsidRPr="00114F55" w:rsidRDefault="00114F55" w:rsidP="00114F55">
            <w:pPr>
              <w:spacing w:after="0"/>
              <w:ind w:firstLine="0"/>
              <w:rPr>
                <w:sz w:val="20"/>
                <w:lang w:eastAsia="lv-LV"/>
              </w:rPr>
            </w:pPr>
          </w:p>
        </w:tc>
        <w:tc>
          <w:tcPr>
            <w:tcW w:w="3686" w:type="dxa"/>
            <w:vMerge/>
            <w:shd w:val="clear" w:color="auto" w:fill="auto"/>
            <w:vAlign w:val="center"/>
            <w:hideMark/>
          </w:tcPr>
          <w:p w:rsidR="00114F55" w:rsidRPr="00114F55" w:rsidRDefault="00114F55" w:rsidP="00114F55">
            <w:pPr>
              <w:spacing w:after="0"/>
              <w:ind w:firstLine="0"/>
              <w:rPr>
                <w:sz w:val="20"/>
                <w:lang w:eastAsia="lv-LV"/>
              </w:rPr>
            </w:pPr>
          </w:p>
        </w:tc>
        <w:tc>
          <w:tcPr>
            <w:tcW w:w="1701"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SOC</w:t>
            </w:r>
          </w:p>
        </w:tc>
        <w:tc>
          <w:tcPr>
            <w:tcW w:w="850"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D.61</w:t>
            </w:r>
          </w:p>
        </w:tc>
        <w:tc>
          <w:tcPr>
            <w:tcW w:w="1134"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DBE5F1" w:themeFill="accent1" w:themeFillTint="33"/>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0,19</w:t>
            </w:r>
          </w:p>
        </w:tc>
        <w:tc>
          <w:tcPr>
            <w:tcW w:w="851"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c>
          <w:tcPr>
            <w:tcW w:w="850" w:type="dxa"/>
            <w:shd w:val="clear" w:color="auto" w:fill="DBE5F1" w:themeFill="accent1" w:themeFillTint="33"/>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0,02</w:t>
            </w:r>
          </w:p>
        </w:tc>
      </w:tr>
      <w:tr w:rsidR="00226554" w:rsidRPr="00114F55" w:rsidTr="0030524C">
        <w:trPr>
          <w:trHeight w:val="562"/>
        </w:trPr>
        <w:tc>
          <w:tcPr>
            <w:tcW w:w="3657" w:type="dxa"/>
            <w:shd w:val="clear" w:color="auto" w:fill="auto"/>
            <w:vAlign w:val="center"/>
            <w:hideMark/>
          </w:tcPr>
          <w:p w:rsidR="00114F55" w:rsidRPr="00114F55" w:rsidRDefault="00114F55" w:rsidP="00114F55">
            <w:pPr>
              <w:spacing w:after="0"/>
              <w:ind w:firstLine="0"/>
              <w:rPr>
                <w:sz w:val="20"/>
                <w:lang w:eastAsia="lv-LV"/>
              </w:rPr>
            </w:pPr>
            <w:r w:rsidRPr="00114F55">
              <w:rPr>
                <w:sz w:val="20"/>
                <w:lang w:eastAsia="lv-LV"/>
              </w:rPr>
              <w:lastRenderedPageBreak/>
              <w:t>Kompensācijas neparedzēšana Rīgas pašvaldībai saistībā ar tās kontrolētās kapitālsabiedrības “Rīgas satiksme” radīto fiskālo ietekmi uz vispārējās valdības budžeta bilanci (valsts budžeta ieņēmumu klasifikācijas kods 12.3.9.9.)</w:t>
            </w:r>
          </w:p>
        </w:tc>
        <w:tc>
          <w:tcPr>
            <w:tcW w:w="3686" w:type="dxa"/>
            <w:shd w:val="clear" w:color="auto" w:fill="auto"/>
            <w:vAlign w:val="center"/>
            <w:hideMark/>
          </w:tcPr>
          <w:p w:rsidR="00114F55" w:rsidRPr="00114F55" w:rsidRDefault="00114F55" w:rsidP="00114F55">
            <w:pPr>
              <w:spacing w:after="0"/>
              <w:ind w:firstLine="0"/>
              <w:rPr>
                <w:sz w:val="20"/>
                <w:lang w:eastAsia="lv-LV"/>
              </w:rPr>
            </w:pPr>
            <w:r w:rsidRPr="00114F55">
              <w:rPr>
                <w:sz w:val="20"/>
                <w:lang w:eastAsia="lv-LV"/>
              </w:rPr>
              <w:t>Kompensācijas neparedzēšana Rīgas pašvaldībai saistībā ar tās kontrolētās kapitālsabiedrības “Rīgas satiksme” radīto fiskālo ietekmi uz vispārējās valdības budžeta bilanci (valsts budžeta ieņēmumu klasifikācijas kods 12.3.9.9.)</w:t>
            </w:r>
          </w:p>
        </w:tc>
        <w:tc>
          <w:tcPr>
            <w:tcW w:w="1701" w:type="dxa"/>
            <w:shd w:val="clear" w:color="auto" w:fill="auto"/>
            <w:vAlign w:val="center"/>
            <w:hideMark/>
          </w:tcPr>
          <w:p w:rsidR="00114F55" w:rsidRPr="00114F55" w:rsidRDefault="00114F55" w:rsidP="00114F55">
            <w:pPr>
              <w:spacing w:after="0"/>
              <w:ind w:firstLine="0"/>
              <w:jc w:val="center"/>
              <w:rPr>
                <w:color w:val="000000"/>
                <w:sz w:val="20"/>
                <w:lang w:eastAsia="lv-LV"/>
              </w:rPr>
            </w:pPr>
            <w:proofErr w:type="spellStart"/>
            <w:r w:rsidRPr="00114F55">
              <w:rPr>
                <w:color w:val="000000"/>
                <w:sz w:val="20"/>
                <w:lang w:eastAsia="lv-LV"/>
              </w:rPr>
              <w:t>Nenodokļi</w:t>
            </w:r>
            <w:proofErr w:type="spellEnd"/>
            <w:r w:rsidRPr="00114F55">
              <w:rPr>
                <w:color w:val="000000"/>
                <w:sz w:val="20"/>
                <w:lang w:eastAsia="lv-LV"/>
              </w:rPr>
              <w:t xml:space="preserve"> </w:t>
            </w:r>
          </w:p>
        </w:tc>
        <w:tc>
          <w:tcPr>
            <w:tcW w:w="850"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P.13</w:t>
            </w:r>
          </w:p>
        </w:tc>
        <w:tc>
          <w:tcPr>
            <w:tcW w:w="1134"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Naudas plūsmas</w:t>
            </w:r>
          </w:p>
        </w:tc>
        <w:tc>
          <w:tcPr>
            <w:tcW w:w="1418" w:type="dxa"/>
            <w:shd w:val="clear" w:color="auto" w:fill="auto"/>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Daļēji pieņemts</w:t>
            </w:r>
          </w:p>
        </w:tc>
        <w:tc>
          <w:tcPr>
            <w:tcW w:w="850"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-0,03</w:t>
            </w:r>
          </w:p>
        </w:tc>
        <w:tc>
          <w:tcPr>
            <w:tcW w:w="851" w:type="dxa"/>
            <w:shd w:val="clear" w:color="auto" w:fill="auto"/>
            <w:noWrap/>
            <w:vAlign w:val="center"/>
            <w:hideMark/>
          </w:tcPr>
          <w:p w:rsidR="00114F55" w:rsidRPr="00114F55" w:rsidRDefault="00783741" w:rsidP="00114F55">
            <w:pPr>
              <w:spacing w:after="0"/>
              <w:ind w:firstLine="0"/>
              <w:jc w:val="center"/>
              <w:rPr>
                <w:color w:val="000000"/>
                <w:sz w:val="20"/>
                <w:lang w:eastAsia="lv-LV"/>
              </w:rPr>
            </w:pPr>
            <w:r>
              <w:rPr>
                <w:color w:val="000000"/>
                <w:sz w:val="20"/>
                <w:lang w:eastAsia="lv-LV"/>
              </w:rPr>
              <w:t>0,03</w:t>
            </w:r>
          </w:p>
        </w:tc>
        <w:tc>
          <w:tcPr>
            <w:tcW w:w="850" w:type="dxa"/>
            <w:shd w:val="clear" w:color="auto" w:fill="auto"/>
            <w:noWrap/>
            <w:vAlign w:val="center"/>
            <w:hideMark/>
          </w:tcPr>
          <w:p w:rsidR="00114F55" w:rsidRPr="00114F55" w:rsidRDefault="00114F55" w:rsidP="00114F55">
            <w:pPr>
              <w:spacing w:after="0"/>
              <w:ind w:firstLine="0"/>
              <w:jc w:val="center"/>
              <w:rPr>
                <w:color w:val="000000"/>
                <w:sz w:val="20"/>
                <w:lang w:eastAsia="lv-LV"/>
              </w:rPr>
            </w:pPr>
            <w:r w:rsidRPr="00114F55">
              <w:rPr>
                <w:color w:val="000000"/>
                <w:sz w:val="20"/>
                <w:lang w:eastAsia="lv-LV"/>
              </w:rPr>
              <w:t xml:space="preserve"> </w:t>
            </w:r>
          </w:p>
        </w:tc>
      </w:tr>
      <w:tr w:rsidR="00226554" w:rsidRPr="00114F55" w:rsidTr="0030524C">
        <w:trPr>
          <w:trHeight w:val="407"/>
        </w:trPr>
        <w:tc>
          <w:tcPr>
            <w:tcW w:w="3657" w:type="dxa"/>
            <w:shd w:val="clear" w:color="auto" w:fill="DBE5F1" w:themeFill="accent1" w:themeFillTint="33"/>
            <w:vAlign w:val="center"/>
          </w:tcPr>
          <w:p w:rsidR="005A6E48" w:rsidRPr="00114F55" w:rsidRDefault="005A6E48" w:rsidP="005A6E48">
            <w:pPr>
              <w:spacing w:after="0"/>
              <w:ind w:firstLine="0"/>
              <w:jc w:val="left"/>
              <w:rPr>
                <w:color w:val="000000"/>
                <w:sz w:val="20"/>
                <w:lang w:eastAsia="lv-LV"/>
              </w:rPr>
            </w:pPr>
            <w:r>
              <w:rPr>
                <w:color w:val="000000"/>
                <w:sz w:val="20"/>
              </w:rPr>
              <w:t>Citi nodokļu pasākumi</w:t>
            </w:r>
          </w:p>
        </w:tc>
        <w:tc>
          <w:tcPr>
            <w:tcW w:w="3686" w:type="dxa"/>
            <w:shd w:val="clear" w:color="auto" w:fill="DBE5F1" w:themeFill="accent1" w:themeFillTint="33"/>
            <w:vAlign w:val="center"/>
          </w:tcPr>
          <w:p w:rsidR="005A6E48" w:rsidRPr="00114F55" w:rsidRDefault="005A6E48" w:rsidP="005A6E48">
            <w:pPr>
              <w:spacing w:after="0"/>
              <w:ind w:firstLine="0"/>
              <w:rPr>
                <w:sz w:val="20"/>
                <w:lang w:eastAsia="lv-LV"/>
              </w:rPr>
            </w:pPr>
          </w:p>
        </w:tc>
        <w:tc>
          <w:tcPr>
            <w:tcW w:w="1701" w:type="dxa"/>
            <w:shd w:val="clear" w:color="auto" w:fill="DBE5F1" w:themeFill="accent1" w:themeFillTint="33"/>
            <w:vAlign w:val="center"/>
          </w:tcPr>
          <w:p w:rsidR="005A6E48" w:rsidRPr="00114F55" w:rsidRDefault="005A6E48" w:rsidP="005A6E48">
            <w:pPr>
              <w:spacing w:after="0"/>
              <w:ind w:firstLine="0"/>
              <w:jc w:val="center"/>
              <w:rPr>
                <w:color w:val="000000"/>
                <w:sz w:val="20"/>
                <w:lang w:eastAsia="lv-LV"/>
              </w:rPr>
            </w:pPr>
          </w:p>
        </w:tc>
        <w:tc>
          <w:tcPr>
            <w:tcW w:w="850" w:type="dxa"/>
            <w:shd w:val="clear" w:color="auto" w:fill="DBE5F1" w:themeFill="accent1" w:themeFillTint="33"/>
            <w:vAlign w:val="center"/>
          </w:tcPr>
          <w:p w:rsidR="005A6E48" w:rsidRPr="00114F55" w:rsidRDefault="005A6E48" w:rsidP="005A6E48">
            <w:pPr>
              <w:spacing w:after="0"/>
              <w:ind w:firstLine="0"/>
              <w:jc w:val="center"/>
              <w:rPr>
                <w:color w:val="000000"/>
                <w:sz w:val="20"/>
                <w:lang w:eastAsia="lv-LV"/>
              </w:rPr>
            </w:pPr>
          </w:p>
        </w:tc>
        <w:tc>
          <w:tcPr>
            <w:tcW w:w="1134" w:type="dxa"/>
            <w:shd w:val="clear" w:color="auto" w:fill="DBE5F1" w:themeFill="accent1" w:themeFillTint="33"/>
            <w:vAlign w:val="center"/>
          </w:tcPr>
          <w:p w:rsidR="005A6E48" w:rsidRPr="00114F55" w:rsidRDefault="005A6E48" w:rsidP="005A6E48">
            <w:pPr>
              <w:spacing w:after="0"/>
              <w:ind w:firstLine="0"/>
              <w:jc w:val="center"/>
              <w:rPr>
                <w:color w:val="000000"/>
                <w:sz w:val="20"/>
                <w:lang w:eastAsia="lv-LV"/>
              </w:rPr>
            </w:pPr>
          </w:p>
        </w:tc>
        <w:tc>
          <w:tcPr>
            <w:tcW w:w="1418" w:type="dxa"/>
            <w:shd w:val="clear" w:color="auto" w:fill="DBE5F1" w:themeFill="accent1" w:themeFillTint="33"/>
            <w:vAlign w:val="center"/>
          </w:tcPr>
          <w:p w:rsidR="005A6E48" w:rsidRPr="00114F55" w:rsidRDefault="005A6E48" w:rsidP="005A6E48">
            <w:pPr>
              <w:spacing w:after="0"/>
              <w:ind w:firstLine="0"/>
              <w:jc w:val="center"/>
              <w:rPr>
                <w:color w:val="000000"/>
                <w:sz w:val="20"/>
                <w:lang w:eastAsia="lv-LV"/>
              </w:rPr>
            </w:pPr>
          </w:p>
        </w:tc>
        <w:tc>
          <w:tcPr>
            <w:tcW w:w="850" w:type="dxa"/>
            <w:shd w:val="clear" w:color="auto" w:fill="DBE5F1" w:themeFill="accent1" w:themeFillTint="33"/>
            <w:noWrap/>
            <w:vAlign w:val="center"/>
          </w:tcPr>
          <w:p w:rsidR="005A6E48" w:rsidRPr="00114F55" w:rsidRDefault="00783741" w:rsidP="005A6E48">
            <w:pPr>
              <w:spacing w:after="0"/>
              <w:ind w:firstLine="0"/>
              <w:jc w:val="center"/>
              <w:rPr>
                <w:color w:val="000000"/>
                <w:sz w:val="20"/>
                <w:lang w:eastAsia="lv-LV"/>
              </w:rPr>
            </w:pPr>
            <w:r>
              <w:rPr>
                <w:b/>
                <w:bCs/>
                <w:color w:val="000000"/>
                <w:sz w:val="20"/>
              </w:rPr>
              <w:t>0,01</w:t>
            </w:r>
          </w:p>
        </w:tc>
        <w:tc>
          <w:tcPr>
            <w:tcW w:w="851" w:type="dxa"/>
            <w:shd w:val="clear" w:color="auto" w:fill="DBE5F1" w:themeFill="accent1" w:themeFillTint="33"/>
            <w:noWrap/>
            <w:vAlign w:val="center"/>
          </w:tcPr>
          <w:p w:rsidR="005A6E48" w:rsidRPr="00114F55" w:rsidRDefault="00783741" w:rsidP="005A6E48">
            <w:pPr>
              <w:spacing w:after="0"/>
              <w:ind w:firstLine="0"/>
              <w:jc w:val="center"/>
              <w:rPr>
                <w:color w:val="000000"/>
                <w:sz w:val="20"/>
                <w:lang w:eastAsia="lv-LV"/>
              </w:rPr>
            </w:pPr>
            <w:r>
              <w:rPr>
                <w:b/>
                <w:bCs/>
                <w:color w:val="000000"/>
                <w:sz w:val="20"/>
              </w:rPr>
              <w:t>0,01</w:t>
            </w:r>
          </w:p>
        </w:tc>
        <w:tc>
          <w:tcPr>
            <w:tcW w:w="850" w:type="dxa"/>
            <w:shd w:val="clear" w:color="auto" w:fill="DBE5F1" w:themeFill="accent1" w:themeFillTint="33"/>
            <w:noWrap/>
            <w:vAlign w:val="center"/>
          </w:tcPr>
          <w:p w:rsidR="005A6E48" w:rsidRPr="00114F55" w:rsidRDefault="00783741" w:rsidP="005A6E48">
            <w:pPr>
              <w:spacing w:after="0"/>
              <w:ind w:firstLine="0"/>
              <w:jc w:val="center"/>
              <w:rPr>
                <w:color w:val="000000"/>
                <w:sz w:val="20"/>
                <w:lang w:eastAsia="lv-LV"/>
              </w:rPr>
            </w:pPr>
            <w:r>
              <w:rPr>
                <w:b/>
                <w:bCs/>
                <w:color w:val="000000"/>
                <w:sz w:val="20"/>
              </w:rPr>
              <w:t>0,01</w:t>
            </w:r>
          </w:p>
        </w:tc>
      </w:tr>
      <w:tr w:rsidR="005A6E48" w:rsidRPr="00114F55" w:rsidTr="0030524C">
        <w:trPr>
          <w:trHeight w:val="343"/>
        </w:trPr>
        <w:tc>
          <w:tcPr>
            <w:tcW w:w="3657" w:type="dxa"/>
            <w:shd w:val="clear" w:color="auto" w:fill="auto"/>
            <w:vAlign w:val="center"/>
          </w:tcPr>
          <w:p w:rsidR="005A6E48" w:rsidRPr="00114F55" w:rsidRDefault="005A6E48" w:rsidP="005A6E48">
            <w:pPr>
              <w:spacing w:after="0"/>
              <w:ind w:firstLine="0"/>
              <w:jc w:val="left"/>
              <w:rPr>
                <w:sz w:val="20"/>
                <w:lang w:eastAsia="lv-LV"/>
              </w:rPr>
            </w:pPr>
            <w:r w:rsidRPr="00114F55">
              <w:rPr>
                <w:sz w:val="20"/>
                <w:lang w:eastAsia="lv-LV"/>
              </w:rPr>
              <w:t xml:space="preserve">Citi </w:t>
            </w:r>
            <w:proofErr w:type="spellStart"/>
            <w:r w:rsidRPr="00114F55">
              <w:rPr>
                <w:sz w:val="20"/>
                <w:lang w:eastAsia="lv-LV"/>
              </w:rPr>
              <w:t>nenodokļu</w:t>
            </w:r>
            <w:proofErr w:type="spellEnd"/>
            <w:r w:rsidRPr="00114F55">
              <w:rPr>
                <w:sz w:val="20"/>
                <w:lang w:eastAsia="lv-LV"/>
              </w:rPr>
              <w:t xml:space="preserve"> pasākumi</w:t>
            </w:r>
          </w:p>
        </w:tc>
        <w:tc>
          <w:tcPr>
            <w:tcW w:w="3686" w:type="dxa"/>
            <w:shd w:val="clear" w:color="auto" w:fill="auto"/>
            <w:vAlign w:val="center"/>
          </w:tcPr>
          <w:p w:rsidR="005A6E48" w:rsidRPr="00114F55" w:rsidRDefault="005A6E48" w:rsidP="005A6E48">
            <w:pPr>
              <w:spacing w:after="0"/>
              <w:ind w:firstLine="0"/>
              <w:rPr>
                <w:sz w:val="20"/>
                <w:lang w:eastAsia="lv-LV"/>
              </w:rPr>
            </w:pPr>
          </w:p>
        </w:tc>
        <w:tc>
          <w:tcPr>
            <w:tcW w:w="1701" w:type="dxa"/>
            <w:shd w:val="clear" w:color="auto" w:fill="auto"/>
            <w:vAlign w:val="center"/>
          </w:tcPr>
          <w:p w:rsidR="005A6E48" w:rsidRPr="00114F55" w:rsidRDefault="005A6E48" w:rsidP="005A6E48">
            <w:pPr>
              <w:spacing w:after="0"/>
              <w:ind w:firstLine="0"/>
              <w:jc w:val="center"/>
              <w:rPr>
                <w:color w:val="000000"/>
                <w:sz w:val="20"/>
                <w:lang w:eastAsia="lv-LV"/>
              </w:rPr>
            </w:pPr>
          </w:p>
        </w:tc>
        <w:tc>
          <w:tcPr>
            <w:tcW w:w="850" w:type="dxa"/>
            <w:shd w:val="clear" w:color="auto" w:fill="auto"/>
            <w:vAlign w:val="center"/>
          </w:tcPr>
          <w:p w:rsidR="005A6E48" w:rsidRPr="00114F55" w:rsidRDefault="005A6E48" w:rsidP="005A6E48">
            <w:pPr>
              <w:spacing w:after="0"/>
              <w:ind w:firstLine="0"/>
              <w:jc w:val="center"/>
              <w:rPr>
                <w:color w:val="000000"/>
                <w:sz w:val="20"/>
                <w:lang w:eastAsia="lv-LV"/>
              </w:rPr>
            </w:pPr>
          </w:p>
        </w:tc>
        <w:tc>
          <w:tcPr>
            <w:tcW w:w="1134" w:type="dxa"/>
            <w:shd w:val="clear" w:color="auto" w:fill="auto"/>
            <w:vAlign w:val="center"/>
          </w:tcPr>
          <w:p w:rsidR="005A6E48" w:rsidRPr="00114F55" w:rsidRDefault="005A6E48" w:rsidP="005A6E48">
            <w:pPr>
              <w:spacing w:after="0"/>
              <w:ind w:firstLine="0"/>
              <w:jc w:val="center"/>
              <w:rPr>
                <w:color w:val="000000"/>
                <w:sz w:val="20"/>
                <w:lang w:eastAsia="lv-LV"/>
              </w:rPr>
            </w:pPr>
          </w:p>
        </w:tc>
        <w:tc>
          <w:tcPr>
            <w:tcW w:w="1418" w:type="dxa"/>
            <w:shd w:val="clear" w:color="auto" w:fill="auto"/>
            <w:vAlign w:val="center"/>
          </w:tcPr>
          <w:p w:rsidR="005A6E48" w:rsidRPr="00114F55" w:rsidRDefault="005A6E48" w:rsidP="005A6E48">
            <w:pPr>
              <w:spacing w:after="0"/>
              <w:ind w:firstLine="0"/>
              <w:jc w:val="center"/>
              <w:rPr>
                <w:color w:val="000000"/>
                <w:sz w:val="20"/>
                <w:lang w:eastAsia="lv-LV"/>
              </w:rPr>
            </w:pPr>
          </w:p>
        </w:tc>
        <w:tc>
          <w:tcPr>
            <w:tcW w:w="850" w:type="dxa"/>
            <w:shd w:val="clear" w:color="auto" w:fill="auto"/>
            <w:noWrap/>
            <w:vAlign w:val="center"/>
          </w:tcPr>
          <w:p w:rsidR="005A6E48" w:rsidRPr="00114F55" w:rsidRDefault="00783741" w:rsidP="005A6E48">
            <w:pPr>
              <w:spacing w:after="0"/>
              <w:ind w:firstLine="0"/>
              <w:jc w:val="center"/>
              <w:rPr>
                <w:color w:val="000000"/>
                <w:sz w:val="20"/>
                <w:lang w:eastAsia="lv-LV"/>
              </w:rPr>
            </w:pPr>
            <w:r>
              <w:rPr>
                <w:b/>
                <w:bCs/>
                <w:color w:val="000000"/>
                <w:sz w:val="20"/>
              </w:rPr>
              <w:t>0,00</w:t>
            </w:r>
          </w:p>
        </w:tc>
        <w:tc>
          <w:tcPr>
            <w:tcW w:w="851" w:type="dxa"/>
            <w:shd w:val="clear" w:color="auto" w:fill="auto"/>
            <w:noWrap/>
            <w:vAlign w:val="center"/>
          </w:tcPr>
          <w:p w:rsidR="005A6E48" w:rsidRPr="00114F55" w:rsidRDefault="00783741" w:rsidP="005A6E48">
            <w:pPr>
              <w:spacing w:after="0"/>
              <w:ind w:firstLine="0"/>
              <w:jc w:val="center"/>
              <w:rPr>
                <w:color w:val="000000"/>
                <w:sz w:val="20"/>
                <w:lang w:eastAsia="lv-LV"/>
              </w:rPr>
            </w:pPr>
            <w:r>
              <w:rPr>
                <w:b/>
                <w:bCs/>
                <w:color w:val="000000"/>
                <w:sz w:val="20"/>
              </w:rPr>
              <w:t>0,00</w:t>
            </w:r>
          </w:p>
        </w:tc>
        <w:tc>
          <w:tcPr>
            <w:tcW w:w="850" w:type="dxa"/>
            <w:shd w:val="clear" w:color="auto" w:fill="auto"/>
            <w:noWrap/>
            <w:vAlign w:val="center"/>
          </w:tcPr>
          <w:p w:rsidR="005A6E48" w:rsidRPr="00114F55" w:rsidRDefault="00783741" w:rsidP="005A6E48">
            <w:pPr>
              <w:spacing w:after="0"/>
              <w:ind w:firstLine="0"/>
              <w:jc w:val="center"/>
              <w:rPr>
                <w:color w:val="000000"/>
                <w:sz w:val="20"/>
                <w:lang w:eastAsia="lv-LV"/>
              </w:rPr>
            </w:pPr>
            <w:r>
              <w:rPr>
                <w:b/>
                <w:bCs/>
                <w:color w:val="000000"/>
                <w:sz w:val="20"/>
              </w:rPr>
              <w:t>0,00</w:t>
            </w:r>
          </w:p>
        </w:tc>
      </w:tr>
      <w:tr w:rsidR="005A6E48" w:rsidRPr="00114F55" w:rsidTr="0030524C">
        <w:trPr>
          <w:trHeight w:val="343"/>
        </w:trPr>
        <w:tc>
          <w:tcPr>
            <w:tcW w:w="12446" w:type="dxa"/>
            <w:gridSpan w:val="6"/>
            <w:shd w:val="clear" w:color="auto" w:fill="DBE5F1" w:themeFill="accent1" w:themeFillTint="33"/>
            <w:vAlign w:val="center"/>
          </w:tcPr>
          <w:p w:rsidR="005A6E48" w:rsidRPr="005A6E48" w:rsidRDefault="005A6E48" w:rsidP="005A6E48">
            <w:pPr>
              <w:spacing w:after="0"/>
              <w:ind w:firstLine="0"/>
              <w:jc w:val="right"/>
              <w:rPr>
                <w:b/>
                <w:color w:val="000000"/>
                <w:sz w:val="20"/>
                <w:lang w:eastAsia="lv-LV"/>
              </w:rPr>
            </w:pPr>
            <w:r w:rsidRPr="005A6E48">
              <w:rPr>
                <w:b/>
                <w:color w:val="000000"/>
                <w:sz w:val="20"/>
                <w:lang w:eastAsia="lv-LV"/>
              </w:rPr>
              <w:t>Kopā:</w:t>
            </w:r>
          </w:p>
        </w:tc>
        <w:tc>
          <w:tcPr>
            <w:tcW w:w="850" w:type="dxa"/>
            <w:shd w:val="clear" w:color="auto" w:fill="DBE5F1" w:themeFill="accent1" w:themeFillTint="33"/>
            <w:noWrap/>
            <w:vAlign w:val="center"/>
          </w:tcPr>
          <w:p w:rsidR="005A6E48" w:rsidRPr="00783741" w:rsidRDefault="00783741" w:rsidP="005A6E48">
            <w:pPr>
              <w:spacing w:after="0"/>
              <w:ind w:firstLine="0"/>
              <w:jc w:val="center"/>
              <w:rPr>
                <w:color w:val="000000"/>
                <w:sz w:val="20"/>
                <w:lang w:eastAsia="lv-LV"/>
              </w:rPr>
            </w:pPr>
            <w:r w:rsidRPr="00783741">
              <w:rPr>
                <w:b/>
                <w:bCs/>
                <w:color w:val="000000"/>
                <w:sz w:val="20"/>
              </w:rPr>
              <w:t>0,71</w:t>
            </w:r>
          </w:p>
        </w:tc>
        <w:tc>
          <w:tcPr>
            <w:tcW w:w="851" w:type="dxa"/>
            <w:shd w:val="clear" w:color="auto" w:fill="DBE5F1" w:themeFill="accent1" w:themeFillTint="33"/>
            <w:noWrap/>
            <w:vAlign w:val="center"/>
          </w:tcPr>
          <w:p w:rsidR="005A6E48" w:rsidRPr="00783741" w:rsidRDefault="00783741" w:rsidP="005A6E48">
            <w:pPr>
              <w:spacing w:after="0"/>
              <w:ind w:firstLine="0"/>
              <w:jc w:val="center"/>
              <w:rPr>
                <w:color w:val="000000"/>
                <w:sz w:val="20"/>
                <w:lang w:eastAsia="lv-LV"/>
              </w:rPr>
            </w:pPr>
            <w:r w:rsidRPr="00783741">
              <w:rPr>
                <w:b/>
                <w:bCs/>
                <w:color w:val="000000"/>
                <w:sz w:val="20"/>
              </w:rPr>
              <w:t>0,27</w:t>
            </w:r>
          </w:p>
        </w:tc>
        <w:tc>
          <w:tcPr>
            <w:tcW w:w="850" w:type="dxa"/>
            <w:shd w:val="clear" w:color="auto" w:fill="DBE5F1" w:themeFill="accent1" w:themeFillTint="33"/>
            <w:noWrap/>
            <w:vAlign w:val="center"/>
          </w:tcPr>
          <w:p w:rsidR="005A6E48" w:rsidRPr="00783741" w:rsidRDefault="00783741" w:rsidP="005A6E48">
            <w:pPr>
              <w:spacing w:after="0"/>
              <w:ind w:firstLine="0"/>
              <w:jc w:val="center"/>
              <w:rPr>
                <w:color w:val="000000"/>
                <w:sz w:val="20"/>
                <w:lang w:eastAsia="lv-LV"/>
              </w:rPr>
            </w:pPr>
            <w:r w:rsidRPr="00783741">
              <w:rPr>
                <w:b/>
                <w:bCs/>
                <w:color w:val="000000"/>
                <w:sz w:val="20"/>
              </w:rPr>
              <w:t>-0,01</w:t>
            </w:r>
          </w:p>
        </w:tc>
      </w:tr>
    </w:tbl>
    <w:p w:rsidR="004D7430" w:rsidRDefault="004D7430" w:rsidP="00A71B0C">
      <w:pPr>
        <w:ind w:firstLine="0"/>
        <w:rPr>
          <w:highlight w:val="yellow"/>
          <w:lang w:val="x-none" w:eastAsia="x-none"/>
        </w:rPr>
      </w:pPr>
    </w:p>
    <w:tbl>
      <w:tblPr>
        <w:tblW w:w="87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820"/>
        <w:gridCol w:w="960"/>
      </w:tblGrid>
      <w:tr w:rsidR="007F0FF2" w:rsidRPr="002404AE" w:rsidTr="0030524C">
        <w:trPr>
          <w:trHeight w:val="300"/>
        </w:trPr>
        <w:tc>
          <w:tcPr>
            <w:tcW w:w="7820" w:type="dxa"/>
            <w:shd w:val="clear" w:color="auto" w:fill="DBE5F1" w:themeFill="accent1" w:themeFillTint="33"/>
            <w:noWrap/>
            <w:vAlign w:val="bottom"/>
            <w:hideMark/>
          </w:tcPr>
          <w:p w:rsidR="007F0FF2" w:rsidRPr="002404AE" w:rsidRDefault="007F0FF2" w:rsidP="00F725F0">
            <w:pPr>
              <w:spacing w:after="0"/>
              <w:ind w:firstLine="0"/>
              <w:jc w:val="left"/>
              <w:rPr>
                <w:b/>
                <w:bCs/>
                <w:color w:val="000000"/>
                <w:sz w:val="20"/>
                <w:szCs w:val="22"/>
                <w:lang w:eastAsia="lv-LV"/>
              </w:rPr>
            </w:pPr>
            <w:r w:rsidRPr="002404AE">
              <w:rPr>
                <w:b/>
                <w:bCs/>
                <w:color w:val="000000"/>
                <w:sz w:val="20"/>
                <w:szCs w:val="22"/>
                <w:lang w:eastAsia="lv-LV"/>
              </w:rPr>
              <w:t>Citas izmaiņas budžeta sagatavošanas procesā (% no IKP)</w:t>
            </w:r>
          </w:p>
        </w:tc>
        <w:tc>
          <w:tcPr>
            <w:tcW w:w="960" w:type="dxa"/>
            <w:shd w:val="clear" w:color="auto" w:fill="DBE5F1" w:themeFill="accent1" w:themeFillTint="33"/>
            <w:noWrap/>
            <w:vAlign w:val="center"/>
            <w:hideMark/>
          </w:tcPr>
          <w:p w:rsidR="007F0FF2" w:rsidRPr="002404AE" w:rsidRDefault="007F0FF2" w:rsidP="007F0FF2">
            <w:pPr>
              <w:spacing w:after="0"/>
              <w:ind w:firstLine="0"/>
              <w:jc w:val="center"/>
              <w:rPr>
                <w:b/>
                <w:bCs/>
                <w:color w:val="000000"/>
                <w:sz w:val="20"/>
                <w:szCs w:val="22"/>
                <w:lang w:eastAsia="lv-LV"/>
              </w:rPr>
            </w:pPr>
            <w:r w:rsidRPr="002404AE">
              <w:rPr>
                <w:b/>
                <w:bCs/>
                <w:color w:val="000000"/>
                <w:sz w:val="20"/>
                <w:szCs w:val="22"/>
                <w:lang w:eastAsia="lv-LV"/>
              </w:rPr>
              <w:t>2021</w:t>
            </w:r>
          </w:p>
        </w:tc>
      </w:tr>
      <w:tr w:rsidR="007F0FF2" w:rsidRPr="002404AE" w:rsidTr="0030524C">
        <w:trPr>
          <w:trHeight w:val="300"/>
        </w:trPr>
        <w:tc>
          <w:tcPr>
            <w:tcW w:w="7820" w:type="dxa"/>
            <w:shd w:val="clear" w:color="auto" w:fill="auto"/>
            <w:noWrap/>
            <w:vAlign w:val="bottom"/>
            <w:hideMark/>
          </w:tcPr>
          <w:p w:rsidR="007F0FF2" w:rsidRPr="002404AE" w:rsidRDefault="007F0FF2" w:rsidP="00F725F0">
            <w:pPr>
              <w:spacing w:after="0"/>
              <w:ind w:firstLine="0"/>
              <w:jc w:val="left"/>
              <w:rPr>
                <w:color w:val="000000"/>
                <w:sz w:val="20"/>
                <w:szCs w:val="22"/>
                <w:lang w:eastAsia="lv-LV"/>
              </w:rPr>
            </w:pPr>
            <w:r w:rsidRPr="002404AE">
              <w:rPr>
                <w:color w:val="000000"/>
                <w:sz w:val="20"/>
                <w:szCs w:val="22"/>
                <w:lang w:eastAsia="lv-LV"/>
              </w:rPr>
              <w:t>Citas izmaiņas budžeta nodokļu un pašu ieņēmumos</w:t>
            </w:r>
          </w:p>
        </w:tc>
        <w:tc>
          <w:tcPr>
            <w:tcW w:w="960" w:type="dxa"/>
            <w:shd w:val="clear" w:color="auto" w:fill="auto"/>
            <w:noWrap/>
            <w:vAlign w:val="center"/>
            <w:hideMark/>
          </w:tcPr>
          <w:p w:rsidR="007F0FF2" w:rsidRPr="002404AE" w:rsidRDefault="007F0FF2" w:rsidP="007F0FF2">
            <w:pPr>
              <w:spacing w:after="0"/>
              <w:ind w:firstLine="0"/>
              <w:jc w:val="center"/>
              <w:rPr>
                <w:color w:val="000000"/>
                <w:sz w:val="20"/>
                <w:szCs w:val="22"/>
                <w:lang w:eastAsia="lv-LV"/>
              </w:rPr>
            </w:pPr>
            <w:r w:rsidRPr="002404AE">
              <w:rPr>
                <w:color w:val="000000"/>
                <w:sz w:val="20"/>
                <w:szCs w:val="22"/>
                <w:lang w:eastAsia="lv-LV"/>
              </w:rPr>
              <w:t>0,01</w:t>
            </w:r>
          </w:p>
        </w:tc>
      </w:tr>
    </w:tbl>
    <w:p w:rsidR="007F0FF2" w:rsidRPr="00BF5371" w:rsidRDefault="007F0FF2" w:rsidP="00A71B0C">
      <w:pPr>
        <w:ind w:firstLine="0"/>
        <w:rPr>
          <w:highlight w:val="yellow"/>
          <w:lang w:val="x-none" w:eastAsia="x-none"/>
        </w:rPr>
      </w:pPr>
    </w:p>
    <w:p w:rsidR="005B2F54" w:rsidRPr="00BF5371" w:rsidRDefault="00006BD6" w:rsidP="005B2F54">
      <w:pPr>
        <w:pStyle w:val="Heading1"/>
        <w:tabs>
          <w:tab w:val="left" w:pos="1276"/>
        </w:tabs>
        <w:spacing w:before="0" w:after="240"/>
        <w:ind w:left="1276" w:hanging="1276"/>
        <w:jc w:val="left"/>
        <w:rPr>
          <w:rFonts w:ascii="Times New Roman" w:hAnsi="Times New Roman"/>
          <w:color w:val="18185F"/>
          <w:sz w:val="24"/>
          <w:highlight w:val="yellow"/>
          <w:lang w:val="lv-LV"/>
        </w:rPr>
      </w:pPr>
      <w:r w:rsidRPr="00BF5371">
        <w:rPr>
          <w:highlight w:val="yellow"/>
        </w:rPr>
        <w:br w:type="page"/>
      </w:r>
      <w:bookmarkStart w:id="28" w:name="_Toc494786354"/>
      <w:bookmarkStart w:id="29" w:name="_Toc53388937"/>
      <w:r w:rsidR="001563FD" w:rsidRPr="00C6769F">
        <w:rPr>
          <w:rFonts w:ascii="Times New Roman" w:hAnsi="Times New Roman"/>
          <w:color w:val="18185F"/>
          <w:sz w:val="24"/>
        </w:rPr>
        <w:lastRenderedPageBreak/>
        <w:t xml:space="preserve">Tabula </w:t>
      </w:r>
      <w:r w:rsidR="005B2F54" w:rsidRPr="00C6769F">
        <w:rPr>
          <w:rFonts w:ascii="Times New Roman" w:hAnsi="Times New Roman"/>
          <w:color w:val="18185F"/>
          <w:sz w:val="24"/>
        </w:rPr>
        <w:t xml:space="preserve">5.a.ii) </w:t>
      </w:r>
      <w:proofErr w:type="spellStart"/>
      <w:r w:rsidR="005B2F54" w:rsidRPr="00C6769F">
        <w:rPr>
          <w:rFonts w:ascii="Times New Roman" w:hAnsi="Times New Roman"/>
          <w:color w:val="18185F"/>
          <w:sz w:val="24"/>
        </w:rPr>
        <w:t>Diskrecionārie</w:t>
      </w:r>
      <w:proofErr w:type="spellEnd"/>
      <w:r w:rsidR="005B2F54" w:rsidRPr="00C6769F">
        <w:rPr>
          <w:rFonts w:ascii="Times New Roman" w:hAnsi="Times New Roman"/>
          <w:color w:val="18185F"/>
          <w:sz w:val="24"/>
        </w:rPr>
        <w:t xml:space="preserve"> </w:t>
      </w:r>
      <w:r w:rsidR="005B2F54" w:rsidRPr="00C6769F">
        <w:rPr>
          <w:rFonts w:ascii="Times New Roman" w:hAnsi="Times New Roman"/>
          <w:color w:val="18185F"/>
          <w:sz w:val="24"/>
          <w:lang w:val="lv-LV"/>
        </w:rPr>
        <w:t xml:space="preserve">izdevumu </w:t>
      </w:r>
      <w:r w:rsidR="005B2F54" w:rsidRPr="00C6769F">
        <w:rPr>
          <w:rFonts w:ascii="Times New Roman" w:hAnsi="Times New Roman"/>
          <w:color w:val="18185F"/>
          <w:sz w:val="24"/>
        </w:rPr>
        <w:t xml:space="preserve">pasākumi </w:t>
      </w:r>
      <w:r w:rsidR="005B2F54" w:rsidRPr="00C6769F">
        <w:rPr>
          <w:rFonts w:ascii="Times New Roman" w:hAnsi="Times New Roman"/>
          <w:color w:val="18185F"/>
          <w:sz w:val="24"/>
          <w:lang w:val="lv-LV"/>
        </w:rPr>
        <w:t>vispārējās valdības budžetā</w:t>
      </w:r>
      <w:bookmarkEnd w:id="28"/>
      <w:bookmarkEnd w:id="29"/>
    </w:p>
    <w:tbl>
      <w:tblPr>
        <w:tblW w:w="14593"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001"/>
        <w:gridCol w:w="1374"/>
        <w:gridCol w:w="1560"/>
        <w:gridCol w:w="1559"/>
        <w:gridCol w:w="1276"/>
        <w:gridCol w:w="1275"/>
        <w:gridCol w:w="1548"/>
      </w:tblGrid>
      <w:tr w:rsidR="005E49E4" w:rsidRPr="004745A6" w:rsidTr="005E49E4">
        <w:trPr>
          <w:trHeight w:val="510"/>
        </w:trPr>
        <w:tc>
          <w:tcPr>
            <w:tcW w:w="6001"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b/>
                <w:bCs/>
                <w:color w:val="000000" w:themeColor="text1"/>
                <w:sz w:val="20"/>
                <w:lang w:eastAsia="lv-LV"/>
              </w:rPr>
              <w:t>Pasākuma nosaukums</w:t>
            </w:r>
          </w:p>
        </w:tc>
        <w:tc>
          <w:tcPr>
            <w:tcW w:w="1374" w:type="dxa"/>
            <w:shd w:val="clear" w:color="auto" w:fill="DBE5F1" w:themeFill="accent1" w:themeFillTint="33"/>
          </w:tcPr>
          <w:p w:rsidR="005E49E4" w:rsidRPr="004745A6" w:rsidRDefault="005E49E4" w:rsidP="005E49E4">
            <w:pPr>
              <w:spacing w:after="0"/>
              <w:ind w:firstLine="0"/>
              <w:jc w:val="center"/>
              <w:rPr>
                <w:b/>
                <w:bCs/>
                <w:color w:val="000000" w:themeColor="text1"/>
                <w:sz w:val="20"/>
                <w:lang w:eastAsia="lv-LV"/>
              </w:rPr>
            </w:pPr>
            <w:r>
              <w:rPr>
                <w:b/>
                <w:bCs/>
                <w:color w:val="000000" w:themeColor="text1"/>
                <w:sz w:val="20"/>
                <w:lang w:eastAsia="lv-LV"/>
              </w:rPr>
              <w:t>EKS kods</w:t>
            </w:r>
          </w:p>
        </w:tc>
        <w:tc>
          <w:tcPr>
            <w:tcW w:w="1560"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lang w:eastAsia="lv-LV"/>
              </w:rPr>
            </w:pPr>
            <w:r w:rsidRPr="004745A6">
              <w:rPr>
                <w:b/>
                <w:bCs/>
                <w:color w:val="000000" w:themeColor="text1"/>
                <w:sz w:val="20"/>
                <w:lang w:eastAsia="lv-LV"/>
              </w:rPr>
              <w:t>Uzskaites princips</w:t>
            </w:r>
          </w:p>
        </w:tc>
        <w:tc>
          <w:tcPr>
            <w:tcW w:w="1559"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lang w:eastAsia="lv-LV"/>
              </w:rPr>
            </w:pPr>
            <w:r w:rsidRPr="004745A6">
              <w:rPr>
                <w:b/>
                <w:bCs/>
                <w:color w:val="000000" w:themeColor="text1"/>
                <w:sz w:val="20"/>
                <w:lang w:eastAsia="lv-LV"/>
              </w:rPr>
              <w:t>Pieņemšanas statuss</w:t>
            </w:r>
          </w:p>
        </w:tc>
        <w:tc>
          <w:tcPr>
            <w:tcW w:w="1276"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lang w:eastAsia="lv-LV"/>
              </w:rPr>
            </w:pPr>
            <w:r w:rsidRPr="004745A6">
              <w:rPr>
                <w:b/>
                <w:bCs/>
                <w:color w:val="000000" w:themeColor="text1"/>
                <w:sz w:val="20"/>
                <w:lang w:eastAsia="lv-LV"/>
              </w:rPr>
              <w:t>2021</w:t>
            </w:r>
          </w:p>
        </w:tc>
        <w:tc>
          <w:tcPr>
            <w:tcW w:w="1275"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lang w:eastAsia="lv-LV"/>
              </w:rPr>
            </w:pPr>
            <w:r w:rsidRPr="004745A6">
              <w:rPr>
                <w:b/>
                <w:bCs/>
                <w:color w:val="000000" w:themeColor="text1"/>
                <w:sz w:val="20"/>
                <w:lang w:eastAsia="lv-LV"/>
              </w:rPr>
              <w:t>2022</w:t>
            </w:r>
          </w:p>
        </w:tc>
        <w:tc>
          <w:tcPr>
            <w:tcW w:w="1548" w:type="dxa"/>
            <w:shd w:val="clear" w:color="auto" w:fill="DBE5F1" w:themeFill="accent1" w:themeFillTint="33"/>
            <w:vAlign w:val="center"/>
            <w:hideMark/>
          </w:tcPr>
          <w:p w:rsidR="005E49E4" w:rsidRPr="004745A6" w:rsidRDefault="005E49E4" w:rsidP="005E49E4">
            <w:pPr>
              <w:spacing w:after="0"/>
              <w:ind w:firstLine="0"/>
              <w:jc w:val="center"/>
              <w:rPr>
                <w:b/>
                <w:bCs/>
                <w:color w:val="000000" w:themeColor="text1"/>
                <w:sz w:val="20"/>
                <w:lang w:eastAsia="lv-LV"/>
              </w:rPr>
            </w:pPr>
            <w:r w:rsidRPr="004745A6">
              <w:rPr>
                <w:b/>
                <w:bCs/>
                <w:color w:val="000000" w:themeColor="text1"/>
                <w:sz w:val="20"/>
                <w:lang w:eastAsia="lv-LV"/>
              </w:rPr>
              <w:t>2023</w:t>
            </w:r>
          </w:p>
        </w:tc>
      </w:tr>
      <w:tr w:rsidR="005E49E4" w:rsidRPr="004745A6" w:rsidTr="005E49E4">
        <w:trPr>
          <w:trHeight w:val="255"/>
        </w:trPr>
        <w:tc>
          <w:tcPr>
            <w:tcW w:w="6001" w:type="dxa"/>
            <w:shd w:val="clear" w:color="auto" w:fill="auto"/>
            <w:vAlign w:val="center"/>
            <w:hideMark/>
          </w:tcPr>
          <w:p w:rsidR="005E49E4" w:rsidRPr="004745A6" w:rsidRDefault="005E49E4" w:rsidP="005E49E4">
            <w:pPr>
              <w:spacing w:after="0"/>
              <w:ind w:firstLine="0"/>
              <w:rPr>
                <w:b/>
                <w:bCs/>
                <w:color w:val="000000" w:themeColor="text1"/>
                <w:sz w:val="20"/>
                <w:highlight w:val="yellow"/>
                <w:lang w:eastAsia="lv-LV"/>
              </w:rPr>
            </w:pPr>
          </w:p>
        </w:tc>
        <w:tc>
          <w:tcPr>
            <w:tcW w:w="1374" w:type="dxa"/>
          </w:tcPr>
          <w:p w:rsidR="005E49E4" w:rsidRPr="004745A6" w:rsidRDefault="005E49E4" w:rsidP="005E49E4">
            <w:pPr>
              <w:spacing w:after="0"/>
              <w:ind w:firstLine="0"/>
              <w:jc w:val="center"/>
              <w:rPr>
                <w:b/>
                <w:bCs/>
                <w:color w:val="000000" w:themeColor="text1"/>
                <w:sz w:val="20"/>
                <w:highlight w:val="yellow"/>
                <w:lang w:eastAsia="lv-LV"/>
              </w:rPr>
            </w:pPr>
          </w:p>
        </w:tc>
        <w:tc>
          <w:tcPr>
            <w:tcW w:w="3119" w:type="dxa"/>
            <w:gridSpan w:val="2"/>
            <w:shd w:val="clear" w:color="auto" w:fill="auto"/>
            <w:noWrap/>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4099" w:type="dxa"/>
            <w:gridSpan w:val="3"/>
            <w:shd w:val="clear" w:color="auto" w:fill="auto"/>
            <w:noWrap/>
            <w:vAlign w:val="center"/>
            <w:hideMark/>
          </w:tcPr>
          <w:p w:rsidR="005E49E4" w:rsidRPr="004745A6" w:rsidRDefault="005E49E4" w:rsidP="005E49E4">
            <w:pPr>
              <w:spacing w:after="0"/>
              <w:ind w:firstLine="0"/>
              <w:jc w:val="center"/>
              <w:rPr>
                <w:b/>
                <w:color w:val="000000" w:themeColor="text1"/>
                <w:sz w:val="20"/>
                <w:lang w:eastAsia="lv-LV"/>
              </w:rPr>
            </w:pPr>
            <w:r w:rsidRPr="004745A6">
              <w:rPr>
                <w:b/>
                <w:color w:val="000000" w:themeColor="text1"/>
                <w:sz w:val="20"/>
              </w:rPr>
              <w:t xml:space="preserve">milj. </w:t>
            </w:r>
            <w:proofErr w:type="spellStart"/>
            <w:r w:rsidRPr="004745A6">
              <w:rPr>
                <w:b/>
                <w:i/>
                <w:color w:val="000000" w:themeColor="text1"/>
                <w:sz w:val="20"/>
              </w:rPr>
              <w:t>euro</w:t>
            </w:r>
            <w:proofErr w:type="spellEnd"/>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Ekonomikas ministrija</w:t>
            </w:r>
          </w:p>
        </w:tc>
        <w:tc>
          <w:tcPr>
            <w:tcW w:w="1374" w:type="dxa"/>
            <w:shd w:val="clear" w:color="000000" w:fill="DDEBF7"/>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Palielināts finansējum</w:t>
            </w:r>
            <w:r>
              <w:rPr>
                <w:color w:val="000000" w:themeColor="text1"/>
                <w:sz w:val="20"/>
              </w:rPr>
              <w:t>s</w:t>
            </w:r>
            <w:r w:rsidRPr="004745A6">
              <w:rPr>
                <w:color w:val="000000" w:themeColor="text1"/>
                <w:sz w:val="20"/>
              </w:rPr>
              <w:t xml:space="preserve"> elektroenerģijas lietotāju atbalstam</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D.3</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-0,04</w:t>
            </w:r>
          </w:p>
        </w:tc>
      </w:tr>
      <w:tr w:rsidR="005E49E4" w:rsidRPr="004745A6" w:rsidTr="005E49E4">
        <w:trPr>
          <w:trHeight w:val="510"/>
        </w:trPr>
        <w:tc>
          <w:tcPr>
            <w:tcW w:w="6001" w:type="dxa"/>
            <w:shd w:val="clear" w:color="auto" w:fill="auto"/>
            <w:vAlign w:val="center"/>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Palielināts finansējum</w:t>
            </w:r>
            <w:r>
              <w:rPr>
                <w:color w:val="000000" w:themeColor="text1"/>
                <w:sz w:val="20"/>
              </w:rPr>
              <w:t>s</w:t>
            </w:r>
            <w:r w:rsidRPr="004745A6">
              <w:rPr>
                <w:color w:val="000000" w:themeColor="text1"/>
                <w:sz w:val="20"/>
              </w:rPr>
              <w:t xml:space="preserve"> mājokļu garantiju atbalsta programmai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Palielināts finansējum</w:t>
            </w:r>
            <w:r>
              <w:rPr>
                <w:color w:val="000000" w:themeColor="text1"/>
                <w:sz w:val="20"/>
              </w:rPr>
              <w:t>s</w:t>
            </w:r>
            <w:r w:rsidRPr="004745A6">
              <w:rPr>
                <w:color w:val="000000" w:themeColor="text1"/>
                <w:sz w:val="20"/>
              </w:rPr>
              <w:t xml:space="preserve"> PP 12_06_P Mājokļu garantiju atbalsta programma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auto" w:fill="DBE5F1" w:themeFill="accent1" w:themeFillTint="33"/>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Finanšu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rPr>
            </w:pPr>
            <w:r w:rsidRPr="004745A6">
              <w:rPr>
                <w:color w:val="000000" w:themeColor="text1"/>
                <w:sz w:val="20"/>
              </w:rPr>
              <w:t xml:space="preserve">Finansējuma samazinājums atbilstoši izdevumu pārskatīšanas rezultātam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-0,07</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0,00</w:t>
            </w:r>
          </w:p>
        </w:tc>
      </w:tr>
      <w:tr w:rsidR="005E49E4" w:rsidRPr="004745A6" w:rsidTr="005E49E4">
        <w:trPr>
          <w:trHeight w:val="300"/>
        </w:trPr>
        <w:tc>
          <w:tcPr>
            <w:tcW w:w="6001" w:type="dxa"/>
            <w:shd w:val="clear" w:color="auto" w:fill="auto"/>
            <w:vAlign w:val="center"/>
            <w:hideMark/>
          </w:tcPr>
          <w:p w:rsidR="005E49E4" w:rsidRPr="004745A6" w:rsidRDefault="005E49E4" w:rsidP="005E49E4">
            <w:pPr>
              <w:spacing w:after="0"/>
              <w:ind w:firstLine="0"/>
              <w:rPr>
                <w:color w:val="000000" w:themeColor="text1"/>
                <w:sz w:val="20"/>
              </w:rPr>
            </w:pPr>
            <w:r w:rsidRPr="004745A6">
              <w:rPr>
                <w:color w:val="000000" w:themeColor="text1"/>
                <w:sz w:val="20"/>
              </w:rPr>
              <w:t xml:space="preserve">Finansējuma palielinājums normatīvajos aktos noteikto prasību ieviešanai VID informācijas sistēmās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0,01</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proofErr w:type="spellStart"/>
            <w:r w:rsidRPr="004745A6">
              <w:rPr>
                <w:b/>
                <w:bCs/>
                <w:color w:val="000000" w:themeColor="text1"/>
                <w:sz w:val="20"/>
                <w:lang w:eastAsia="lv-LV"/>
              </w:rPr>
              <w:t>Iekšlietu</w:t>
            </w:r>
            <w:proofErr w:type="spellEnd"/>
            <w:r w:rsidRPr="004745A6">
              <w:rPr>
                <w:b/>
                <w:bCs/>
                <w:color w:val="000000" w:themeColor="text1"/>
                <w:sz w:val="20"/>
                <w:lang w:eastAsia="lv-LV"/>
              </w:rPr>
              <w:t xml:space="preserve">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765"/>
        </w:trPr>
        <w:tc>
          <w:tcPr>
            <w:tcW w:w="6001" w:type="dxa"/>
            <w:shd w:val="clear" w:color="auto" w:fill="auto"/>
            <w:vAlign w:val="center"/>
            <w:hideMark/>
          </w:tcPr>
          <w:p w:rsidR="005E49E4" w:rsidRPr="004745A6" w:rsidRDefault="005E49E4" w:rsidP="005E49E4">
            <w:pPr>
              <w:spacing w:after="0"/>
              <w:ind w:firstLine="0"/>
              <w:rPr>
                <w:color w:val="000000" w:themeColor="text1"/>
                <w:sz w:val="20"/>
              </w:rPr>
            </w:pPr>
            <w:r w:rsidRPr="004745A6">
              <w:rPr>
                <w:color w:val="000000" w:themeColor="text1"/>
                <w:sz w:val="20"/>
              </w:rPr>
              <w:t>Finansējuma palielinājums prioritārajam pasākumam "Pedagogu darba samaksas pieauguma grafika īstenošana pirmsskolas izglītībā, vispārējā izglītībā, profesionālajā izglītībā, profesionālajā ievirzē un interešu izglītībā"</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0,00</w:t>
            </w:r>
          </w:p>
        </w:tc>
      </w:tr>
      <w:tr w:rsidR="005E49E4" w:rsidRPr="004745A6" w:rsidTr="005E49E4">
        <w:trPr>
          <w:trHeight w:val="255"/>
        </w:trPr>
        <w:tc>
          <w:tcPr>
            <w:tcW w:w="6001" w:type="dxa"/>
            <w:shd w:val="clear" w:color="auto" w:fill="auto"/>
            <w:vAlign w:val="center"/>
            <w:hideMark/>
          </w:tcPr>
          <w:p w:rsidR="005E49E4" w:rsidRPr="004745A6" w:rsidRDefault="005E49E4" w:rsidP="005E49E4">
            <w:pPr>
              <w:spacing w:after="0"/>
              <w:ind w:firstLine="0"/>
              <w:rPr>
                <w:b/>
                <w:bCs/>
                <w:color w:val="000000" w:themeColor="text1"/>
                <w:sz w:val="20"/>
                <w:highlight w:val="yellow"/>
                <w:lang w:eastAsia="lv-LV"/>
              </w:rPr>
            </w:pPr>
            <w:r w:rsidRPr="004745A6">
              <w:rPr>
                <w:color w:val="000000" w:themeColor="text1"/>
                <w:sz w:val="20"/>
              </w:rPr>
              <w:t xml:space="preserve">Finansējuma palielinājums prioritārajam pasākumam "Akadēmiskā personāla minimālo atlīdzības likmju paaugstināšana saskaņā ar pedagogu darba samaksas paaugstināšanas grafiku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color w:val="000000" w:themeColor="text1"/>
                <w:sz w:val="20"/>
              </w:rPr>
              <w:t>Naudas plūsma</w:t>
            </w:r>
          </w:p>
        </w:tc>
        <w:tc>
          <w:tcPr>
            <w:tcW w:w="1559" w:type="dxa"/>
            <w:shd w:val="clear" w:color="auto" w:fill="auto"/>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b/>
                <w:bCs/>
                <w:color w:val="000000" w:themeColor="text1"/>
                <w:sz w:val="20"/>
                <w:highlight w:val="yellow"/>
                <w:lang w:eastAsia="lv-LV"/>
              </w:rPr>
            </w:pPr>
            <w:r w:rsidRPr="004745A6">
              <w:rPr>
                <w:color w:val="000000" w:themeColor="text1"/>
                <w:sz w:val="20"/>
              </w:rPr>
              <w:t>0,00</w:t>
            </w:r>
          </w:p>
        </w:tc>
      </w:tr>
      <w:tr w:rsidR="005E49E4" w:rsidRPr="004745A6" w:rsidTr="005E49E4">
        <w:trPr>
          <w:trHeight w:val="30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Finansējuma palielinājums prioritārajam pasākumam "XII Latvijas Skolu jaunatnes dziesmu un deju svētku nodrošināšana"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Finansējuma palielinājums ERAF projektu īstenošanai</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Finansējuma palielinājums Eiropas Sociālā fonda projektu īstenošanai</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0,06</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-0,06</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Finansējuma palielinājums prioritārajam pasākumam "Pedagogu darba samaksas pieauguma grafika īstenošana pirmsskolas izglītībā, vispārējā izglītībā, profesionālajā izglītībā, profesionālajā ievirzē un interešu izglītībā"</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lastRenderedPageBreak/>
              <w:t xml:space="preserve">Finansējuma palielinājums prioritārajam pasākumam "Akadēmiskā personāla minimālo atlīdzības likmju paaugstināšana saskaņā ar pedagogu darba samaksas paaugstināšanas grafiku"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auto" w:fill="DBE5F1" w:themeFill="accent1" w:themeFillTint="33"/>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Zemkopības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bottom"/>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Valsts atbalstam vaislas lauksaimniecības dzīvnieku ierakstīšanai ciltsgrāmatā, kā arī to ģenētiskās kvalitātes noteikšanai un produktivitātes datu izvērtēšanai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D.3</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lang w:eastAsia="lv-LV"/>
              </w:rPr>
            </w:pPr>
            <w:r w:rsidRPr="004745A6">
              <w:rPr>
                <w:b/>
                <w:bCs/>
                <w:color w:val="000000" w:themeColor="text1"/>
                <w:sz w:val="20"/>
                <w:lang w:eastAsia="lv-LV"/>
              </w:rPr>
              <w:t>Satiksmes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30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Finansējums Ķekavas apvedceļa projekta īstenošanai (Ķekavas apvedceļa projektēšanai, būvniecībai, finansēšanai un uzturēšanai)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Finansējuma samazinājums valsts autoceļu uzturēšanai un atjaunošanai, ņemot vērā MK 22.09.2020. sēdē lemto.</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-0,17</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0,17</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Palielināti izdevumi 2021.gada abonēto preses izdevumu piegādes radīto zaudējumu kompensācijai un atbalstam abonēto preses izdevumu piegādēm 2022., 2023. un turpmākajiem gadiem.</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D.9</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r>
      <w:tr w:rsidR="005E49E4" w:rsidRPr="004745A6" w:rsidTr="005E49E4">
        <w:trPr>
          <w:trHeight w:val="765"/>
        </w:trPr>
        <w:tc>
          <w:tcPr>
            <w:tcW w:w="6001" w:type="dxa"/>
            <w:shd w:val="clear" w:color="auto" w:fill="auto"/>
            <w:vAlign w:val="center"/>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Palielināti izdevumi abonēto preses izdevumu piegādes radīto zaudējumu kompensācijai.</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D.9</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lang w:eastAsia="lv-LV"/>
              </w:rPr>
            </w:pPr>
            <w:r w:rsidRPr="004745A6">
              <w:rPr>
                <w:b/>
                <w:bCs/>
                <w:color w:val="000000" w:themeColor="text1"/>
                <w:sz w:val="20"/>
                <w:lang w:eastAsia="lv-LV"/>
              </w:rPr>
              <w:t>Labklājības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255"/>
        </w:trPr>
        <w:tc>
          <w:tcPr>
            <w:tcW w:w="6001" w:type="dxa"/>
            <w:shd w:val="clear" w:color="auto" w:fill="auto"/>
            <w:hideMark/>
          </w:tcPr>
          <w:p w:rsidR="005E49E4" w:rsidRPr="004745A6" w:rsidRDefault="005E49E4" w:rsidP="005E49E4">
            <w:pPr>
              <w:spacing w:after="0"/>
              <w:ind w:firstLine="0"/>
              <w:rPr>
                <w:b/>
                <w:bCs/>
                <w:color w:val="000000" w:themeColor="text1"/>
                <w:sz w:val="20"/>
                <w:lang w:eastAsia="lv-LV"/>
              </w:rPr>
            </w:pPr>
            <w:r w:rsidRPr="004745A6">
              <w:rPr>
                <w:b/>
                <w:bCs/>
                <w:color w:val="000000" w:themeColor="text1"/>
                <w:sz w:val="20"/>
                <w:lang w:eastAsia="lv-LV"/>
              </w:rPr>
              <w:t>Pamatbudžets</w:t>
            </w:r>
          </w:p>
        </w:tc>
        <w:tc>
          <w:tcPr>
            <w:tcW w:w="1374" w:type="dxa"/>
            <w:vAlign w:val="center"/>
          </w:tcPr>
          <w:p w:rsidR="005E49E4" w:rsidRPr="004745A6" w:rsidRDefault="005E49E4" w:rsidP="005E49E4">
            <w:pPr>
              <w:spacing w:after="0"/>
              <w:ind w:firstLine="0"/>
              <w:jc w:val="center"/>
              <w:rPr>
                <w:color w:val="000000" w:themeColor="text1"/>
                <w:sz w:val="20"/>
                <w:highlight w:val="yellow"/>
                <w:lang w:eastAsia="lv-LV"/>
              </w:rPr>
            </w:pPr>
          </w:p>
        </w:tc>
        <w:tc>
          <w:tcPr>
            <w:tcW w:w="1560"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559"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r>
      <w:tr w:rsidR="005E49E4" w:rsidRPr="004745A6" w:rsidTr="005E49E4">
        <w:trPr>
          <w:trHeight w:val="765"/>
        </w:trPr>
        <w:tc>
          <w:tcPr>
            <w:tcW w:w="6001" w:type="dxa"/>
            <w:shd w:val="clear" w:color="auto" w:fill="auto"/>
            <w:vAlign w:val="bottom"/>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Palielināti resursi un izdevumi 2021.gadam 9 349 520 </w:t>
            </w:r>
            <w:proofErr w:type="spellStart"/>
            <w:r w:rsidRPr="004745A6">
              <w:rPr>
                <w:i/>
                <w:color w:val="000000" w:themeColor="text1"/>
                <w:sz w:val="20"/>
              </w:rPr>
              <w:t>euro</w:t>
            </w:r>
            <w:proofErr w:type="spellEnd"/>
            <w:r w:rsidRPr="004745A6">
              <w:rPr>
                <w:color w:val="000000" w:themeColor="text1"/>
                <w:sz w:val="20"/>
              </w:rPr>
              <w:t xml:space="preserve"> apmērā un 2022.gadam 21 364 224 </w:t>
            </w:r>
            <w:proofErr w:type="spellStart"/>
            <w:r w:rsidRPr="004745A6">
              <w:rPr>
                <w:i/>
                <w:color w:val="000000" w:themeColor="text1"/>
                <w:sz w:val="20"/>
              </w:rPr>
              <w:t>euro</w:t>
            </w:r>
            <w:proofErr w:type="spellEnd"/>
            <w:r w:rsidRPr="004745A6">
              <w:rPr>
                <w:color w:val="000000" w:themeColor="text1"/>
                <w:sz w:val="20"/>
              </w:rPr>
              <w:t xml:space="preserve"> apmērā un 2023.gadam 23 372 967 </w:t>
            </w:r>
            <w:proofErr w:type="spellStart"/>
            <w:r w:rsidRPr="004745A6">
              <w:rPr>
                <w:i/>
                <w:color w:val="000000" w:themeColor="text1"/>
                <w:sz w:val="20"/>
              </w:rPr>
              <w:t>euro</w:t>
            </w:r>
            <w:proofErr w:type="spellEnd"/>
            <w:r w:rsidRPr="004745A6">
              <w:rPr>
                <w:color w:val="000000" w:themeColor="text1"/>
                <w:sz w:val="20"/>
              </w:rPr>
              <w:t xml:space="preserve"> apmērā, lai nodrošinātu prioritārā pasākuma “Asistenta pakalpojuma pārskatīšana” īstenošanu, pilnveidojot asistenta pakalpojuma pašvaldībā nodrošināšanas kārtību, nodrošinot to kā fiskāli neitrālu pasākumu, t.i. samazinot izdevumus bezdarbnieka pabalstam speciālā budžeta apakšprogrammā 04.02.00 “Nodarbinātības speciālais budžets”</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0,04</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bottom"/>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Palielināti resursi un izdevumi 2021.gadam 2 370 251 </w:t>
            </w:r>
            <w:proofErr w:type="spellStart"/>
            <w:r w:rsidRPr="004745A6">
              <w:rPr>
                <w:i/>
                <w:color w:val="000000" w:themeColor="text1"/>
                <w:sz w:val="20"/>
              </w:rPr>
              <w:t>euro</w:t>
            </w:r>
            <w:proofErr w:type="spellEnd"/>
            <w:r w:rsidRPr="004745A6">
              <w:rPr>
                <w:color w:val="000000" w:themeColor="text1"/>
                <w:sz w:val="20"/>
              </w:rPr>
              <w:t xml:space="preserve"> apmērā un 2022.–2023.gadam ik gadu 4 750 859 </w:t>
            </w:r>
            <w:proofErr w:type="spellStart"/>
            <w:r w:rsidRPr="004745A6">
              <w:rPr>
                <w:i/>
                <w:color w:val="000000" w:themeColor="text1"/>
                <w:sz w:val="20"/>
              </w:rPr>
              <w:t>euro</w:t>
            </w:r>
            <w:proofErr w:type="spellEnd"/>
            <w:r w:rsidRPr="004745A6">
              <w:rPr>
                <w:color w:val="000000" w:themeColor="text1"/>
                <w:sz w:val="20"/>
              </w:rPr>
              <w:t xml:space="preserve"> apmērā, lai nodrošinātu prioritārā pasākuma  “Pabalsta aizbildnim par bērna uzturēšanu apmēra dubultošana” īstenošanu ar 2021.gada 1.jūliju, nodrošinot to kā fiskāli neitrālu pasākumu, t.i. samazinot izdevumus bezdarbnieka pabalstam speciālā budžeta apakšprogrammā 04.02.00 “Nodarbinātības speciālais budžets”</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bottom"/>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Palielināti resursi un izdevumi 2021.gadam 10 195 604 </w:t>
            </w:r>
            <w:proofErr w:type="spellStart"/>
            <w:r w:rsidRPr="004745A6">
              <w:rPr>
                <w:i/>
                <w:color w:val="000000" w:themeColor="text1"/>
                <w:sz w:val="20"/>
              </w:rPr>
              <w:t>euro</w:t>
            </w:r>
            <w:proofErr w:type="spellEnd"/>
            <w:r w:rsidRPr="004745A6">
              <w:rPr>
                <w:color w:val="000000" w:themeColor="text1"/>
                <w:sz w:val="20"/>
              </w:rPr>
              <w:t xml:space="preserve"> apmērā, 2022.gadam 10 741 027 </w:t>
            </w:r>
            <w:proofErr w:type="spellStart"/>
            <w:r w:rsidRPr="004745A6">
              <w:rPr>
                <w:i/>
                <w:color w:val="000000" w:themeColor="text1"/>
                <w:sz w:val="20"/>
              </w:rPr>
              <w:t>euro</w:t>
            </w:r>
            <w:proofErr w:type="spellEnd"/>
            <w:r w:rsidRPr="004745A6">
              <w:rPr>
                <w:color w:val="000000" w:themeColor="text1"/>
                <w:sz w:val="20"/>
              </w:rPr>
              <w:t xml:space="preserve"> apmērā un 2023.gadam 10 865 062 </w:t>
            </w:r>
            <w:proofErr w:type="spellStart"/>
            <w:r w:rsidRPr="004745A6">
              <w:rPr>
                <w:i/>
                <w:color w:val="000000" w:themeColor="text1"/>
                <w:sz w:val="20"/>
              </w:rPr>
              <w:t>euro</w:t>
            </w:r>
            <w:proofErr w:type="spellEnd"/>
            <w:r w:rsidRPr="004745A6">
              <w:rPr>
                <w:i/>
                <w:color w:val="000000" w:themeColor="text1"/>
                <w:sz w:val="20"/>
              </w:rPr>
              <w:t xml:space="preserve"> </w:t>
            </w:r>
            <w:r w:rsidRPr="004745A6">
              <w:rPr>
                <w:color w:val="000000" w:themeColor="text1"/>
                <w:sz w:val="20"/>
              </w:rPr>
              <w:t xml:space="preserve">apmērā, lai prioritārā pasākuma “Satversmes tiesas spriedumu izpilde </w:t>
            </w:r>
            <w:r w:rsidRPr="004745A6">
              <w:rPr>
                <w:color w:val="000000" w:themeColor="text1"/>
                <w:sz w:val="20"/>
              </w:rPr>
              <w:lastRenderedPageBreak/>
              <w:t xml:space="preserve">labklājības jomā” ietvaros nodrošinātu </w:t>
            </w:r>
            <w:proofErr w:type="spellStart"/>
            <w:r w:rsidRPr="004745A6">
              <w:rPr>
                <w:color w:val="000000" w:themeColor="text1"/>
                <w:sz w:val="20"/>
              </w:rPr>
              <w:t>apakšpasākuma</w:t>
            </w:r>
            <w:proofErr w:type="spellEnd"/>
            <w:r w:rsidRPr="004745A6">
              <w:rPr>
                <w:color w:val="000000" w:themeColor="text1"/>
                <w:sz w:val="20"/>
              </w:rPr>
              <w:t xml:space="preserve"> “Valsts sociālā nodrošinājuma pabalsta apmēra pārskatīšana” īstenošanu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lastRenderedPageBreak/>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auto" w:fill="auto"/>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Speciālais budžets</w:t>
            </w:r>
          </w:p>
        </w:tc>
        <w:tc>
          <w:tcPr>
            <w:tcW w:w="1374" w:type="dxa"/>
          </w:tcPr>
          <w:p w:rsidR="005E49E4" w:rsidRPr="004745A6" w:rsidRDefault="005E49E4" w:rsidP="005E49E4">
            <w:pPr>
              <w:spacing w:after="0"/>
              <w:ind w:firstLine="0"/>
              <w:jc w:val="center"/>
              <w:rPr>
                <w:color w:val="000000" w:themeColor="text1"/>
                <w:sz w:val="20"/>
                <w:highlight w:val="yellow"/>
                <w:lang w:eastAsia="lv-LV"/>
              </w:rPr>
            </w:pPr>
          </w:p>
        </w:tc>
        <w:tc>
          <w:tcPr>
            <w:tcW w:w="1560"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559"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lang w:eastAsia="lv-LV"/>
              </w:rPr>
            </w:pPr>
            <w:r w:rsidRPr="004745A6">
              <w:rPr>
                <w:color w:val="000000" w:themeColor="text1"/>
                <w:sz w:val="20"/>
                <w:lang w:eastAsia="lv-LV"/>
              </w:rPr>
              <w:t>0,00</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lang w:eastAsia="lv-LV"/>
              </w:rPr>
            </w:pPr>
            <w:r w:rsidRPr="004745A6">
              <w:rPr>
                <w:color w:val="000000" w:themeColor="text1"/>
                <w:sz w:val="20"/>
                <w:lang w:eastAsia="lv-LV"/>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lang w:eastAsia="lv-LV"/>
              </w:rPr>
            </w:pPr>
            <w:r w:rsidRPr="004745A6">
              <w:rPr>
                <w:color w:val="000000" w:themeColor="text1"/>
                <w:sz w:val="20"/>
                <w:lang w:eastAsia="lv-LV"/>
              </w:rPr>
              <w:t>0,00</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Izdevumu samazinājums vecuma pensijām saistībā ar pabalsta vid. apmēra mēnesī prognozēto samazināšanos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-0,04</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Izdevumu samazinājums bezdarbnieka pabalstiem saistībā ar pabalsta saņēmēju skaita vidēji mēnesī prognozēto samazināšanos, tādējādi nodrošinot LM fiskāli neitrālu pasākumu īstenošanu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-0,06</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center"/>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Izdevumu samazinājums bezdarbnieka pabalstiem saistībā ar pabalsta saņēmēju skaita vidēji mēnesī prognozēto samazināšanos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r>
      <w:tr w:rsidR="005E49E4" w:rsidRPr="004745A6" w:rsidTr="005E49E4">
        <w:trPr>
          <w:trHeight w:val="765"/>
        </w:trPr>
        <w:tc>
          <w:tcPr>
            <w:tcW w:w="6001" w:type="dxa"/>
            <w:shd w:val="clear" w:color="auto" w:fill="auto"/>
            <w:vAlign w:val="center"/>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Izdevumu samazinājums slimības pabalstiem saistībā ar pabalsta saņēmēju skaita vidēji mēnesī prognozēto samazināšanos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bottom"/>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Ieņēmumu un izdevumu palielinājums, lai nodrošinātu prioritārā pasākuma "Satversmes tiesas spriedumu izpilde labklājības jomā" </w:t>
            </w:r>
            <w:proofErr w:type="spellStart"/>
            <w:r w:rsidRPr="004745A6">
              <w:rPr>
                <w:color w:val="000000" w:themeColor="text1"/>
                <w:sz w:val="20"/>
              </w:rPr>
              <w:t>apakšpasākuma</w:t>
            </w:r>
            <w:proofErr w:type="spellEnd"/>
            <w:r w:rsidRPr="004745A6">
              <w:rPr>
                <w:color w:val="000000" w:themeColor="text1"/>
                <w:sz w:val="20"/>
              </w:rPr>
              <w:t xml:space="preserve"> "Minimālo pensiju paaugstināšana" īstenošanu, saņemot </w:t>
            </w:r>
            <w:proofErr w:type="spellStart"/>
            <w:r w:rsidRPr="004745A6">
              <w:rPr>
                <w:color w:val="000000" w:themeColor="text1"/>
                <w:sz w:val="20"/>
              </w:rPr>
              <w:t>transferta</w:t>
            </w:r>
            <w:proofErr w:type="spellEnd"/>
            <w:r w:rsidRPr="004745A6">
              <w:rPr>
                <w:color w:val="000000" w:themeColor="text1"/>
                <w:sz w:val="20"/>
              </w:rPr>
              <w:t xml:space="preserve"> pārskaitījumu no LM pamatbudžeta programmas 04.00.00 "Valsts atbalsts sociālajai apdrošināšanai"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0,17</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765"/>
        </w:trPr>
        <w:tc>
          <w:tcPr>
            <w:tcW w:w="6001" w:type="dxa"/>
            <w:shd w:val="clear" w:color="auto" w:fill="auto"/>
            <w:vAlign w:val="bottom"/>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Ieņēmumu un izdevumu palielinājums, lai nodrošinātu prioritārā pasākuma "Satversmes tiesas spriedumu izpilde labklājības jomā" </w:t>
            </w:r>
            <w:proofErr w:type="spellStart"/>
            <w:r w:rsidRPr="004745A6">
              <w:rPr>
                <w:color w:val="000000" w:themeColor="text1"/>
                <w:sz w:val="20"/>
              </w:rPr>
              <w:t>apkašpasākuma</w:t>
            </w:r>
            <w:proofErr w:type="spellEnd"/>
            <w:r w:rsidRPr="004745A6">
              <w:rPr>
                <w:color w:val="000000" w:themeColor="text1"/>
                <w:sz w:val="20"/>
              </w:rPr>
              <w:t xml:space="preserve"> "Atbalsts bērniem apgādnieka nāves gadījumā" īstenošanu, saņemot </w:t>
            </w:r>
            <w:proofErr w:type="spellStart"/>
            <w:r w:rsidRPr="004745A6">
              <w:rPr>
                <w:color w:val="000000" w:themeColor="text1"/>
                <w:sz w:val="20"/>
              </w:rPr>
              <w:t>transferta</w:t>
            </w:r>
            <w:proofErr w:type="spellEnd"/>
            <w:r w:rsidRPr="004745A6">
              <w:rPr>
                <w:color w:val="000000" w:themeColor="text1"/>
                <w:sz w:val="20"/>
              </w:rPr>
              <w:t xml:space="preserve"> pārskaitījumu no LM pamatbudžeta programmas 04.00.00 "Valsts atbalsts sociālajai apdrošināšanai"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Tieslietu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bottom"/>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Palielināti izdevumi prioritārajam pasākumam "Tiesu darbinieku mēnešalgu paaugstināšana"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Kultūras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bottom"/>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Finansējuma palielinājums pedagogu darba samaksas pieauguma grafika īstenošana pirmsskolas izglītībā, vispārējā izglītībā, profesionālajā izglītībā, profesionālajā ievirzē un interešu izglītībā</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Veselības ministrija</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765"/>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Palielināti resursi un izdevumi 2021.-2023.gadam ik gadu 7 313 139 </w:t>
            </w:r>
            <w:proofErr w:type="spellStart"/>
            <w:r w:rsidRPr="004745A6">
              <w:rPr>
                <w:i/>
                <w:color w:val="000000" w:themeColor="text1"/>
                <w:sz w:val="20"/>
              </w:rPr>
              <w:t>euro</w:t>
            </w:r>
            <w:proofErr w:type="spellEnd"/>
            <w:r w:rsidRPr="004745A6">
              <w:rPr>
                <w:i/>
                <w:color w:val="000000" w:themeColor="text1"/>
                <w:sz w:val="20"/>
              </w:rPr>
              <w:t xml:space="preserve"> </w:t>
            </w:r>
            <w:r w:rsidRPr="004745A6">
              <w:rPr>
                <w:color w:val="000000" w:themeColor="text1"/>
                <w:sz w:val="20"/>
              </w:rPr>
              <w:t xml:space="preserve">apmērā, lai nodrošinātu prioritārā pasākuma “Ārstniecības personu darba samaksas pieauguma nodrošināšana” īstenošanu </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0,57</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lastRenderedPageBreak/>
              <w:t>Radio un televīzija</w:t>
            </w:r>
          </w:p>
        </w:tc>
        <w:tc>
          <w:tcPr>
            <w:tcW w:w="1374" w:type="dxa"/>
            <w:shd w:val="clear" w:color="000000" w:fill="DDEBF7"/>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bottom"/>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Dotācijas palielinājums, lai nodrošinātu VSIA "Latvijas Televīzija" attīstību pēc iziešanas no reklāmas tirgus</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highlight w:val="yellow"/>
                <w:lang w:eastAsia="lv-LV"/>
              </w:rPr>
            </w:pPr>
            <w:r w:rsidRPr="004745A6">
              <w:rPr>
                <w:b/>
                <w:bCs/>
                <w:color w:val="000000" w:themeColor="text1"/>
                <w:sz w:val="20"/>
                <w:lang w:eastAsia="lv-LV"/>
              </w:rPr>
              <w:t>Mērķdotācijas pašvaldībām</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Finansējuma pārdale ņemot vērā izglītojamo skaita un struktūras izmaiņas</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Nodrošināta pedagogu darba samaksas paaugstināšanas grafika īstenošana</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0,09</w:t>
            </w:r>
          </w:p>
        </w:tc>
        <w:tc>
          <w:tcPr>
            <w:tcW w:w="1275"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c>
          <w:tcPr>
            <w:tcW w:w="1548" w:type="dxa"/>
            <w:shd w:val="clear" w:color="auto" w:fill="auto"/>
            <w:vAlign w:val="center"/>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vAlign w:val="center"/>
            <w:hideMark/>
          </w:tcPr>
          <w:p w:rsidR="005E49E4" w:rsidRPr="004745A6" w:rsidRDefault="005E49E4" w:rsidP="005E49E4">
            <w:pPr>
              <w:spacing w:after="0"/>
              <w:ind w:firstLine="0"/>
              <w:jc w:val="left"/>
              <w:rPr>
                <w:b/>
                <w:bCs/>
                <w:color w:val="000000" w:themeColor="text1"/>
                <w:sz w:val="20"/>
                <w:lang w:eastAsia="lv-LV"/>
              </w:rPr>
            </w:pPr>
            <w:r w:rsidRPr="004745A6">
              <w:rPr>
                <w:b/>
                <w:bCs/>
                <w:color w:val="000000" w:themeColor="text1"/>
                <w:sz w:val="20"/>
                <w:lang w:eastAsia="lv-LV"/>
              </w:rPr>
              <w:t>Dotācija pašvaldībām</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jc w:val="left"/>
              <w:rPr>
                <w:color w:val="000000" w:themeColor="text1"/>
                <w:sz w:val="20"/>
                <w:highlight w:val="yellow"/>
                <w:lang w:eastAsia="lv-LV"/>
              </w:rPr>
            </w:pPr>
            <w:r w:rsidRPr="004745A6">
              <w:rPr>
                <w:color w:val="000000" w:themeColor="text1"/>
                <w:sz w:val="20"/>
              </w:rPr>
              <w:t>Pašvaldību speciālās dotācijas palielinājums par 10% pret iepriekšējo gadu</w:t>
            </w:r>
          </w:p>
        </w:tc>
        <w:tc>
          <w:tcPr>
            <w:tcW w:w="1374" w:type="dxa"/>
            <w:vAlign w:val="center"/>
          </w:tcPr>
          <w:p w:rsidR="005E49E4" w:rsidRPr="004745A6" w:rsidRDefault="005E49E4" w:rsidP="005E49E4">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-0,08</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0,06</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0,03</w:t>
            </w:r>
          </w:p>
        </w:tc>
      </w:tr>
      <w:tr w:rsidR="005E49E4" w:rsidRPr="004745A6" w:rsidTr="005E49E4">
        <w:trPr>
          <w:trHeight w:val="255"/>
        </w:trPr>
        <w:tc>
          <w:tcPr>
            <w:tcW w:w="6001" w:type="dxa"/>
            <w:shd w:val="clear" w:color="000000" w:fill="DDEBF7"/>
            <w:hideMark/>
          </w:tcPr>
          <w:p w:rsidR="005E49E4" w:rsidRPr="004745A6" w:rsidRDefault="005E49E4" w:rsidP="005E49E4">
            <w:pPr>
              <w:spacing w:after="0"/>
              <w:ind w:firstLine="0"/>
              <w:rPr>
                <w:b/>
                <w:bCs/>
                <w:color w:val="000000" w:themeColor="text1"/>
                <w:sz w:val="20"/>
                <w:lang w:eastAsia="lv-LV"/>
              </w:rPr>
            </w:pPr>
            <w:r w:rsidRPr="004745A6">
              <w:rPr>
                <w:b/>
                <w:bCs/>
                <w:color w:val="000000" w:themeColor="text1"/>
                <w:sz w:val="20"/>
                <w:lang w:eastAsia="lv-LV"/>
              </w:rPr>
              <w:t>Gadskārtējā valsts budžeta izpildes procesā pārdalāmais finansējums</w:t>
            </w:r>
          </w:p>
        </w:tc>
        <w:tc>
          <w:tcPr>
            <w:tcW w:w="1374" w:type="dxa"/>
            <w:shd w:val="clear" w:color="000000" w:fill="DDEBF7"/>
            <w:vAlign w:val="center"/>
          </w:tcPr>
          <w:p w:rsidR="005E49E4" w:rsidRPr="004745A6" w:rsidRDefault="005E49E4" w:rsidP="005E49E4">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5E49E4" w:rsidRPr="004745A6" w:rsidRDefault="005E49E4" w:rsidP="005E49E4">
            <w:pPr>
              <w:spacing w:after="0"/>
              <w:ind w:firstLine="0"/>
              <w:jc w:val="center"/>
              <w:rPr>
                <w:b/>
                <w:bCs/>
                <w:color w:val="000000" w:themeColor="text1"/>
                <w:sz w:val="20"/>
                <w:highlight w:val="yellow"/>
                <w:lang w:eastAsia="lv-LV"/>
              </w:rPr>
            </w:pPr>
          </w:p>
        </w:tc>
      </w:tr>
      <w:tr w:rsidR="005E49E4" w:rsidRPr="004745A6" w:rsidTr="005E49E4">
        <w:trPr>
          <w:trHeight w:val="255"/>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Finansējums samazināts atbilstoši MK pieņemtajiem lēmumiem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Finansējums palielināts atbilstoši MK pieņemtajiem lēmumiem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0,02</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'Pārdalītais finansējums uz KNAB, ĀM, FM, IeM, TM un Prokuratūru noziedzīgi iegūtu līdzekļu legalizācijas un terorisma finansēšanas novēršanai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-0,01</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30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Finansējums Covid-19 krīzes pārvarēšanas un ekonomikas atlabšanas pasākumam "Demogrāfija"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0,04</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-0,04</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510"/>
        </w:trPr>
        <w:tc>
          <w:tcPr>
            <w:tcW w:w="6001" w:type="dxa"/>
            <w:shd w:val="clear" w:color="auto" w:fill="auto"/>
            <w:vAlign w:val="center"/>
            <w:hideMark/>
          </w:tcPr>
          <w:p w:rsidR="005E49E4" w:rsidRPr="004745A6" w:rsidRDefault="005E49E4" w:rsidP="005E49E4">
            <w:pPr>
              <w:spacing w:after="0"/>
              <w:ind w:firstLine="0"/>
              <w:rPr>
                <w:color w:val="000000" w:themeColor="text1"/>
                <w:sz w:val="20"/>
                <w:highlight w:val="yellow"/>
                <w:lang w:eastAsia="lv-LV"/>
              </w:rPr>
            </w:pPr>
            <w:r w:rsidRPr="004745A6">
              <w:rPr>
                <w:color w:val="000000" w:themeColor="text1"/>
                <w:sz w:val="20"/>
              </w:rPr>
              <w:t xml:space="preserve">Pārdalītais finansējums ES politikas instrumentu un pārējās ārvalstu finanšu palīdzības projektu īstenošanai no/uz budžeta resoriem </w:t>
            </w:r>
          </w:p>
        </w:tc>
        <w:tc>
          <w:tcPr>
            <w:tcW w:w="1374" w:type="dxa"/>
            <w:vAlign w:val="center"/>
          </w:tcPr>
          <w:p w:rsidR="005E49E4" w:rsidRPr="004745A6" w:rsidRDefault="005E49E4" w:rsidP="005E49E4">
            <w:pPr>
              <w:spacing w:after="0"/>
              <w:ind w:firstLine="0"/>
              <w:jc w:val="center"/>
              <w:rPr>
                <w:color w:val="000000" w:themeColor="text1"/>
                <w:sz w:val="20"/>
              </w:rPr>
            </w:pPr>
          </w:p>
        </w:tc>
        <w:tc>
          <w:tcPr>
            <w:tcW w:w="1560"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Naudas plūsma</w:t>
            </w:r>
          </w:p>
        </w:tc>
        <w:tc>
          <w:tcPr>
            <w:tcW w:w="1559" w:type="dxa"/>
            <w:shd w:val="clear" w:color="auto" w:fill="auto"/>
            <w:noWrap/>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Apstiprināts valdībā</w:t>
            </w:r>
          </w:p>
        </w:tc>
        <w:tc>
          <w:tcPr>
            <w:tcW w:w="1276"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-0,15</w:t>
            </w:r>
          </w:p>
        </w:tc>
        <w:tc>
          <w:tcPr>
            <w:tcW w:w="1275"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0,14</w:t>
            </w:r>
          </w:p>
        </w:tc>
        <w:tc>
          <w:tcPr>
            <w:tcW w:w="1548" w:type="dxa"/>
            <w:shd w:val="clear" w:color="auto" w:fill="auto"/>
            <w:vAlign w:val="center"/>
            <w:hideMark/>
          </w:tcPr>
          <w:p w:rsidR="005E49E4" w:rsidRPr="004745A6" w:rsidRDefault="005E49E4" w:rsidP="005E49E4">
            <w:pPr>
              <w:spacing w:after="0"/>
              <w:ind w:firstLine="0"/>
              <w:jc w:val="center"/>
              <w:rPr>
                <w:color w:val="000000" w:themeColor="text1"/>
                <w:sz w:val="20"/>
                <w:highlight w:val="yellow"/>
                <w:lang w:eastAsia="lv-LV"/>
              </w:rPr>
            </w:pPr>
            <w:r w:rsidRPr="004745A6">
              <w:rPr>
                <w:color w:val="000000" w:themeColor="text1"/>
                <w:sz w:val="20"/>
              </w:rPr>
              <w:t>0,00</w:t>
            </w:r>
          </w:p>
        </w:tc>
      </w:tr>
      <w:tr w:rsidR="005E49E4" w:rsidRPr="004745A6" w:rsidTr="005E49E4">
        <w:trPr>
          <w:trHeight w:val="255"/>
        </w:trPr>
        <w:tc>
          <w:tcPr>
            <w:tcW w:w="6001" w:type="dxa"/>
            <w:shd w:val="clear" w:color="000000" w:fill="DDEBF7"/>
            <w:vAlign w:val="center"/>
            <w:hideMark/>
          </w:tcPr>
          <w:p w:rsidR="005E49E4" w:rsidRPr="004745A6" w:rsidRDefault="005E49E4" w:rsidP="005E49E4">
            <w:pPr>
              <w:spacing w:after="0"/>
              <w:ind w:firstLine="0"/>
              <w:jc w:val="left"/>
              <w:rPr>
                <w:color w:val="000000" w:themeColor="text1"/>
                <w:sz w:val="20"/>
                <w:lang w:eastAsia="lv-LV"/>
              </w:rPr>
            </w:pPr>
            <w:r w:rsidRPr="004745A6">
              <w:rPr>
                <w:color w:val="000000" w:themeColor="text1"/>
                <w:sz w:val="20"/>
                <w:lang w:eastAsia="lv-LV"/>
              </w:rPr>
              <w:t>Citi prioritārie pasākumi</w:t>
            </w:r>
          </w:p>
        </w:tc>
        <w:tc>
          <w:tcPr>
            <w:tcW w:w="1374" w:type="dxa"/>
            <w:shd w:val="clear" w:color="000000" w:fill="DDEBF7"/>
            <w:vAlign w:val="center"/>
          </w:tcPr>
          <w:p w:rsidR="005E49E4" w:rsidRPr="004745A6" w:rsidRDefault="005E49E4" w:rsidP="005E49E4">
            <w:pPr>
              <w:spacing w:after="0"/>
              <w:ind w:firstLine="0"/>
              <w:jc w:val="center"/>
              <w:rPr>
                <w:color w:val="000000" w:themeColor="text1"/>
                <w:sz w:val="20"/>
              </w:rPr>
            </w:pPr>
          </w:p>
        </w:tc>
        <w:tc>
          <w:tcPr>
            <w:tcW w:w="1560" w:type="dxa"/>
            <w:shd w:val="clear" w:color="000000" w:fill="DDEBF7"/>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Naudas plūsma</w:t>
            </w:r>
          </w:p>
        </w:tc>
        <w:tc>
          <w:tcPr>
            <w:tcW w:w="1559" w:type="dxa"/>
            <w:shd w:val="clear" w:color="000000" w:fill="DDEBF7"/>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Apstiprināts valdībā</w:t>
            </w:r>
          </w:p>
        </w:tc>
        <w:tc>
          <w:tcPr>
            <w:tcW w:w="1276" w:type="dxa"/>
            <w:shd w:val="clear" w:color="000000" w:fill="DDEBF7"/>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0,28</w:t>
            </w:r>
          </w:p>
        </w:tc>
        <w:tc>
          <w:tcPr>
            <w:tcW w:w="1275" w:type="dxa"/>
            <w:shd w:val="clear" w:color="000000" w:fill="DDEBF7"/>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-0,11</w:t>
            </w:r>
          </w:p>
        </w:tc>
        <w:tc>
          <w:tcPr>
            <w:tcW w:w="1548" w:type="dxa"/>
            <w:shd w:val="clear" w:color="000000" w:fill="DDEBF7"/>
            <w:vAlign w:val="center"/>
            <w:hideMark/>
          </w:tcPr>
          <w:p w:rsidR="005E49E4" w:rsidRPr="004745A6" w:rsidRDefault="005E49E4" w:rsidP="005E49E4">
            <w:pPr>
              <w:spacing w:after="0"/>
              <w:ind w:firstLine="0"/>
              <w:jc w:val="center"/>
              <w:rPr>
                <w:color w:val="000000" w:themeColor="text1"/>
                <w:sz w:val="20"/>
              </w:rPr>
            </w:pPr>
            <w:r w:rsidRPr="004745A6">
              <w:rPr>
                <w:color w:val="000000" w:themeColor="text1"/>
                <w:sz w:val="20"/>
              </w:rPr>
              <w:t>-0,02</w:t>
            </w:r>
          </w:p>
        </w:tc>
      </w:tr>
      <w:tr w:rsidR="002340D8" w:rsidRPr="004745A6" w:rsidTr="002340D8">
        <w:trPr>
          <w:trHeight w:val="255"/>
        </w:trPr>
        <w:tc>
          <w:tcPr>
            <w:tcW w:w="10494" w:type="dxa"/>
            <w:gridSpan w:val="4"/>
            <w:vAlign w:val="center"/>
          </w:tcPr>
          <w:p w:rsidR="002340D8" w:rsidRPr="004745A6" w:rsidRDefault="002340D8" w:rsidP="002340D8">
            <w:pPr>
              <w:spacing w:after="0"/>
              <w:ind w:firstLine="0"/>
              <w:jc w:val="right"/>
              <w:rPr>
                <w:b/>
                <w:bCs/>
                <w:color w:val="000000" w:themeColor="text1"/>
                <w:sz w:val="20"/>
                <w:lang w:eastAsia="lv-LV"/>
              </w:rPr>
            </w:pPr>
            <w:r w:rsidRPr="004745A6">
              <w:rPr>
                <w:b/>
                <w:bCs/>
                <w:color w:val="000000" w:themeColor="text1"/>
                <w:sz w:val="20"/>
                <w:lang w:eastAsia="lv-LV"/>
              </w:rPr>
              <w:t>Kopā</w:t>
            </w:r>
          </w:p>
        </w:tc>
        <w:tc>
          <w:tcPr>
            <w:tcW w:w="1276" w:type="dxa"/>
            <w:shd w:val="clear" w:color="auto" w:fill="auto"/>
            <w:vAlign w:val="bottom"/>
            <w:hideMark/>
          </w:tcPr>
          <w:p w:rsidR="002340D8" w:rsidRPr="004745A6" w:rsidRDefault="002340D8" w:rsidP="005E49E4">
            <w:pPr>
              <w:spacing w:after="0"/>
              <w:ind w:firstLine="0"/>
              <w:jc w:val="center"/>
              <w:rPr>
                <w:b/>
                <w:bCs/>
                <w:color w:val="000000" w:themeColor="text1"/>
                <w:sz w:val="20"/>
                <w:highlight w:val="yellow"/>
                <w:lang w:eastAsia="lv-LV"/>
              </w:rPr>
            </w:pPr>
            <w:r w:rsidRPr="004745A6">
              <w:rPr>
                <w:b/>
                <w:bCs/>
                <w:color w:val="000000" w:themeColor="text1"/>
                <w:sz w:val="20"/>
              </w:rPr>
              <w:t>1,01</w:t>
            </w:r>
          </w:p>
        </w:tc>
        <w:tc>
          <w:tcPr>
            <w:tcW w:w="1275" w:type="dxa"/>
            <w:shd w:val="clear" w:color="auto" w:fill="auto"/>
            <w:vAlign w:val="bottom"/>
            <w:hideMark/>
          </w:tcPr>
          <w:p w:rsidR="002340D8" w:rsidRPr="004745A6" w:rsidRDefault="002340D8" w:rsidP="005E49E4">
            <w:pPr>
              <w:spacing w:after="0"/>
              <w:ind w:firstLine="0"/>
              <w:jc w:val="center"/>
              <w:rPr>
                <w:b/>
                <w:bCs/>
                <w:color w:val="000000" w:themeColor="text1"/>
                <w:sz w:val="20"/>
                <w:highlight w:val="yellow"/>
                <w:lang w:eastAsia="lv-LV"/>
              </w:rPr>
            </w:pPr>
            <w:r w:rsidRPr="004745A6">
              <w:rPr>
                <w:b/>
                <w:bCs/>
                <w:color w:val="000000" w:themeColor="text1"/>
                <w:sz w:val="20"/>
              </w:rPr>
              <w:t>0,09</w:t>
            </w:r>
          </w:p>
        </w:tc>
        <w:tc>
          <w:tcPr>
            <w:tcW w:w="1548" w:type="dxa"/>
            <w:shd w:val="clear" w:color="auto" w:fill="auto"/>
            <w:vAlign w:val="bottom"/>
            <w:hideMark/>
          </w:tcPr>
          <w:p w:rsidR="002340D8" w:rsidRPr="004745A6" w:rsidRDefault="002340D8" w:rsidP="005E49E4">
            <w:pPr>
              <w:spacing w:after="0"/>
              <w:ind w:firstLine="0"/>
              <w:jc w:val="center"/>
              <w:rPr>
                <w:b/>
                <w:bCs/>
                <w:color w:val="000000" w:themeColor="text1"/>
                <w:sz w:val="20"/>
                <w:highlight w:val="yellow"/>
                <w:lang w:eastAsia="lv-LV"/>
              </w:rPr>
            </w:pPr>
            <w:r w:rsidRPr="004745A6">
              <w:rPr>
                <w:b/>
                <w:bCs/>
                <w:color w:val="000000" w:themeColor="text1"/>
                <w:sz w:val="20"/>
              </w:rPr>
              <w:t>-0,04</w:t>
            </w:r>
          </w:p>
        </w:tc>
      </w:tr>
    </w:tbl>
    <w:p w:rsidR="00A71B0C" w:rsidRDefault="00A71B0C" w:rsidP="00052FB5">
      <w:pPr>
        <w:ind w:firstLine="0"/>
        <w:rPr>
          <w:highlight w:val="yellow"/>
          <w:lang w:eastAsia="x-none"/>
        </w:rPr>
      </w:pPr>
    </w:p>
    <w:tbl>
      <w:tblPr>
        <w:tblStyle w:val="GridTable6Colorful-Accent12"/>
        <w:tblW w:w="8506" w:type="dxa"/>
        <w:tblInd w:w="137" w:type="dxa"/>
        <w:tblLook w:val="04A0" w:firstRow="1" w:lastRow="0" w:firstColumn="1" w:lastColumn="0" w:noHBand="0" w:noVBand="1"/>
      </w:tblPr>
      <w:tblGrid>
        <w:gridCol w:w="7546"/>
        <w:gridCol w:w="960"/>
      </w:tblGrid>
      <w:tr w:rsidR="00D6722D" w:rsidRPr="002404AE" w:rsidTr="00AB3D89">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546" w:type="dxa"/>
          </w:tcPr>
          <w:p w:rsidR="00D6722D" w:rsidRPr="002404AE" w:rsidRDefault="00D6722D" w:rsidP="00D6722D">
            <w:pPr>
              <w:spacing w:after="0"/>
              <w:ind w:firstLine="0"/>
              <w:jc w:val="left"/>
              <w:rPr>
                <w:b w:val="0"/>
                <w:bCs w:val="0"/>
                <w:color w:val="000000"/>
                <w:sz w:val="20"/>
                <w:lang w:eastAsia="lv-LV"/>
              </w:rPr>
            </w:pPr>
            <w:r w:rsidRPr="002404AE">
              <w:rPr>
                <w:color w:val="000000"/>
                <w:sz w:val="20"/>
                <w:lang w:eastAsia="lv-LV"/>
              </w:rPr>
              <w:t>Citas izmaiņas budžeta sagatavošanas procesā (% no IKP)</w:t>
            </w:r>
          </w:p>
        </w:tc>
        <w:tc>
          <w:tcPr>
            <w:tcW w:w="960" w:type="dxa"/>
            <w:noWrap/>
          </w:tcPr>
          <w:p w:rsidR="00D6722D" w:rsidRPr="002404AE" w:rsidRDefault="00D6722D" w:rsidP="00D6722D">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2404AE">
              <w:rPr>
                <w:color w:val="000000"/>
                <w:sz w:val="20"/>
                <w:lang w:eastAsia="lv-LV"/>
              </w:rPr>
              <w:t>2021</w:t>
            </w:r>
          </w:p>
        </w:tc>
      </w:tr>
      <w:tr w:rsidR="00D6722D" w:rsidRPr="002404AE" w:rsidTr="00AB3D8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546" w:type="dxa"/>
          </w:tcPr>
          <w:p w:rsidR="00D6722D" w:rsidRPr="002404AE" w:rsidRDefault="00D6722D" w:rsidP="00D6722D">
            <w:pPr>
              <w:spacing w:after="0"/>
              <w:ind w:firstLine="0"/>
              <w:jc w:val="left"/>
              <w:rPr>
                <w:b w:val="0"/>
                <w:bCs w:val="0"/>
                <w:color w:val="000000"/>
                <w:sz w:val="20"/>
                <w:lang w:eastAsia="lv-LV"/>
              </w:rPr>
            </w:pPr>
            <w:r w:rsidRPr="002404AE">
              <w:rPr>
                <w:b w:val="0"/>
                <w:bCs w:val="0"/>
                <w:color w:val="000000"/>
                <w:sz w:val="20"/>
                <w:lang w:eastAsia="lv-LV"/>
              </w:rPr>
              <w:t>Izdevumu samazinājums pašvaldību budžetā, saistībā ar ieņēmumu samazinājumu</w:t>
            </w:r>
          </w:p>
        </w:tc>
        <w:tc>
          <w:tcPr>
            <w:tcW w:w="960" w:type="dxa"/>
            <w:noWrap/>
          </w:tcPr>
          <w:p w:rsidR="00D6722D" w:rsidRPr="002404AE" w:rsidRDefault="00D6722D" w:rsidP="00D6722D">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2404AE">
              <w:rPr>
                <w:b/>
                <w:bCs/>
                <w:color w:val="000000"/>
                <w:sz w:val="20"/>
                <w:lang w:eastAsia="lv-LV"/>
              </w:rPr>
              <w:t>-0,26</w:t>
            </w:r>
          </w:p>
        </w:tc>
      </w:tr>
    </w:tbl>
    <w:p w:rsidR="006800C7" w:rsidRPr="00BF5371" w:rsidRDefault="006800C7" w:rsidP="00052FB5">
      <w:pPr>
        <w:ind w:firstLine="0"/>
        <w:rPr>
          <w:highlight w:val="yellow"/>
          <w:lang w:eastAsia="x-none"/>
        </w:rPr>
      </w:pPr>
    </w:p>
    <w:p w:rsidR="006068F2" w:rsidRPr="00BF5371" w:rsidRDefault="006068F2">
      <w:pPr>
        <w:spacing w:after="0"/>
        <w:ind w:firstLine="0"/>
        <w:jc w:val="left"/>
        <w:rPr>
          <w:b/>
          <w:bCs/>
          <w:color w:val="18185F"/>
          <w:szCs w:val="28"/>
          <w:highlight w:val="yellow"/>
          <w:lang w:eastAsia="x-none"/>
        </w:rPr>
      </w:pPr>
      <w:bookmarkStart w:id="30" w:name="_Toc494786355"/>
      <w:r w:rsidRPr="00BF5371">
        <w:rPr>
          <w:color w:val="18185F"/>
          <w:highlight w:val="yellow"/>
        </w:rPr>
        <w:br w:type="page"/>
      </w:r>
    </w:p>
    <w:p w:rsidR="00006BD6" w:rsidRPr="00A127F3" w:rsidRDefault="00F900B2" w:rsidP="00006BD6">
      <w:pPr>
        <w:pStyle w:val="Heading1"/>
        <w:tabs>
          <w:tab w:val="left" w:pos="1276"/>
        </w:tabs>
        <w:spacing w:before="0" w:after="240"/>
        <w:ind w:left="1276" w:hanging="1276"/>
        <w:jc w:val="left"/>
        <w:rPr>
          <w:rFonts w:ascii="Times New Roman" w:hAnsi="Times New Roman"/>
          <w:color w:val="18185F"/>
          <w:sz w:val="24"/>
          <w:lang w:val="lv-LV"/>
        </w:rPr>
      </w:pPr>
      <w:bookmarkStart w:id="31" w:name="_Toc53388938"/>
      <w:r w:rsidRPr="00A127F3">
        <w:rPr>
          <w:rFonts w:ascii="Times New Roman" w:hAnsi="Times New Roman"/>
          <w:color w:val="18185F"/>
          <w:sz w:val="24"/>
          <w:lang w:val="lv-LV"/>
        </w:rPr>
        <w:lastRenderedPageBreak/>
        <w:t>Tabula</w:t>
      </w:r>
      <w:r w:rsidRPr="00A127F3">
        <w:rPr>
          <w:rFonts w:ascii="Times New Roman" w:hAnsi="Times New Roman"/>
          <w:color w:val="18185F"/>
          <w:sz w:val="24"/>
        </w:rPr>
        <w:t xml:space="preserve"> </w:t>
      </w:r>
      <w:r w:rsidR="00006BD6" w:rsidRPr="00A127F3">
        <w:rPr>
          <w:rFonts w:ascii="Times New Roman" w:hAnsi="Times New Roman"/>
          <w:color w:val="18185F"/>
          <w:sz w:val="24"/>
        </w:rPr>
        <w:t>5.b</w:t>
      </w:r>
      <w:r w:rsidR="005B2F54" w:rsidRPr="00A127F3">
        <w:rPr>
          <w:rFonts w:ascii="Times New Roman" w:hAnsi="Times New Roman"/>
          <w:color w:val="18185F"/>
          <w:sz w:val="24"/>
          <w:lang w:val="lv-LV"/>
        </w:rPr>
        <w:t>.i)</w:t>
      </w:r>
      <w:r w:rsidR="00006BD6" w:rsidRPr="00A127F3">
        <w:rPr>
          <w:rFonts w:ascii="Times New Roman" w:hAnsi="Times New Roman"/>
          <w:color w:val="18185F"/>
          <w:sz w:val="24"/>
        </w:rPr>
        <w:t xml:space="preserve">: </w:t>
      </w:r>
      <w:proofErr w:type="spellStart"/>
      <w:r w:rsidR="00006BD6" w:rsidRPr="00A127F3">
        <w:rPr>
          <w:rFonts w:ascii="Times New Roman" w:hAnsi="Times New Roman"/>
          <w:color w:val="18185F"/>
          <w:sz w:val="24"/>
        </w:rPr>
        <w:t>Diskrecionārie</w:t>
      </w:r>
      <w:proofErr w:type="spellEnd"/>
      <w:r w:rsidR="00006BD6" w:rsidRPr="00A127F3">
        <w:rPr>
          <w:rFonts w:ascii="Times New Roman" w:hAnsi="Times New Roman"/>
          <w:color w:val="18185F"/>
          <w:sz w:val="24"/>
          <w:lang w:val="lv-LV"/>
        </w:rPr>
        <w:t xml:space="preserve"> ieņēmumu</w:t>
      </w:r>
      <w:r w:rsidR="00006BD6" w:rsidRPr="00A127F3">
        <w:rPr>
          <w:rFonts w:ascii="Times New Roman" w:hAnsi="Times New Roman"/>
          <w:color w:val="18185F"/>
          <w:sz w:val="24"/>
        </w:rPr>
        <w:t xml:space="preserve"> pasākumi </w:t>
      </w:r>
      <w:r w:rsidR="00006BD6" w:rsidRPr="00A127F3">
        <w:rPr>
          <w:rFonts w:ascii="Times New Roman" w:hAnsi="Times New Roman"/>
          <w:color w:val="18185F"/>
          <w:sz w:val="24"/>
          <w:lang w:val="lv-LV"/>
        </w:rPr>
        <w:t>centrālās valdības budžetā</w:t>
      </w:r>
      <w:bookmarkEnd w:id="30"/>
      <w:bookmarkEnd w:id="31"/>
    </w:p>
    <w:tbl>
      <w:tblPr>
        <w:tblW w:w="14884"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402"/>
        <w:gridCol w:w="3969"/>
        <w:gridCol w:w="1701"/>
        <w:gridCol w:w="709"/>
        <w:gridCol w:w="1134"/>
        <w:gridCol w:w="1418"/>
        <w:gridCol w:w="850"/>
        <w:gridCol w:w="851"/>
        <w:gridCol w:w="850"/>
      </w:tblGrid>
      <w:tr w:rsidR="000039B2" w:rsidRPr="009840E8" w:rsidTr="00F538F4">
        <w:trPr>
          <w:trHeight w:val="227"/>
        </w:trPr>
        <w:tc>
          <w:tcPr>
            <w:tcW w:w="3402"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Pasākumu saraksts</w:t>
            </w:r>
          </w:p>
        </w:tc>
        <w:tc>
          <w:tcPr>
            <w:tcW w:w="3969"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Detalizēts apraksts*</w:t>
            </w:r>
          </w:p>
        </w:tc>
        <w:tc>
          <w:tcPr>
            <w:tcW w:w="1701"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Nodokļu veids</w:t>
            </w:r>
          </w:p>
        </w:tc>
        <w:tc>
          <w:tcPr>
            <w:tcW w:w="709"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ESA kods</w:t>
            </w:r>
          </w:p>
        </w:tc>
        <w:tc>
          <w:tcPr>
            <w:tcW w:w="1134"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Uzskaites princips</w:t>
            </w:r>
          </w:p>
        </w:tc>
        <w:tc>
          <w:tcPr>
            <w:tcW w:w="1418" w:type="dxa"/>
            <w:vMerge w:val="restart"/>
            <w:shd w:val="clear" w:color="auto" w:fill="DBE5F1" w:themeFill="accent1" w:themeFillTint="33"/>
            <w:vAlign w:val="center"/>
            <w:hideMark/>
          </w:tcPr>
          <w:p w:rsidR="001A6D76" w:rsidRPr="004745A6" w:rsidRDefault="001A6D76" w:rsidP="00517CBD">
            <w:pPr>
              <w:spacing w:after="0"/>
              <w:ind w:firstLine="0"/>
              <w:jc w:val="center"/>
              <w:rPr>
                <w:b/>
                <w:bCs/>
                <w:color w:val="000000" w:themeColor="text1"/>
                <w:sz w:val="20"/>
                <w:lang w:eastAsia="lv-LV"/>
              </w:rPr>
            </w:pPr>
            <w:r w:rsidRPr="004745A6">
              <w:rPr>
                <w:b/>
                <w:bCs/>
                <w:color w:val="000000" w:themeColor="text1"/>
                <w:sz w:val="20"/>
                <w:lang w:eastAsia="lv-LV"/>
              </w:rPr>
              <w:t>Pieņemšanas statuss</w:t>
            </w:r>
          </w:p>
        </w:tc>
        <w:tc>
          <w:tcPr>
            <w:tcW w:w="2551" w:type="dxa"/>
            <w:gridSpan w:val="3"/>
            <w:shd w:val="clear" w:color="auto" w:fill="DBE5F1" w:themeFill="accent1" w:themeFillTint="33"/>
            <w:noWrap/>
            <w:vAlign w:val="center"/>
            <w:hideMark/>
          </w:tcPr>
          <w:p w:rsidR="001A6D76" w:rsidRPr="004745A6" w:rsidRDefault="001A6D76" w:rsidP="001A6D76">
            <w:pPr>
              <w:spacing w:after="0"/>
              <w:ind w:firstLine="0"/>
              <w:jc w:val="center"/>
              <w:rPr>
                <w:b/>
                <w:bCs/>
                <w:color w:val="000000" w:themeColor="text1"/>
                <w:sz w:val="20"/>
                <w:lang w:eastAsia="lv-LV"/>
              </w:rPr>
            </w:pPr>
            <w:r w:rsidRPr="004745A6">
              <w:rPr>
                <w:b/>
                <w:bCs/>
                <w:color w:val="000000" w:themeColor="text1"/>
                <w:sz w:val="20"/>
                <w:lang w:eastAsia="lv-LV"/>
              </w:rPr>
              <w:t>Ietekme uz budžetu</w:t>
            </w:r>
          </w:p>
        </w:tc>
      </w:tr>
      <w:tr w:rsidR="000039B2" w:rsidRPr="009840E8" w:rsidTr="00F538F4">
        <w:trPr>
          <w:trHeight w:val="227"/>
        </w:trPr>
        <w:tc>
          <w:tcPr>
            <w:tcW w:w="3402" w:type="dxa"/>
            <w:vMerge/>
            <w:vAlign w:val="center"/>
            <w:hideMark/>
          </w:tcPr>
          <w:p w:rsidR="001A6D76" w:rsidRPr="004745A6" w:rsidRDefault="001A6D76" w:rsidP="00517CBD">
            <w:pPr>
              <w:spacing w:after="0"/>
              <w:ind w:firstLine="0"/>
              <w:jc w:val="left"/>
              <w:rPr>
                <w:b/>
                <w:bCs/>
                <w:color w:val="000000" w:themeColor="text1"/>
                <w:sz w:val="20"/>
                <w:lang w:eastAsia="lv-LV"/>
              </w:rPr>
            </w:pPr>
          </w:p>
        </w:tc>
        <w:tc>
          <w:tcPr>
            <w:tcW w:w="3969" w:type="dxa"/>
            <w:vMerge/>
            <w:vAlign w:val="center"/>
            <w:hideMark/>
          </w:tcPr>
          <w:p w:rsidR="001A6D76" w:rsidRPr="004745A6" w:rsidRDefault="001A6D76" w:rsidP="00517CBD">
            <w:pPr>
              <w:spacing w:after="0"/>
              <w:ind w:firstLine="0"/>
              <w:jc w:val="left"/>
              <w:rPr>
                <w:b/>
                <w:bCs/>
                <w:color w:val="000000" w:themeColor="text1"/>
                <w:sz w:val="20"/>
                <w:lang w:eastAsia="lv-LV"/>
              </w:rPr>
            </w:pPr>
          </w:p>
        </w:tc>
        <w:tc>
          <w:tcPr>
            <w:tcW w:w="1701" w:type="dxa"/>
            <w:vMerge/>
            <w:vAlign w:val="center"/>
            <w:hideMark/>
          </w:tcPr>
          <w:p w:rsidR="001A6D76" w:rsidRPr="004745A6" w:rsidRDefault="001A6D76" w:rsidP="00517CBD">
            <w:pPr>
              <w:spacing w:after="0"/>
              <w:ind w:firstLine="0"/>
              <w:jc w:val="center"/>
              <w:rPr>
                <w:b/>
                <w:bCs/>
                <w:color w:val="000000" w:themeColor="text1"/>
                <w:sz w:val="20"/>
                <w:lang w:eastAsia="lv-LV"/>
              </w:rPr>
            </w:pPr>
          </w:p>
        </w:tc>
        <w:tc>
          <w:tcPr>
            <w:tcW w:w="709" w:type="dxa"/>
            <w:vMerge/>
            <w:vAlign w:val="center"/>
            <w:hideMark/>
          </w:tcPr>
          <w:p w:rsidR="001A6D76" w:rsidRPr="004745A6" w:rsidRDefault="001A6D76" w:rsidP="00517CBD">
            <w:pPr>
              <w:spacing w:after="0"/>
              <w:ind w:firstLine="0"/>
              <w:jc w:val="left"/>
              <w:rPr>
                <w:b/>
                <w:bCs/>
                <w:color w:val="000000" w:themeColor="text1"/>
                <w:sz w:val="20"/>
                <w:lang w:eastAsia="lv-LV"/>
              </w:rPr>
            </w:pPr>
          </w:p>
        </w:tc>
        <w:tc>
          <w:tcPr>
            <w:tcW w:w="1134" w:type="dxa"/>
            <w:vMerge/>
            <w:vAlign w:val="center"/>
            <w:hideMark/>
          </w:tcPr>
          <w:p w:rsidR="001A6D76" w:rsidRPr="004745A6" w:rsidRDefault="001A6D76" w:rsidP="00517CBD">
            <w:pPr>
              <w:spacing w:after="0"/>
              <w:ind w:firstLine="0"/>
              <w:jc w:val="left"/>
              <w:rPr>
                <w:b/>
                <w:bCs/>
                <w:color w:val="000000" w:themeColor="text1"/>
                <w:sz w:val="20"/>
                <w:lang w:eastAsia="lv-LV"/>
              </w:rPr>
            </w:pPr>
          </w:p>
        </w:tc>
        <w:tc>
          <w:tcPr>
            <w:tcW w:w="1418" w:type="dxa"/>
            <w:vMerge/>
            <w:vAlign w:val="center"/>
            <w:hideMark/>
          </w:tcPr>
          <w:p w:rsidR="001A6D76" w:rsidRPr="004745A6" w:rsidRDefault="001A6D76" w:rsidP="00517CBD">
            <w:pPr>
              <w:spacing w:after="0"/>
              <w:ind w:firstLine="0"/>
              <w:jc w:val="left"/>
              <w:rPr>
                <w:b/>
                <w:bCs/>
                <w:color w:val="000000" w:themeColor="text1"/>
                <w:sz w:val="20"/>
                <w:lang w:eastAsia="lv-LV"/>
              </w:rPr>
            </w:pPr>
          </w:p>
        </w:tc>
        <w:tc>
          <w:tcPr>
            <w:tcW w:w="850" w:type="dxa"/>
            <w:shd w:val="clear" w:color="auto" w:fill="auto"/>
            <w:vAlign w:val="center"/>
            <w:hideMark/>
          </w:tcPr>
          <w:p w:rsidR="001A6D76" w:rsidRPr="004745A6" w:rsidRDefault="001A6D76" w:rsidP="001A6D76">
            <w:pPr>
              <w:spacing w:after="0"/>
              <w:ind w:firstLine="0"/>
              <w:jc w:val="center"/>
              <w:rPr>
                <w:b/>
                <w:bCs/>
                <w:color w:val="000000" w:themeColor="text1"/>
                <w:sz w:val="20"/>
                <w:lang w:eastAsia="lv-LV"/>
              </w:rPr>
            </w:pPr>
            <w:r w:rsidRPr="004745A6">
              <w:rPr>
                <w:b/>
                <w:bCs/>
                <w:color w:val="000000" w:themeColor="text1"/>
                <w:sz w:val="20"/>
              </w:rPr>
              <w:t>2021</w:t>
            </w:r>
          </w:p>
        </w:tc>
        <w:tc>
          <w:tcPr>
            <w:tcW w:w="851" w:type="dxa"/>
            <w:shd w:val="clear" w:color="auto" w:fill="auto"/>
            <w:vAlign w:val="center"/>
            <w:hideMark/>
          </w:tcPr>
          <w:p w:rsidR="001A6D76" w:rsidRPr="004745A6" w:rsidRDefault="001A6D76" w:rsidP="001A6D76">
            <w:pPr>
              <w:spacing w:after="0"/>
              <w:ind w:firstLine="0"/>
              <w:jc w:val="center"/>
              <w:rPr>
                <w:b/>
                <w:bCs/>
                <w:color w:val="000000" w:themeColor="text1"/>
                <w:sz w:val="20"/>
                <w:lang w:eastAsia="lv-LV"/>
              </w:rPr>
            </w:pPr>
            <w:r w:rsidRPr="004745A6">
              <w:rPr>
                <w:b/>
                <w:bCs/>
                <w:color w:val="000000" w:themeColor="text1"/>
                <w:sz w:val="20"/>
              </w:rPr>
              <w:t>2022</w:t>
            </w:r>
          </w:p>
        </w:tc>
        <w:tc>
          <w:tcPr>
            <w:tcW w:w="850" w:type="dxa"/>
            <w:shd w:val="clear" w:color="auto" w:fill="auto"/>
            <w:vAlign w:val="center"/>
            <w:hideMark/>
          </w:tcPr>
          <w:p w:rsidR="001A6D76" w:rsidRPr="004745A6" w:rsidRDefault="001A6D76" w:rsidP="001A6D76">
            <w:pPr>
              <w:spacing w:after="0"/>
              <w:ind w:firstLine="0"/>
              <w:jc w:val="center"/>
              <w:rPr>
                <w:b/>
                <w:bCs/>
                <w:color w:val="000000" w:themeColor="text1"/>
                <w:sz w:val="20"/>
                <w:lang w:eastAsia="lv-LV"/>
              </w:rPr>
            </w:pPr>
            <w:r w:rsidRPr="004745A6">
              <w:rPr>
                <w:b/>
                <w:bCs/>
                <w:color w:val="000000" w:themeColor="text1"/>
                <w:sz w:val="20"/>
              </w:rPr>
              <w:t>2023</w:t>
            </w:r>
          </w:p>
        </w:tc>
      </w:tr>
      <w:tr w:rsidR="00F538F4" w:rsidRPr="009840E8" w:rsidTr="00F538F4">
        <w:trPr>
          <w:trHeight w:val="227"/>
        </w:trPr>
        <w:tc>
          <w:tcPr>
            <w:tcW w:w="3402" w:type="dxa"/>
            <w:vMerge/>
            <w:vAlign w:val="center"/>
            <w:hideMark/>
          </w:tcPr>
          <w:p w:rsidR="001A6D76" w:rsidRPr="004745A6" w:rsidRDefault="001A6D76" w:rsidP="00517CBD">
            <w:pPr>
              <w:spacing w:after="0"/>
              <w:ind w:firstLine="0"/>
              <w:jc w:val="left"/>
              <w:rPr>
                <w:b/>
                <w:bCs/>
                <w:color w:val="000000" w:themeColor="text1"/>
                <w:sz w:val="20"/>
                <w:highlight w:val="yellow"/>
                <w:lang w:eastAsia="lv-LV"/>
              </w:rPr>
            </w:pPr>
          </w:p>
        </w:tc>
        <w:tc>
          <w:tcPr>
            <w:tcW w:w="3969" w:type="dxa"/>
            <w:vMerge/>
            <w:vAlign w:val="center"/>
            <w:hideMark/>
          </w:tcPr>
          <w:p w:rsidR="001A6D76" w:rsidRPr="004745A6" w:rsidRDefault="001A6D76" w:rsidP="00517CBD">
            <w:pPr>
              <w:spacing w:after="0"/>
              <w:ind w:firstLine="0"/>
              <w:jc w:val="left"/>
              <w:rPr>
                <w:b/>
                <w:bCs/>
                <w:color w:val="000000" w:themeColor="text1"/>
                <w:sz w:val="20"/>
                <w:highlight w:val="yellow"/>
                <w:lang w:eastAsia="lv-LV"/>
              </w:rPr>
            </w:pPr>
          </w:p>
        </w:tc>
        <w:tc>
          <w:tcPr>
            <w:tcW w:w="1701" w:type="dxa"/>
            <w:vMerge/>
            <w:vAlign w:val="center"/>
            <w:hideMark/>
          </w:tcPr>
          <w:p w:rsidR="001A6D76" w:rsidRPr="004745A6" w:rsidRDefault="001A6D76" w:rsidP="00517CBD">
            <w:pPr>
              <w:spacing w:after="0"/>
              <w:ind w:firstLine="0"/>
              <w:jc w:val="center"/>
              <w:rPr>
                <w:b/>
                <w:bCs/>
                <w:color w:val="000000" w:themeColor="text1"/>
                <w:sz w:val="20"/>
                <w:highlight w:val="yellow"/>
                <w:lang w:eastAsia="lv-LV"/>
              </w:rPr>
            </w:pPr>
          </w:p>
        </w:tc>
        <w:tc>
          <w:tcPr>
            <w:tcW w:w="709" w:type="dxa"/>
            <w:vMerge/>
            <w:vAlign w:val="center"/>
            <w:hideMark/>
          </w:tcPr>
          <w:p w:rsidR="001A6D76" w:rsidRPr="004745A6" w:rsidRDefault="001A6D76" w:rsidP="00517CBD">
            <w:pPr>
              <w:spacing w:after="0"/>
              <w:ind w:firstLine="0"/>
              <w:jc w:val="left"/>
              <w:rPr>
                <w:b/>
                <w:bCs/>
                <w:color w:val="000000" w:themeColor="text1"/>
                <w:sz w:val="20"/>
                <w:highlight w:val="yellow"/>
                <w:lang w:eastAsia="lv-LV"/>
              </w:rPr>
            </w:pPr>
          </w:p>
        </w:tc>
        <w:tc>
          <w:tcPr>
            <w:tcW w:w="1134" w:type="dxa"/>
            <w:vMerge/>
            <w:vAlign w:val="center"/>
            <w:hideMark/>
          </w:tcPr>
          <w:p w:rsidR="001A6D76" w:rsidRPr="004745A6" w:rsidRDefault="001A6D76" w:rsidP="00517CBD">
            <w:pPr>
              <w:spacing w:after="0"/>
              <w:ind w:firstLine="0"/>
              <w:jc w:val="left"/>
              <w:rPr>
                <w:b/>
                <w:bCs/>
                <w:color w:val="000000" w:themeColor="text1"/>
                <w:sz w:val="20"/>
                <w:highlight w:val="yellow"/>
                <w:lang w:eastAsia="lv-LV"/>
              </w:rPr>
            </w:pPr>
          </w:p>
        </w:tc>
        <w:tc>
          <w:tcPr>
            <w:tcW w:w="1418" w:type="dxa"/>
            <w:vMerge/>
            <w:vAlign w:val="center"/>
            <w:hideMark/>
          </w:tcPr>
          <w:p w:rsidR="001A6D76" w:rsidRPr="004745A6" w:rsidRDefault="001A6D76" w:rsidP="00517CBD">
            <w:pPr>
              <w:spacing w:after="0"/>
              <w:ind w:firstLine="0"/>
              <w:jc w:val="left"/>
              <w:rPr>
                <w:b/>
                <w:bCs/>
                <w:color w:val="000000" w:themeColor="text1"/>
                <w:sz w:val="20"/>
                <w:highlight w:val="yellow"/>
                <w:lang w:eastAsia="lv-LV"/>
              </w:rPr>
            </w:pPr>
          </w:p>
        </w:tc>
        <w:tc>
          <w:tcPr>
            <w:tcW w:w="2551" w:type="dxa"/>
            <w:gridSpan w:val="3"/>
            <w:shd w:val="clear" w:color="auto" w:fill="DBE5F1" w:themeFill="accent1" w:themeFillTint="33"/>
            <w:vAlign w:val="center"/>
            <w:hideMark/>
          </w:tcPr>
          <w:p w:rsidR="001A6D76" w:rsidRPr="004745A6" w:rsidRDefault="001A6D76" w:rsidP="001A6D76">
            <w:pPr>
              <w:spacing w:after="0"/>
              <w:ind w:firstLine="0"/>
              <w:jc w:val="center"/>
              <w:rPr>
                <w:b/>
                <w:bCs/>
                <w:color w:val="000000" w:themeColor="text1"/>
                <w:sz w:val="20"/>
                <w:lang w:eastAsia="lv-LV"/>
              </w:rPr>
            </w:pPr>
            <w:r w:rsidRPr="004745A6">
              <w:rPr>
                <w:b/>
                <w:bCs/>
                <w:color w:val="000000" w:themeColor="text1"/>
                <w:sz w:val="20"/>
                <w:lang w:eastAsia="lv-LV"/>
              </w:rPr>
              <w:t>% IKP</w:t>
            </w:r>
          </w:p>
        </w:tc>
      </w:tr>
      <w:tr w:rsidR="000039B2" w:rsidRPr="00DE1BAD" w:rsidTr="00EA06F9">
        <w:trPr>
          <w:trHeight w:val="2012"/>
        </w:trPr>
        <w:tc>
          <w:tcPr>
            <w:tcW w:w="3402"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PVN piemērošanas vienkāršošanas noteikumi e-komercijas jomā</w:t>
            </w:r>
          </w:p>
        </w:tc>
        <w:tc>
          <w:tcPr>
            <w:tcW w:w="3969"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PVN piemērošanas vienkāršošanas noteikumi e-komercijas jomā: ar 2021.gadu tiks paplašināts īpašā PVN režīma piemērošanas tvērums, radot iespēju reģistrēties vienā dalībvalstī un veikt PVN samaksu par jebkādiem darījumiem, kas veikti e-vidē īpašā PVN režīma ietvaros; papildus tam ar 2021.gadu tiks atcelts PVN atbrīvojums mazās vērtības preču sūtījumiem 22 </w:t>
            </w:r>
            <w:proofErr w:type="spellStart"/>
            <w:r w:rsidRPr="004745A6">
              <w:rPr>
                <w:i/>
                <w:color w:val="000000" w:themeColor="text1"/>
                <w:sz w:val="20"/>
                <w:lang w:eastAsia="lv-LV"/>
              </w:rPr>
              <w:t>euro</w:t>
            </w:r>
            <w:proofErr w:type="spellEnd"/>
            <w:r w:rsidRPr="004745A6">
              <w:rPr>
                <w:color w:val="000000" w:themeColor="text1"/>
                <w:sz w:val="20"/>
                <w:lang w:eastAsia="lv-LV"/>
              </w:rPr>
              <w:t xml:space="preserve"> apmērā.</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PVN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D.2</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0,03</w:t>
            </w:r>
          </w:p>
        </w:tc>
        <w:tc>
          <w:tcPr>
            <w:tcW w:w="85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555"/>
        </w:trPr>
        <w:tc>
          <w:tcPr>
            <w:tcW w:w="3402"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VSAOI likmes samazināšana par 1 procentpunktu (no 35.09% uz 34.09%)</w:t>
            </w:r>
          </w:p>
        </w:tc>
        <w:tc>
          <w:tcPr>
            <w:tcW w:w="3969"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VSAOI likmes samazināšana par 1 procentpunktu (no 35.09% uz 34.09%)</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IIN</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1"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224"/>
        </w:trPr>
        <w:tc>
          <w:tcPr>
            <w:tcW w:w="3402" w:type="dxa"/>
            <w:vMerge/>
            <w:vAlign w:val="center"/>
            <w:hideMark/>
          </w:tcPr>
          <w:p w:rsidR="00DE1BAD" w:rsidRPr="004745A6" w:rsidRDefault="00DE1BAD" w:rsidP="00DE1BAD">
            <w:pPr>
              <w:spacing w:after="0"/>
              <w:ind w:firstLine="0"/>
              <w:rPr>
                <w:color w:val="000000" w:themeColor="text1"/>
                <w:sz w:val="20"/>
                <w:lang w:eastAsia="lv-LV"/>
              </w:rPr>
            </w:pPr>
          </w:p>
        </w:tc>
        <w:tc>
          <w:tcPr>
            <w:tcW w:w="3969" w:type="dxa"/>
            <w:vMerge/>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SOC</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D.61</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-0,27</w:t>
            </w:r>
          </w:p>
        </w:tc>
        <w:tc>
          <w:tcPr>
            <w:tcW w:w="85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752"/>
        </w:trPr>
        <w:tc>
          <w:tcPr>
            <w:tcW w:w="3402"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DNM sliekšņa līdz kuram piemēro DNM paaugstināšana līdz 1</w:t>
            </w:r>
            <w:r w:rsidR="004745A6" w:rsidRPr="004745A6">
              <w:rPr>
                <w:color w:val="000000" w:themeColor="text1"/>
                <w:sz w:val="20"/>
              </w:rPr>
              <w:t> </w:t>
            </w:r>
            <w:r w:rsidRPr="004745A6">
              <w:rPr>
                <w:color w:val="000000" w:themeColor="text1"/>
                <w:sz w:val="20"/>
                <w:lang w:eastAsia="lv-LV"/>
              </w:rPr>
              <w:t xml:space="preserve">800 </w:t>
            </w:r>
            <w:proofErr w:type="spellStart"/>
            <w:r w:rsidRPr="004745A6">
              <w:rPr>
                <w:i/>
                <w:iCs/>
                <w:color w:val="000000" w:themeColor="text1"/>
                <w:sz w:val="20"/>
                <w:lang w:eastAsia="lv-LV"/>
              </w:rPr>
              <w:t>euro</w:t>
            </w:r>
            <w:proofErr w:type="spellEnd"/>
            <w:r w:rsidRPr="004745A6">
              <w:rPr>
                <w:i/>
                <w:iCs/>
                <w:color w:val="000000" w:themeColor="text1"/>
                <w:sz w:val="20"/>
                <w:lang w:eastAsia="lv-LV"/>
              </w:rPr>
              <w:t xml:space="preserve"> mēnesī</w:t>
            </w:r>
            <w:r w:rsidRPr="004745A6">
              <w:rPr>
                <w:color w:val="000000" w:themeColor="text1"/>
                <w:sz w:val="20"/>
                <w:lang w:eastAsia="lv-LV"/>
              </w:rPr>
              <w:t xml:space="preserve">  </w:t>
            </w:r>
          </w:p>
        </w:tc>
        <w:tc>
          <w:tcPr>
            <w:tcW w:w="3969"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DNM sliekšņa līdz kuram piemēro DNM paaugstināšana līdz 1</w:t>
            </w:r>
            <w:r w:rsidR="004745A6" w:rsidRPr="004745A6">
              <w:rPr>
                <w:color w:val="000000" w:themeColor="text1"/>
                <w:sz w:val="20"/>
              </w:rPr>
              <w:t> </w:t>
            </w:r>
            <w:r w:rsidRPr="004745A6">
              <w:rPr>
                <w:color w:val="000000" w:themeColor="text1"/>
                <w:sz w:val="20"/>
                <w:lang w:eastAsia="lv-LV"/>
              </w:rPr>
              <w:t xml:space="preserve">800 </w:t>
            </w:r>
            <w:proofErr w:type="spellStart"/>
            <w:r w:rsidRPr="004745A6">
              <w:rPr>
                <w:i/>
                <w:iCs/>
                <w:color w:val="000000" w:themeColor="text1"/>
                <w:sz w:val="20"/>
                <w:lang w:eastAsia="lv-LV"/>
              </w:rPr>
              <w:t>euro</w:t>
            </w:r>
            <w:proofErr w:type="spellEnd"/>
            <w:r w:rsidRPr="004745A6">
              <w:rPr>
                <w:i/>
                <w:iCs/>
                <w:color w:val="000000" w:themeColor="text1"/>
                <w:sz w:val="20"/>
                <w:lang w:eastAsia="lv-LV"/>
              </w:rPr>
              <w:t xml:space="preserve"> mēnesī</w:t>
            </w:r>
            <w:r w:rsidRPr="004745A6">
              <w:rPr>
                <w:color w:val="000000" w:themeColor="text1"/>
                <w:sz w:val="20"/>
                <w:lang w:eastAsia="lv-LV"/>
              </w:rPr>
              <w:t xml:space="preserve">  </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IIN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-0,03</w:t>
            </w:r>
          </w:p>
        </w:tc>
        <w:tc>
          <w:tcPr>
            <w:tcW w:w="85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539"/>
        </w:trPr>
        <w:tc>
          <w:tcPr>
            <w:tcW w:w="3402" w:type="dxa"/>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IIN pārdale uz 75%/25% (2020.gadā 80%/20%)</w:t>
            </w:r>
          </w:p>
        </w:tc>
        <w:tc>
          <w:tcPr>
            <w:tcW w:w="3969" w:type="dxa"/>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IIN pārdale uz 75%/25% (2020.gadā 80%/20%)</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IIN</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0,30</w:t>
            </w:r>
          </w:p>
        </w:tc>
        <w:tc>
          <w:tcPr>
            <w:tcW w:w="851"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405"/>
        </w:trPr>
        <w:tc>
          <w:tcPr>
            <w:tcW w:w="3402"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Minimālā VSAOI apmēra ieviešana un alternatīvo nodokļu (tostarp </w:t>
            </w:r>
            <w:proofErr w:type="spellStart"/>
            <w:r w:rsidRPr="004745A6">
              <w:rPr>
                <w:color w:val="000000" w:themeColor="text1"/>
                <w:sz w:val="20"/>
                <w:lang w:eastAsia="lv-LV"/>
              </w:rPr>
              <w:t>mikrouzņēmuma</w:t>
            </w:r>
            <w:proofErr w:type="spellEnd"/>
            <w:r w:rsidRPr="004745A6">
              <w:rPr>
                <w:color w:val="000000" w:themeColor="text1"/>
                <w:sz w:val="20"/>
                <w:lang w:eastAsia="lv-LV"/>
              </w:rPr>
              <w:t>) režīmu reorganizēšana</w:t>
            </w:r>
          </w:p>
        </w:tc>
        <w:tc>
          <w:tcPr>
            <w:tcW w:w="3969"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Minimālā VSAOI apmēra ieviešana un alternatīvo nodokļu (tostarp </w:t>
            </w:r>
            <w:proofErr w:type="spellStart"/>
            <w:r w:rsidRPr="004745A6">
              <w:rPr>
                <w:color w:val="000000" w:themeColor="text1"/>
                <w:sz w:val="20"/>
                <w:lang w:eastAsia="lv-LV"/>
              </w:rPr>
              <w:t>mikrouzņēmuma</w:t>
            </w:r>
            <w:proofErr w:type="spellEnd"/>
            <w:r w:rsidRPr="004745A6">
              <w:rPr>
                <w:color w:val="000000" w:themeColor="text1"/>
                <w:sz w:val="20"/>
                <w:lang w:eastAsia="lv-LV"/>
              </w:rPr>
              <w:t>) režīmu reorganizēšana</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IIN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426"/>
        </w:trPr>
        <w:tc>
          <w:tcPr>
            <w:tcW w:w="3402" w:type="dxa"/>
            <w:vMerge/>
            <w:vAlign w:val="center"/>
            <w:hideMark/>
          </w:tcPr>
          <w:p w:rsidR="00DE1BAD" w:rsidRPr="004745A6" w:rsidRDefault="00DE1BAD" w:rsidP="00DE1BAD">
            <w:pPr>
              <w:spacing w:after="0"/>
              <w:ind w:firstLine="0"/>
              <w:rPr>
                <w:color w:val="000000" w:themeColor="text1"/>
                <w:sz w:val="20"/>
                <w:lang w:eastAsia="lv-LV"/>
              </w:rPr>
            </w:pPr>
          </w:p>
        </w:tc>
        <w:tc>
          <w:tcPr>
            <w:tcW w:w="3969" w:type="dxa"/>
            <w:vMerge/>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SOC</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D.61</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0,20</w:t>
            </w:r>
          </w:p>
        </w:tc>
        <w:tc>
          <w:tcPr>
            <w:tcW w:w="851"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0,22</w:t>
            </w:r>
          </w:p>
        </w:tc>
        <w:tc>
          <w:tcPr>
            <w:tcW w:w="850"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560"/>
        </w:trPr>
        <w:tc>
          <w:tcPr>
            <w:tcW w:w="3402" w:type="dxa"/>
            <w:vMerge/>
            <w:vAlign w:val="center"/>
            <w:hideMark/>
          </w:tcPr>
          <w:p w:rsidR="00DE1BAD" w:rsidRPr="004745A6" w:rsidRDefault="00DE1BAD" w:rsidP="00DE1BAD">
            <w:pPr>
              <w:spacing w:after="0"/>
              <w:ind w:firstLine="0"/>
              <w:rPr>
                <w:color w:val="000000" w:themeColor="text1"/>
                <w:sz w:val="20"/>
                <w:lang w:eastAsia="lv-LV"/>
              </w:rPr>
            </w:pPr>
          </w:p>
        </w:tc>
        <w:tc>
          <w:tcPr>
            <w:tcW w:w="3969" w:type="dxa"/>
            <w:vMerge/>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SOC veselības finansēšanai</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D.61</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600"/>
        </w:trPr>
        <w:tc>
          <w:tcPr>
            <w:tcW w:w="3402"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AN likmju tabakas izstrādājumiem un elektroniskajās cigaretēs izmantojamajiem šķidrumiem paaugstināšana </w:t>
            </w:r>
          </w:p>
        </w:tc>
        <w:tc>
          <w:tcPr>
            <w:tcW w:w="3969"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AN likmju tabakas izstrādājumiem un elektroniskajās cigaretēs izmantojamajiem šķidrumiem paaugstināšana </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Akcīzes nodoklis</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D214</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1"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r>
      <w:tr w:rsidR="000039B2" w:rsidRPr="00DE1BAD" w:rsidTr="00EA06F9">
        <w:trPr>
          <w:trHeight w:val="600"/>
        </w:trPr>
        <w:tc>
          <w:tcPr>
            <w:tcW w:w="3402" w:type="dxa"/>
            <w:vMerge/>
            <w:vAlign w:val="center"/>
            <w:hideMark/>
          </w:tcPr>
          <w:p w:rsidR="00DE1BAD" w:rsidRPr="004745A6" w:rsidRDefault="00DE1BAD" w:rsidP="00DE1BAD">
            <w:pPr>
              <w:spacing w:after="0"/>
              <w:ind w:firstLine="0"/>
              <w:rPr>
                <w:color w:val="000000" w:themeColor="text1"/>
                <w:sz w:val="20"/>
                <w:lang w:eastAsia="lv-LV"/>
              </w:rPr>
            </w:pPr>
          </w:p>
        </w:tc>
        <w:tc>
          <w:tcPr>
            <w:tcW w:w="3969" w:type="dxa"/>
            <w:vMerge/>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PVN</w:t>
            </w:r>
          </w:p>
        </w:tc>
        <w:tc>
          <w:tcPr>
            <w:tcW w:w="709"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D.2</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r>
      <w:tr w:rsidR="000039B2" w:rsidRPr="00DE1BAD" w:rsidTr="00EA06F9">
        <w:trPr>
          <w:trHeight w:val="987"/>
        </w:trPr>
        <w:tc>
          <w:tcPr>
            <w:tcW w:w="3402"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lastRenderedPageBreak/>
              <w:t>Transportlīdzekļu ekspluatācijas nodokļa likmju izmaiņas</w:t>
            </w:r>
          </w:p>
        </w:tc>
        <w:tc>
          <w:tcPr>
            <w:tcW w:w="3969"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Transportlīdzekļu ekspluatācijas nodokļa likmju izmaiņas</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Transportlīdzekļa ekspluatācijas nodoklis</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D.5;D.29</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uzkrājuma</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1"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1270"/>
        </w:trPr>
        <w:tc>
          <w:tcPr>
            <w:tcW w:w="3402" w:type="dxa"/>
            <w:shd w:val="clear" w:color="auto" w:fill="DBE5F1" w:themeFill="accent1" w:themeFillTint="33"/>
            <w:vAlign w:val="center"/>
            <w:hideMark/>
          </w:tcPr>
          <w:p w:rsidR="00DE1BAD" w:rsidRPr="004745A6" w:rsidRDefault="00DE1BAD" w:rsidP="00F80143">
            <w:pPr>
              <w:spacing w:after="0"/>
              <w:ind w:firstLine="0"/>
              <w:rPr>
                <w:color w:val="000000" w:themeColor="text1"/>
                <w:sz w:val="20"/>
                <w:lang w:eastAsia="lv-LV"/>
              </w:rPr>
            </w:pPr>
            <w:r w:rsidRPr="004745A6">
              <w:rPr>
                <w:color w:val="000000" w:themeColor="text1"/>
                <w:sz w:val="20"/>
                <w:lang w:eastAsia="lv-LV"/>
              </w:rPr>
              <w:t>M</w:t>
            </w:r>
            <w:r w:rsidR="00F80143" w:rsidRPr="004745A6">
              <w:rPr>
                <w:color w:val="000000" w:themeColor="text1"/>
                <w:sz w:val="20"/>
                <w:lang w:eastAsia="lv-LV"/>
              </w:rPr>
              <w:t xml:space="preserve">K </w:t>
            </w:r>
            <w:r w:rsidRPr="004745A6">
              <w:rPr>
                <w:color w:val="000000" w:themeColor="text1"/>
                <w:sz w:val="20"/>
                <w:lang w:eastAsia="lv-LV"/>
              </w:rPr>
              <w:t>rīkojuma projekts “Par Satiksmes ministrijas ilgtermiņa saistībām valsts galvenā autoceļa “E67/A7 Ķekavas apvedceļš” publiskās un privātās partnerības projekta īstenošanai”.</w:t>
            </w:r>
          </w:p>
        </w:tc>
        <w:tc>
          <w:tcPr>
            <w:tcW w:w="3969" w:type="dxa"/>
            <w:shd w:val="clear" w:color="auto" w:fill="DBE5F1" w:themeFill="accent1" w:themeFillTint="33"/>
            <w:vAlign w:val="center"/>
            <w:hideMark/>
          </w:tcPr>
          <w:p w:rsidR="00DE1BAD" w:rsidRPr="004745A6" w:rsidRDefault="00DE1BAD" w:rsidP="00F80143">
            <w:pPr>
              <w:spacing w:after="0"/>
              <w:ind w:firstLine="0"/>
              <w:rPr>
                <w:color w:val="000000" w:themeColor="text1"/>
                <w:sz w:val="20"/>
                <w:lang w:eastAsia="lv-LV"/>
              </w:rPr>
            </w:pPr>
            <w:r w:rsidRPr="004745A6">
              <w:rPr>
                <w:color w:val="000000" w:themeColor="text1"/>
                <w:sz w:val="20"/>
                <w:lang w:eastAsia="lv-LV"/>
              </w:rPr>
              <w:t>M</w:t>
            </w:r>
            <w:r w:rsidR="00F80143" w:rsidRPr="004745A6">
              <w:rPr>
                <w:color w:val="000000" w:themeColor="text1"/>
                <w:sz w:val="20"/>
                <w:lang w:eastAsia="lv-LV"/>
              </w:rPr>
              <w:t xml:space="preserve">K </w:t>
            </w:r>
            <w:r w:rsidRPr="004745A6">
              <w:rPr>
                <w:color w:val="000000" w:themeColor="text1"/>
                <w:sz w:val="20"/>
                <w:lang w:eastAsia="lv-LV"/>
              </w:rPr>
              <w:t>rīkojuma projekts “Par Satiksmes ministrijas ilgtermiņa saistībām valsts galvenā autoceļa “E67/A7 Ķekavas apvedceļš” publiskās un privātās partnerības projekta īstenošanai”.</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PVN</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D.2</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0,03</w:t>
            </w:r>
          </w:p>
        </w:tc>
        <w:tc>
          <w:tcPr>
            <w:tcW w:w="851"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r>
      <w:tr w:rsidR="000039B2" w:rsidRPr="00DE1BAD" w:rsidTr="00EA06F9">
        <w:trPr>
          <w:trHeight w:val="600"/>
        </w:trPr>
        <w:tc>
          <w:tcPr>
            <w:tcW w:w="3402"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Pamatbudžetā prognozējamo ieņēmumu palielināšana no AS "Latvenergo" dividendēm</w:t>
            </w:r>
          </w:p>
        </w:tc>
        <w:tc>
          <w:tcPr>
            <w:tcW w:w="3969"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Pamatbudžetā prognozējamo ieņēmumu palielināšana no AS "Latvenergo" dividendēm</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proofErr w:type="spellStart"/>
            <w:r w:rsidRPr="004745A6">
              <w:rPr>
                <w:color w:val="000000" w:themeColor="text1"/>
                <w:sz w:val="20"/>
                <w:lang w:eastAsia="lv-LV"/>
              </w:rPr>
              <w:t>Nenodokļi</w:t>
            </w:r>
            <w:proofErr w:type="spellEnd"/>
            <w:r w:rsidRPr="004745A6">
              <w:rPr>
                <w:color w:val="000000" w:themeColor="text1"/>
                <w:sz w:val="20"/>
                <w:lang w:eastAsia="lv-LV"/>
              </w:rPr>
              <w:t xml:space="preserve"> </w:t>
            </w:r>
          </w:p>
        </w:tc>
        <w:tc>
          <w:tcPr>
            <w:tcW w:w="709" w:type="dxa"/>
            <w:shd w:val="clear" w:color="auto" w:fill="auto"/>
            <w:vAlign w:val="center"/>
            <w:hideMark/>
          </w:tcPr>
          <w:p w:rsidR="00DE1BAD" w:rsidRPr="004745A6" w:rsidRDefault="00DE1BAD" w:rsidP="000039B2">
            <w:pPr>
              <w:spacing w:after="0"/>
              <w:ind w:left="-107" w:firstLine="0"/>
              <w:jc w:val="center"/>
              <w:rPr>
                <w:color w:val="000000" w:themeColor="text1"/>
                <w:sz w:val="20"/>
                <w:lang w:eastAsia="lv-LV"/>
              </w:rPr>
            </w:pPr>
            <w:r w:rsidRPr="004745A6">
              <w:rPr>
                <w:color w:val="000000" w:themeColor="text1"/>
                <w:sz w:val="20"/>
                <w:lang w:eastAsia="lv-LV"/>
              </w:rPr>
              <w:t>D.421</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r>
      <w:tr w:rsidR="000039B2" w:rsidRPr="00DE1BAD" w:rsidTr="00EA06F9">
        <w:trPr>
          <w:trHeight w:val="600"/>
        </w:trPr>
        <w:tc>
          <w:tcPr>
            <w:tcW w:w="3402"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3969"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UIN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r>
      <w:tr w:rsidR="00F538F4" w:rsidRPr="00DE1BAD" w:rsidTr="00EA06F9">
        <w:trPr>
          <w:trHeight w:val="600"/>
        </w:trPr>
        <w:tc>
          <w:tcPr>
            <w:tcW w:w="3402"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AS "Latvenergo" dividenžu paredzēšana saskaņā ar konceptuālo ziņojumu "Kompleksi pasākumi obligātā iepirkuma komponentes problemātikas risināšanai un elektroenerģijas tirgus attīstībai"</w:t>
            </w:r>
          </w:p>
        </w:tc>
        <w:tc>
          <w:tcPr>
            <w:tcW w:w="3969" w:type="dxa"/>
            <w:vMerge w:val="restart"/>
            <w:shd w:val="clear" w:color="auto" w:fill="DBE5F1" w:themeFill="accent1" w:themeFillTint="33"/>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AS "Latvenergo" dividenžu paredzēšana saskaņā ar konceptuālo ziņojumu "Kompleksi pasākumi obligātā iepirkuma komponentes problemātikas risināšanai un elektroenerģijas tirgus attīstībai"</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proofErr w:type="spellStart"/>
            <w:r w:rsidRPr="004745A6">
              <w:rPr>
                <w:color w:val="000000" w:themeColor="text1"/>
                <w:sz w:val="20"/>
                <w:lang w:eastAsia="lv-LV"/>
              </w:rPr>
              <w:t>Nenodokļi</w:t>
            </w:r>
            <w:proofErr w:type="spellEnd"/>
            <w:r w:rsidRPr="004745A6">
              <w:rPr>
                <w:color w:val="000000" w:themeColor="text1"/>
                <w:sz w:val="20"/>
                <w:lang w:eastAsia="lv-LV"/>
              </w:rPr>
              <w:t xml:space="preserve"> </w:t>
            </w:r>
          </w:p>
        </w:tc>
        <w:tc>
          <w:tcPr>
            <w:tcW w:w="709" w:type="dxa"/>
            <w:shd w:val="clear" w:color="auto" w:fill="DBE5F1" w:themeFill="accent1" w:themeFillTint="33"/>
            <w:vAlign w:val="center"/>
            <w:hideMark/>
          </w:tcPr>
          <w:p w:rsidR="00DE1BAD" w:rsidRPr="004745A6" w:rsidRDefault="00DE1BAD" w:rsidP="000039B2">
            <w:pPr>
              <w:spacing w:after="0"/>
              <w:ind w:left="-107" w:firstLine="0"/>
              <w:jc w:val="center"/>
              <w:rPr>
                <w:color w:val="000000" w:themeColor="text1"/>
                <w:sz w:val="20"/>
                <w:lang w:eastAsia="lv-LV"/>
              </w:rPr>
            </w:pPr>
            <w:r w:rsidRPr="004745A6">
              <w:rPr>
                <w:color w:val="000000" w:themeColor="text1"/>
                <w:sz w:val="20"/>
                <w:lang w:eastAsia="lv-LV"/>
              </w:rPr>
              <w:t>D.421</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0,24</w:t>
            </w:r>
          </w:p>
        </w:tc>
        <w:tc>
          <w:tcPr>
            <w:tcW w:w="851"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-0,04</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-0,04</w:t>
            </w:r>
          </w:p>
        </w:tc>
      </w:tr>
      <w:tr w:rsidR="000039B2" w:rsidRPr="00DE1BAD" w:rsidTr="00EA06F9">
        <w:trPr>
          <w:trHeight w:val="600"/>
        </w:trPr>
        <w:tc>
          <w:tcPr>
            <w:tcW w:w="3402"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3969"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UIN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0,06</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r>
      <w:tr w:rsidR="000039B2" w:rsidRPr="00DE1BAD" w:rsidTr="00EA06F9">
        <w:trPr>
          <w:trHeight w:val="600"/>
        </w:trPr>
        <w:tc>
          <w:tcPr>
            <w:tcW w:w="3402"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Pamatbudžetā prognozējamo ieņēmumu palielināšana no AS "Latvijas valsts meži" dividendēm</w:t>
            </w:r>
          </w:p>
        </w:tc>
        <w:tc>
          <w:tcPr>
            <w:tcW w:w="3969" w:type="dxa"/>
            <w:vMerge w:val="restart"/>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Pamatbudžetā prognozējamo ieņēmumu palielināšana no AS "Latvijas valsts meži" dividendēm</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proofErr w:type="spellStart"/>
            <w:r w:rsidRPr="004745A6">
              <w:rPr>
                <w:color w:val="000000" w:themeColor="text1"/>
                <w:sz w:val="20"/>
                <w:lang w:eastAsia="lv-LV"/>
              </w:rPr>
              <w:t>Nenodokļi</w:t>
            </w:r>
            <w:proofErr w:type="spellEnd"/>
            <w:r w:rsidRPr="004745A6">
              <w:rPr>
                <w:color w:val="000000" w:themeColor="text1"/>
                <w:sz w:val="20"/>
                <w:lang w:eastAsia="lv-LV"/>
              </w:rPr>
              <w:t xml:space="preserve"> </w:t>
            </w:r>
          </w:p>
        </w:tc>
        <w:tc>
          <w:tcPr>
            <w:tcW w:w="709" w:type="dxa"/>
            <w:shd w:val="clear" w:color="auto" w:fill="auto"/>
            <w:vAlign w:val="center"/>
            <w:hideMark/>
          </w:tcPr>
          <w:p w:rsidR="00DE1BAD" w:rsidRPr="004745A6" w:rsidRDefault="00DE1BAD" w:rsidP="000039B2">
            <w:pPr>
              <w:spacing w:after="0"/>
              <w:ind w:left="-107" w:firstLine="0"/>
              <w:jc w:val="center"/>
              <w:rPr>
                <w:color w:val="000000" w:themeColor="text1"/>
                <w:sz w:val="20"/>
                <w:lang w:eastAsia="lv-LV"/>
              </w:rPr>
            </w:pPr>
            <w:r w:rsidRPr="004745A6">
              <w:rPr>
                <w:color w:val="000000" w:themeColor="text1"/>
                <w:sz w:val="20"/>
                <w:lang w:eastAsia="lv-LV"/>
              </w:rPr>
              <w:t>D.421</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0,05</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-0,04</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600"/>
        </w:trPr>
        <w:tc>
          <w:tcPr>
            <w:tcW w:w="3402"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3969"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UIN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F538F4" w:rsidRPr="00DE1BAD" w:rsidTr="00EA06F9">
        <w:trPr>
          <w:trHeight w:val="600"/>
        </w:trPr>
        <w:tc>
          <w:tcPr>
            <w:tcW w:w="3402" w:type="dxa"/>
            <w:vMerge w:val="restart"/>
            <w:shd w:val="clear" w:color="auto" w:fill="DBE5F1" w:themeFill="accent1" w:themeFillTint="33"/>
            <w:vAlign w:val="center"/>
            <w:hideMark/>
          </w:tcPr>
          <w:p w:rsidR="00F725F0" w:rsidRPr="004745A6" w:rsidRDefault="00F725F0" w:rsidP="00DE1BAD">
            <w:pPr>
              <w:spacing w:after="0"/>
              <w:ind w:firstLine="0"/>
              <w:rPr>
                <w:color w:val="000000" w:themeColor="text1"/>
                <w:sz w:val="20"/>
                <w:lang w:eastAsia="lv-LV"/>
              </w:rPr>
            </w:pPr>
          </w:p>
          <w:p w:rsidR="00DE1BAD" w:rsidRPr="004745A6" w:rsidRDefault="00F725F0" w:rsidP="00DE1BAD">
            <w:pPr>
              <w:spacing w:after="0"/>
              <w:ind w:firstLine="0"/>
              <w:rPr>
                <w:color w:val="000000" w:themeColor="text1"/>
                <w:sz w:val="20"/>
                <w:lang w:eastAsia="lv-LV"/>
              </w:rPr>
            </w:pPr>
            <w:r w:rsidRPr="004745A6">
              <w:rPr>
                <w:color w:val="000000" w:themeColor="text1"/>
                <w:sz w:val="20"/>
                <w:lang w:eastAsia="lv-LV"/>
              </w:rPr>
              <w:t>Atgriezeniskais efekts no algu palielināšanas, saistībā ar MK lēmumiem palielināt atalgojumu veselības nozarē strādājošajiem un pedagogiem</w:t>
            </w:r>
            <w:r w:rsidR="00DE1BAD" w:rsidRPr="004745A6">
              <w:rPr>
                <w:color w:val="000000" w:themeColor="text1"/>
                <w:sz w:val="20"/>
                <w:lang w:eastAsia="lv-LV"/>
              </w:rPr>
              <w:t xml:space="preserve"> </w:t>
            </w:r>
          </w:p>
        </w:tc>
        <w:tc>
          <w:tcPr>
            <w:tcW w:w="3969" w:type="dxa"/>
            <w:vMerge w:val="restart"/>
            <w:shd w:val="clear" w:color="auto" w:fill="DBE5F1" w:themeFill="accent1" w:themeFillTint="33"/>
            <w:vAlign w:val="center"/>
            <w:hideMark/>
          </w:tcPr>
          <w:p w:rsidR="00DE1BAD" w:rsidRPr="004745A6" w:rsidRDefault="00403E17" w:rsidP="00403E17">
            <w:pPr>
              <w:spacing w:after="0"/>
              <w:ind w:firstLine="0"/>
              <w:rPr>
                <w:color w:val="000000" w:themeColor="text1"/>
                <w:sz w:val="20"/>
                <w:lang w:eastAsia="lv-LV"/>
              </w:rPr>
            </w:pPr>
            <w:r w:rsidRPr="004745A6">
              <w:rPr>
                <w:color w:val="000000" w:themeColor="text1"/>
                <w:sz w:val="20"/>
                <w:lang w:eastAsia="lv-LV"/>
              </w:rPr>
              <w:t>Atgriezeniskais efekts no algu palielināšanas, saistībā ar MK lēmumiem palielināt atalgojumu veselības nozarē strādājošajiem un pedagogiem</w:t>
            </w:r>
            <w:r w:rsidR="00DE1BAD" w:rsidRPr="004745A6">
              <w:rPr>
                <w:color w:val="000000" w:themeColor="text1"/>
                <w:sz w:val="20"/>
                <w:lang w:eastAsia="lv-LV"/>
              </w:rPr>
              <w:t xml:space="preserve"> </w:t>
            </w: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IIN</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D.5</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1" w:type="dxa"/>
            <w:shd w:val="clear" w:color="auto" w:fill="DBE5F1" w:themeFill="accent1" w:themeFillTint="33"/>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0,</w:t>
            </w:r>
            <w:r w:rsidR="00783741">
              <w:rPr>
                <w:color w:val="000000" w:themeColor="text1"/>
                <w:sz w:val="20"/>
                <w:lang w:eastAsia="lv-LV"/>
              </w:rPr>
              <w:t>00</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0,00</w:t>
            </w:r>
          </w:p>
        </w:tc>
      </w:tr>
      <w:tr w:rsidR="000039B2" w:rsidRPr="00DE1BAD" w:rsidTr="00EA06F9">
        <w:trPr>
          <w:trHeight w:val="600"/>
        </w:trPr>
        <w:tc>
          <w:tcPr>
            <w:tcW w:w="3402"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3969"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PVN</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D.2</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0,09</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0,01</w:t>
            </w:r>
          </w:p>
        </w:tc>
      </w:tr>
      <w:tr w:rsidR="000039B2" w:rsidRPr="00DE1BAD" w:rsidTr="00EA06F9">
        <w:trPr>
          <w:trHeight w:val="600"/>
        </w:trPr>
        <w:tc>
          <w:tcPr>
            <w:tcW w:w="3402"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3969" w:type="dxa"/>
            <w:vMerge/>
            <w:shd w:val="clear" w:color="auto" w:fill="auto"/>
            <w:vAlign w:val="center"/>
            <w:hideMark/>
          </w:tcPr>
          <w:p w:rsidR="00DE1BAD" w:rsidRPr="004745A6" w:rsidRDefault="00DE1BAD" w:rsidP="00DE1BAD">
            <w:pPr>
              <w:spacing w:after="0"/>
              <w:ind w:firstLine="0"/>
              <w:rPr>
                <w:color w:val="000000" w:themeColor="text1"/>
                <w:sz w:val="20"/>
                <w:lang w:eastAsia="lv-LV"/>
              </w:rPr>
            </w:pPr>
          </w:p>
        </w:tc>
        <w:tc>
          <w:tcPr>
            <w:tcW w:w="1701"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SOC</w:t>
            </w:r>
          </w:p>
        </w:tc>
        <w:tc>
          <w:tcPr>
            <w:tcW w:w="709"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D.61</w:t>
            </w:r>
          </w:p>
        </w:tc>
        <w:tc>
          <w:tcPr>
            <w:tcW w:w="1134"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DBE5F1" w:themeFill="accent1" w:themeFillTint="33"/>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0,19</w:t>
            </w:r>
          </w:p>
        </w:tc>
        <w:tc>
          <w:tcPr>
            <w:tcW w:w="851"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c>
          <w:tcPr>
            <w:tcW w:w="850" w:type="dxa"/>
            <w:shd w:val="clear" w:color="auto" w:fill="DBE5F1" w:themeFill="accent1" w:themeFillTint="33"/>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0,02</w:t>
            </w:r>
          </w:p>
        </w:tc>
      </w:tr>
      <w:tr w:rsidR="00F538F4" w:rsidRPr="00DE1BAD" w:rsidTr="00EA06F9">
        <w:trPr>
          <w:trHeight w:val="278"/>
        </w:trPr>
        <w:tc>
          <w:tcPr>
            <w:tcW w:w="3402"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Kompensācijas neparedzēšana Rīgas pašvaldībai saistībā ar tās kontrolētās kapitālsabiedrības “Rīgas satiksme” radīto fiskālo ietekmi uz vispārējās </w:t>
            </w:r>
            <w:r w:rsidRPr="004745A6">
              <w:rPr>
                <w:color w:val="000000" w:themeColor="text1"/>
                <w:sz w:val="20"/>
                <w:lang w:eastAsia="lv-LV"/>
              </w:rPr>
              <w:lastRenderedPageBreak/>
              <w:t>valdības budžeta bilanci (valsts budžeta ieņēmumu klasifikācijas kods 12.3.9.9.)</w:t>
            </w:r>
          </w:p>
        </w:tc>
        <w:tc>
          <w:tcPr>
            <w:tcW w:w="3969" w:type="dxa"/>
            <w:shd w:val="clear" w:color="auto" w:fill="auto"/>
            <w:vAlign w:val="center"/>
            <w:hideMark/>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lastRenderedPageBreak/>
              <w:t xml:space="preserve">Kompensācijas neparedzēšana Rīgas pašvaldībai saistībā ar tās kontrolētās kapitālsabiedrības “Rīgas satiksme” radīto fiskālo ietekmi uz vispārējās valdības budžeta </w:t>
            </w:r>
            <w:r w:rsidRPr="004745A6">
              <w:rPr>
                <w:color w:val="000000" w:themeColor="text1"/>
                <w:sz w:val="20"/>
                <w:lang w:eastAsia="lv-LV"/>
              </w:rPr>
              <w:lastRenderedPageBreak/>
              <w:t>bilanci (valsts budžeta ieņēmumu klasifikācijas kods 12.3.9.9.)</w:t>
            </w:r>
          </w:p>
        </w:tc>
        <w:tc>
          <w:tcPr>
            <w:tcW w:w="1701"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proofErr w:type="spellStart"/>
            <w:r w:rsidRPr="004745A6">
              <w:rPr>
                <w:color w:val="000000" w:themeColor="text1"/>
                <w:sz w:val="20"/>
                <w:lang w:eastAsia="lv-LV"/>
              </w:rPr>
              <w:lastRenderedPageBreak/>
              <w:t>Nenodokļi</w:t>
            </w:r>
            <w:proofErr w:type="spellEnd"/>
            <w:r w:rsidRPr="004745A6">
              <w:rPr>
                <w:color w:val="000000" w:themeColor="text1"/>
                <w:sz w:val="20"/>
                <w:lang w:eastAsia="lv-LV"/>
              </w:rPr>
              <w:t xml:space="preserve"> </w:t>
            </w:r>
          </w:p>
        </w:tc>
        <w:tc>
          <w:tcPr>
            <w:tcW w:w="709"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P.13</w:t>
            </w:r>
          </w:p>
        </w:tc>
        <w:tc>
          <w:tcPr>
            <w:tcW w:w="1134"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Naudas plūsmas</w:t>
            </w:r>
          </w:p>
        </w:tc>
        <w:tc>
          <w:tcPr>
            <w:tcW w:w="1418" w:type="dxa"/>
            <w:shd w:val="clear" w:color="auto" w:fill="auto"/>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Daļēji pieņemts</w:t>
            </w:r>
          </w:p>
        </w:tc>
        <w:tc>
          <w:tcPr>
            <w:tcW w:w="850"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-0,03</w:t>
            </w:r>
          </w:p>
        </w:tc>
        <w:tc>
          <w:tcPr>
            <w:tcW w:w="851" w:type="dxa"/>
            <w:shd w:val="clear" w:color="auto" w:fill="auto"/>
            <w:noWrap/>
            <w:vAlign w:val="center"/>
            <w:hideMark/>
          </w:tcPr>
          <w:p w:rsidR="00DE1BAD" w:rsidRPr="004745A6" w:rsidRDefault="00783741" w:rsidP="00DE1BAD">
            <w:pPr>
              <w:spacing w:after="0"/>
              <w:ind w:firstLine="0"/>
              <w:jc w:val="center"/>
              <w:rPr>
                <w:color w:val="000000" w:themeColor="text1"/>
                <w:sz w:val="20"/>
                <w:lang w:eastAsia="lv-LV"/>
              </w:rPr>
            </w:pPr>
            <w:r>
              <w:rPr>
                <w:color w:val="000000" w:themeColor="text1"/>
                <w:sz w:val="20"/>
                <w:lang w:eastAsia="lv-LV"/>
              </w:rPr>
              <w:t>0,03</w:t>
            </w:r>
          </w:p>
        </w:tc>
        <w:tc>
          <w:tcPr>
            <w:tcW w:w="850" w:type="dxa"/>
            <w:shd w:val="clear" w:color="auto" w:fill="auto"/>
            <w:noWrap/>
            <w:vAlign w:val="center"/>
            <w:hideMark/>
          </w:tcPr>
          <w:p w:rsidR="00DE1BAD" w:rsidRPr="004745A6" w:rsidRDefault="00DE1BAD" w:rsidP="00DE1BAD">
            <w:pPr>
              <w:spacing w:after="0"/>
              <w:ind w:firstLine="0"/>
              <w:jc w:val="center"/>
              <w:rPr>
                <w:color w:val="000000" w:themeColor="text1"/>
                <w:sz w:val="20"/>
                <w:lang w:eastAsia="lv-LV"/>
              </w:rPr>
            </w:pPr>
            <w:r w:rsidRPr="004745A6">
              <w:rPr>
                <w:color w:val="000000" w:themeColor="text1"/>
                <w:sz w:val="20"/>
                <w:lang w:eastAsia="lv-LV"/>
              </w:rPr>
              <w:t xml:space="preserve"> </w:t>
            </w:r>
          </w:p>
        </w:tc>
      </w:tr>
      <w:tr w:rsidR="000039B2" w:rsidRPr="00DE1BAD" w:rsidTr="00EA06F9">
        <w:trPr>
          <w:trHeight w:val="420"/>
        </w:trPr>
        <w:tc>
          <w:tcPr>
            <w:tcW w:w="3402" w:type="dxa"/>
            <w:shd w:val="clear" w:color="auto" w:fill="DBE5F1" w:themeFill="accent1" w:themeFillTint="33"/>
            <w:vAlign w:val="center"/>
          </w:tcPr>
          <w:p w:rsidR="00DE1BAD" w:rsidRPr="004745A6" w:rsidRDefault="00DE1BAD" w:rsidP="00DE1BAD">
            <w:pPr>
              <w:spacing w:after="0"/>
              <w:ind w:firstLine="0"/>
              <w:rPr>
                <w:color w:val="000000" w:themeColor="text1"/>
                <w:sz w:val="20"/>
                <w:lang w:eastAsia="lv-LV"/>
              </w:rPr>
            </w:pPr>
            <w:r w:rsidRPr="004745A6">
              <w:rPr>
                <w:color w:val="000000" w:themeColor="text1"/>
                <w:sz w:val="20"/>
              </w:rPr>
              <w:t>Citi nodokļu pasākumi</w:t>
            </w:r>
          </w:p>
        </w:tc>
        <w:tc>
          <w:tcPr>
            <w:tcW w:w="3969" w:type="dxa"/>
            <w:shd w:val="clear" w:color="auto" w:fill="DBE5F1" w:themeFill="accent1" w:themeFillTint="33"/>
            <w:vAlign w:val="center"/>
          </w:tcPr>
          <w:p w:rsidR="00DE1BAD" w:rsidRPr="004745A6" w:rsidRDefault="00DE1BAD" w:rsidP="00DE1BAD">
            <w:pPr>
              <w:spacing w:after="0"/>
              <w:ind w:firstLine="0"/>
              <w:rPr>
                <w:color w:val="000000" w:themeColor="text1"/>
                <w:sz w:val="20"/>
                <w:lang w:eastAsia="lv-LV"/>
              </w:rPr>
            </w:pPr>
          </w:p>
        </w:tc>
        <w:tc>
          <w:tcPr>
            <w:tcW w:w="1701" w:type="dxa"/>
            <w:shd w:val="clear" w:color="auto" w:fill="DBE5F1" w:themeFill="accent1" w:themeFillTint="33"/>
            <w:vAlign w:val="center"/>
          </w:tcPr>
          <w:p w:rsidR="00DE1BAD" w:rsidRPr="004745A6" w:rsidRDefault="00DE1BAD" w:rsidP="00DE1BAD">
            <w:pPr>
              <w:spacing w:after="0"/>
              <w:ind w:firstLine="0"/>
              <w:jc w:val="center"/>
              <w:rPr>
                <w:color w:val="000000" w:themeColor="text1"/>
                <w:sz w:val="20"/>
                <w:lang w:eastAsia="lv-LV"/>
              </w:rPr>
            </w:pPr>
          </w:p>
        </w:tc>
        <w:tc>
          <w:tcPr>
            <w:tcW w:w="709" w:type="dxa"/>
            <w:shd w:val="clear" w:color="auto" w:fill="DBE5F1" w:themeFill="accent1" w:themeFillTint="33"/>
            <w:vAlign w:val="center"/>
          </w:tcPr>
          <w:p w:rsidR="00DE1BAD" w:rsidRPr="004745A6" w:rsidRDefault="00DE1BAD" w:rsidP="00DE1BAD">
            <w:pPr>
              <w:spacing w:after="0"/>
              <w:ind w:firstLine="0"/>
              <w:jc w:val="center"/>
              <w:rPr>
                <w:color w:val="000000" w:themeColor="text1"/>
                <w:sz w:val="20"/>
                <w:lang w:eastAsia="lv-LV"/>
              </w:rPr>
            </w:pPr>
          </w:p>
        </w:tc>
        <w:tc>
          <w:tcPr>
            <w:tcW w:w="1134" w:type="dxa"/>
            <w:shd w:val="clear" w:color="auto" w:fill="DBE5F1" w:themeFill="accent1" w:themeFillTint="33"/>
            <w:vAlign w:val="center"/>
          </w:tcPr>
          <w:p w:rsidR="00DE1BAD" w:rsidRPr="004745A6" w:rsidRDefault="00DE1BAD" w:rsidP="00DE1BAD">
            <w:pPr>
              <w:spacing w:after="0"/>
              <w:ind w:firstLine="0"/>
              <w:jc w:val="center"/>
              <w:rPr>
                <w:color w:val="000000" w:themeColor="text1"/>
                <w:sz w:val="20"/>
                <w:lang w:eastAsia="lv-LV"/>
              </w:rPr>
            </w:pPr>
          </w:p>
        </w:tc>
        <w:tc>
          <w:tcPr>
            <w:tcW w:w="1418" w:type="dxa"/>
            <w:shd w:val="clear" w:color="auto" w:fill="DBE5F1" w:themeFill="accent1" w:themeFillTint="33"/>
            <w:vAlign w:val="center"/>
          </w:tcPr>
          <w:p w:rsidR="00DE1BAD" w:rsidRPr="004745A6" w:rsidRDefault="00DE1BAD" w:rsidP="00DE1BAD">
            <w:pPr>
              <w:spacing w:after="0"/>
              <w:ind w:firstLine="0"/>
              <w:jc w:val="center"/>
              <w:rPr>
                <w:color w:val="000000" w:themeColor="text1"/>
                <w:sz w:val="20"/>
                <w:lang w:eastAsia="lv-LV"/>
              </w:rPr>
            </w:pPr>
          </w:p>
        </w:tc>
        <w:tc>
          <w:tcPr>
            <w:tcW w:w="850" w:type="dxa"/>
            <w:shd w:val="clear" w:color="auto" w:fill="DBE5F1" w:themeFill="accent1" w:themeFillTint="33"/>
            <w:noWrap/>
            <w:vAlign w:val="center"/>
          </w:tcPr>
          <w:p w:rsidR="00DE1BAD" w:rsidRPr="004745A6" w:rsidRDefault="00783741" w:rsidP="00DE1BAD">
            <w:pPr>
              <w:spacing w:after="0"/>
              <w:ind w:firstLine="0"/>
              <w:jc w:val="center"/>
              <w:rPr>
                <w:color w:val="000000" w:themeColor="text1"/>
                <w:sz w:val="20"/>
                <w:lang w:eastAsia="lv-LV"/>
              </w:rPr>
            </w:pPr>
            <w:r>
              <w:rPr>
                <w:b/>
                <w:bCs/>
                <w:color w:val="000000" w:themeColor="text1"/>
                <w:sz w:val="20"/>
              </w:rPr>
              <w:t>0,01</w:t>
            </w:r>
          </w:p>
        </w:tc>
        <w:tc>
          <w:tcPr>
            <w:tcW w:w="851" w:type="dxa"/>
            <w:shd w:val="clear" w:color="auto" w:fill="DBE5F1" w:themeFill="accent1" w:themeFillTint="33"/>
            <w:noWrap/>
            <w:vAlign w:val="center"/>
          </w:tcPr>
          <w:p w:rsidR="00DE1BAD" w:rsidRPr="004745A6" w:rsidRDefault="00DE1BAD" w:rsidP="004220D1">
            <w:pPr>
              <w:spacing w:after="0"/>
              <w:ind w:firstLine="0"/>
              <w:jc w:val="center"/>
              <w:rPr>
                <w:color w:val="000000" w:themeColor="text1"/>
                <w:sz w:val="20"/>
                <w:lang w:eastAsia="lv-LV"/>
              </w:rPr>
            </w:pPr>
            <w:r w:rsidRPr="004745A6">
              <w:rPr>
                <w:b/>
                <w:bCs/>
                <w:color w:val="000000" w:themeColor="text1"/>
                <w:sz w:val="20"/>
              </w:rPr>
              <w:t>0,0</w:t>
            </w:r>
            <w:r w:rsidR="004220D1" w:rsidRPr="004745A6">
              <w:rPr>
                <w:b/>
                <w:bCs/>
                <w:color w:val="000000" w:themeColor="text1"/>
                <w:sz w:val="20"/>
              </w:rPr>
              <w:t>0</w:t>
            </w:r>
          </w:p>
        </w:tc>
        <w:tc>
          <w:tcPr>
            <w:tcW w:w="850" w:type="dxa"/>
            <w:shd w:val="clear" w:color="auto" w:fill="DBE5F1" w:themeFill="accent1" w:themeFillTint="33"/>
            <w:noWrap/>
            <w:vAlign w:val="center"/>
          </w:tcPr>
          <w:p w:rsidR="00DE1BAD" w:rsidRPr="004745A6" w:rsidRDefault="00DE1BAD" w:rsidP="004220D1">
            <w:pPr>
              <w:spacing w:after="0"/>
              <w:ind w:firstLine="0"/>
              <w:jc w:val="center"/>
              <w:rPr>
                <w:color w:val="000000" w:themeColor="text1"/>
                <w:sz w:val="20"/>
                <w:lang w:eastAsia="lv-LV"/>
              </w:rPr>
            </w:pPr>
            <w:r w:rsidRPr="004745A6">
              <w:rPr>
                <w:b/>
                <w:bCs/>
                <w:color w:val="000000" w:themeColor="text1"/>
                <w:sz w:val="20"/>
              </w:rPr>
              <w:t>0,0</w:t>
            </w:r>
            <w:r w:rsidR="004220D1" w:rsidRPr="004745A6">
              <w:rPr>
                <w:b/>
                <w:bCs/>
                <w:color w:val="000000" w:themeColor="text1"/>
                <w:sz w:val="20"/>
              </w:rPr>
              <w:t>0</w:t>
            </w:r>
          </w:p>
        </w:tc>
      </w:tr>
      <w:tr w:rsidR="000039B2" w:rsidRPr="00DE1BAD" w:rsidTr="00EA06F9">
        <w:trPr>
          <w:trHeight w:val="420"/>
        </w:trPr>
        <w:tc>
          <w:tcPr>
            <w:tcW w:w="3402" w:type="dxa"/>
            <w:shd w:val="clear" w:color="auto" w:fill="auto"/>
            <w:vAlign w:val="center"/>
          </w:tcPr>
          <w:p w:rsidR="00DE1BAD" w:rsidRPr="004745A6" w:rsidRDefault="00DE1BAD" w:rsidP="00DE1BAD">
            <w:pPr>
              <w:spacing w:after="0"/>
              <w:ind w:firstLine="0"/>
              <w:rPr>
                <w:color w:val="000000" w:themeColor="text1"/>
                <w:sz w:val="20"/>
                <w:lang w:eastAsia="lv-LV"/>
              </w:rPr>
            </w:pPr>
            <w:r w:rsidRPr="004745A6">
              <w:rPr>
                <w:color w:val="000000" w:themeColor="text1"/>
                <w:sz w:val="20"/>
                <w:lang w:eastAsia="lv-LV"/>
              </w:rPr>
              <w:t xml:space="preserve">Citi </w:t>
            </w:r>
            <w:proofErr w:type="spellStart"/>
            <w:r w:rsidRPr="004745A6">
              <w:rPr>
                <w:color w:val="000000" w:themeColor="text1"/>
                <w:sz w:val="20"/>
                <w:lang w:eastAsia="lv-LV"/>
              </w:rPr>
              <w:t>nenodokļu</w:t>
            </w:r>
            <w:proofErr w:type="spellEnd"/>
            <w:r w:rsidRPr="004745A6">
              <w:rPr>
                <w:color w:val="000000" w:themeColor="text1"/>
                <w:sz w:val="20"/>
                <w:lang w:eastAsia="lv-LV"/>
              </w:rPr>
              <w:t xml:space="preserve"> pasākumi</w:t>
            </w:r>
          </w:p>
        </w:tc>
        <w:tc>
          <w:tcPr>
            <w:tcW w:w="3969" w:type="dxa"/>
            <w:shd w:val="clear" w:color="auto" w:fill="auto"/>
            <w:vAlign w:val="center"/>
          </w:tcPr>
          <w:p w:rsidR="00DE1BAD" w:rsidRPr="004745A6" w:rsidRDefault="00DE1BAD" w:rsidP="00DE1BAD">
            <w:pPr>
              <w:spacing w:after="0"/>
              <w:ind w:firstLine="0"/>
              <w:rPr>
                <w:color w:val="000000" w:themeColor="text1"/>
                <w:sz w:val="20"/>
                <w:lang w:eastAsia="lv-LV"/>
              </w:rPr>
            </w:pPr>
          </w:p>
        </w:tc>
        <w:tc>
          <w:tcPr>
            <w:tcW w:w="1701" w:type="dxa"/>
            <w:shd w:val="clear" w:color="auto" w:fill="auto"/>
            <w:vAlign w:val="center"/>
          </w:tcPr>
          <w:p w:rsidR="00DE1BAD" w:rsidRPr="004745A6" w:rsidRDefault="00DE1BAD" w:rsidP="00DE1BAD">
            <w:pPr>
              <w:spacing w:after="0"/>
              <w:ind w:firstLine="0"/>
              <w:jc w:val="center"/>
              <w:rPr>
                <w:color w:val="000000" w:themeColor="text1"/>
                <w:sz w:val="20"/>
                <w:lang w:eastAsia="lv-LV"/>
              </w:rPr>
            </w:pPr>
          </w:p>
        </w:tc>
        <w:tc>
          <w:tcPr>
            <w:tcW w:w="709" w:type="dxa"/>
            <w:shd w:val="clear" w:color="auto" w:fill="auto"/>
            <w:vAlign w:val="center"/>
          </w:tcPr>
          <w:p w:rsidR="00DE1BAD" w:rsidRPr="004745A6" w:rsidRDefault="00DE1BAD" w:rsidP="00DE1BAD">
            <w:pPr>
              <w:spacing w:after="0"/>
              <w:ind w:firstLine="0"/>
              <w:jc w:val="center"/>
              <w:rPr>
                <w:color w:val="000000" w:themeColor="text1"/>
                <w:sz w:val="20"/>
                <w:lang w:eastAsia="lv-LV"/>
              </w:rPr>
            </w:pPr>
          </w:p>
        </w:tc>
        <w:tc>
          <w:tcPr>
            <w:tcW w:w="1134" w:type="dxa"/>
            <w:shd w:val="clear" w:color="auto" w:fill="auto"/>
            <w:vAlign w:val="center"/>
          </w:tcPr>
          <w:p w:rsidR="00DE1BAD" w:rsidRPr="004745A6" w:rsidRDefault="00DE1BAD" w:rsidP="00DE1BAD">
            <w:pPr>
              <w:spacing w:after="0"/>
              <w:ind w:firstLine="0"/>
              <w:jc w:val="center"/>
              <w:rPr>
                <w:color w:val="000000" w:themeColor="text1"/>
                <w:sz w:val="20"/>
                <w:lang w:eastAsia="lv-LV"/>
              </w:rPr>
            </w:pPr>
          </w:p>
        </w:tc>
        <w:tc>
          <w:tcPr>
            <w:tcW w:w="1418" w:type="dxa"/>
            <w:shd w:val="clear" w:color="auto" w:fill="auto"/>
            <w:vAlign w:val="center"/>
          </w:tcPr>
          <w:p w:rsidR="00DE1BAD" w:rsidRPr="004745A6" w:rsidRDefault="00DE1BAD" w:rsidP="00DE1BAD">
            <w:pPr>
              <w:spacing w:after="0"/>
              <w:ind w:firstLine="0"/>
              <w:jc w:val="center"/>
              <w:rPr>
                <w:color w:val="000000" w:themeColor="text1"/>
                <w:sz w:val="20"/>
                <w:lang w:eastAsia="lv-LV"/>
              </w:rPr>
            </w:pPr>
          </w:p>
        </w:tc>
        <w:tc>
          <w:tcPr>
            <w:tcW w:w="850" w:type="dxa"/>
            <w:shd w:val="clear" w:color="auto" w:fill="auto"/>
            <w:noWrap/>
            <w:vAlign w:val="center"/>
          </w:tcPr>
          <w:p w:rsidR="00DE1BAD" w:rsidRPr="004745A6" w:rsidRDefault="00783741" w:rsidP="00DE1BAD">
            <w:pPr>
              <w:spacing w:after="0"/>
              <w:ind w:firstLine="0"/>
              <w:jc w:val="center"/>
              <w:rPr>
                <w:color w:val="000000" w:themeColor="text1"/>
                <w:sz w:val="20"/>
                <w:lang w:eastAsia="lv-LV"/>
              </w:rPr>
            </w:pPr>
            <w:r>
              <w:rPr>
                <w:b/>
                <w:bCs/>
                <w:color w:val="000000" w:themeColor="text1"/>
                <w:sz w:val="20"/>
              </w:rPr>
              <w:t>0,00</w:t>
            </w:r>
          </w:p>
        </w:tc>
        <w:tc>
          <w:tcPr>
            <w:tcW w:w="851" w:type="dxa"/>
            <w:shd w:val="clear" w:color="auto" w:fill="auto"/>
            <w:noWrap/>
            <w:vAlign w:val="center"/>
          </w:tcPr>
          <w:p w:rsidR="00DE1BAD" w:rsidRPr="004745A6" w:rsidRDefault="00783741" w:rsidP="00DE1BAD">
            <w:pPr>
              <w:spacing w:after="0"/>
              <w:ind w:firstLine="0"/>
              <w:jc w:val="center"/>
              <w:rPr>
                <w:color w:val="000000" w:themeColor="text1"/>
                <w:sz w:val="20"/>
                <w:lang w:eastAsia="lv-LV"/>
              </w:rPr>
            </w:pPr>
            <w:r>
              <w:rPr>
                <w:b/>
                <w:bCs/>
                <w:color w:val="000000" w:themeColor="text1"/>
                <w:sz w:val="20"/>
              </w:rPr>
              <w:t>0,00</w:t>
            </w:r>
          </w:p>
        </w:tc>
        <w:tc>
          <w:tcPr>
            <w:tcW w:w="850" w:type="dxa"/>
            <w:shd w:val="clear" w:color="auto" w:fill="auto"/>
            <w:noWrap/>
            <w:vAlign w:val="center"/>
          </w:tcPr>
          <w:p w:rsidR="00DE1BAD" w:rsidRPr="004745A6" w:rsidRDefault="00783741" w:rsidP="00DE1BAD">
            <w:pPr>
              <w:spacing w:after="0"/>
              <w:ind w:firstLine="0"/>
              <w:jc w:val="center"/>
              <w:rPr>
                <w:color w:val="000000" w:themeColor="text1"/>
                <w:sz w:val="20"/>
                <w:lang w:eastAsia="lv-LV"/>
              </w:rPr>
            </w:pPr>
            <w:r>
              <w:rPr>
                <w:b/>
                <w:bCs/>
                <w:color w:val="000000" w:themeColor="text1"/>
                <w:sz w:val="20"/>
              </w:rPr>
              <w:t>0,00</w:t>
            </w:r>
          </w:p>
        </w:tc>
      </w:tr>
      <w:tr w:rsidR="00755B1D" w:rsidRPr="00DE1BAD" w:rsidTr="00EA06F9">
        <w:trPr>
          <w:trHeight w:val="70"/>
        </w:trPr>
        <w:tc>
          <w:tcPr>
            <w:tcW w:w="12333" w:type="dxa"/>
            <w:gridSpan w:val="6"/>
            <w:shd w:val="clear" w:color="auto" w:fill="DBE5F1" w:themeFill="accent1" w:themeFillTint="33"/>
            <w:vAlign w:val="center"/>
          </w:tcPr>
          <w:p w:rsidR="00755B1D" w:rsidRPr="004745A6" w:rsidRDefault="00755B1D" w:rsidP="00755B1D">
            <w:pPr>
              <w:spacing w:after="0"/>
              <w:ind w:firstLine="0"/>
              <w:jc w:val="right"/>
              <w:rPr>
                <w:color w:val="000000" w:themeColor="text1"/>
                <w:sz w:val="20"/>
                <w:lang w:eastAsia="lv-LV"/>
              </w:rPr>
            </w:pPr>
            <w:r w:rsidRPr="004745A6">
              <w:rPr>
                <w:b/>
                <w:color w:val="000000" w:themeColor="text1"/>
                <w:sz w:val="20"/>
                <w:lang w:eastAsia="lv-LV"/>
              </w:rPr>
              <w:t>Kopā:</w:t>
            </w:r>
          </w:p>
        </w:tc>
        <w:tc>
          <w:tcPr>
            <w:tcW w:w="850" w:type="dxa"/>
            <w:shd w:val="clear" w:color="auto" w:fill="DBE5F1" w:themeFill="accent1" w:themeFillTint="33"/>
            <w:noWrap/>
            <w:vAlign w:val="center"/>
          </w:tcPr>
          <w:p w:rsidR="00755B1D" w:rsidRPr="004745A6" w:rsidRDefault="00755B1D" w:rsidP="004220D1">
            <w:pPr>
              <w:spacing w:after="0"/>
              <w:ind w:firstLine="0"/>
              <w:jc w:val="center"/>
              <w:rPr>
                <w:color w:val="000000" w:themeColor="text1"/>
                <w:sz w:val="20"/>
                <w:lang w:eastAsia="lv-LV"/>
              </w:rPr>
            </w:pPr>
            <w:r w:rsidRPr="004745A6">
              <w:rPr>
                <w:b/>
                <w:bCs/>
                <w:color w:val="000000" w:themeColor="text1"/>
                <w:sz w:val="20"/>
              </w:rPr>
              <w:t>0,</w:t>
            </w:r>
            <w:r w:rsidR="004220D1" w:rsidRPr="004745A6">
              <w:rPr>
                <w:b/>
                <w:bCs/>
                <w:color w:val="000000" w:themeColor="text1"/>
                <w:sz w:val="20"/>
              </w:rPr>
              <w:t>97</w:t>
            </w:r>
          </w:p>
        </w:tc>
        <w:tc>
          <w:tcPr>
            <w:tcW w:w="851" w:type="dxa"/>
            <w:shd w:val="clear" w:color="auto" w:fill="DBE5F1" w:themeFill="accent1" w:themeFillTint="33"/>
            <w:noWrap/>
            <w:vAlign w:val="center"/>
          </w:tcPr>
          <w:p w:rsidR="00755B1D" w:rsidRPr="004745A6" w:rsidRDefault="00755B1D" w:rsidP="004220D1">
            <w:pPr>
              <w:spacing w:after="0"/>
              <w:ind w:firstLine="0"/>
              <w:jc w:val="center"/>
              <w:rPr>
                <w:color w:val="000000" w:themeColor="text1"/>
                <w:sz w:val="20"/>
                <w:lang w:eastAsia="lv-LV"/>
              </w:rPr>
            </w:pPr>
            <w:r w:rsidRPr="004745A6">
              <w:rPr>
                <w:b/>
                <w:bCs/>
                <w:color w:val="000000" w:themeColor="text1"/>
                <w:sz w:val="20"/>
              </w:rPr>
              <w:t>0,2</w:t>
            </w:r>
            <w:r w:rsidR="004220D1" w:rsidRPr="004745A6">
              <w:rPr>
                <w:b/>
                <w:bCs/>
                <w:color w:val="000000" w:themeColor="text1"/>
                <w:sz w:val="20"/>
              </w:rPr>
              <w:t>5</w:t>
            </w:r>
          </w:p>
        </w:tc>
        <w:tc>
          <w:tcPr>
            <w:tcW w:w="850" w:type="dxa"/>
            <w:shd w:val="clear" w:color="auto" w:fill="DBE5F1" w:themeFill="accent1" w:themeFillTint="33"/>
            <w:noWrap/>
            <w:vAlign w:val="center"/>
          </w:tcPr>
          <w:p w:rsidR="00755B1D" w:rsidRPr="004745A6" w:rsidRDefault="00755B1D" w:rsidP="004220D1">
            <w:pPr>
              <w:spacing w:after="0"/>
              <w:ind w:firstLine="0"/>
              <w:jc w:val="center"/>
              <w:rPr>
                <w:color w:val="000000" w:themeColor="text1"/>
                <w:sz w:val="20"/>
                <w:lang w:eastAsia="lv-LV"/>
              </w:rPr>
            </w:pPr>
            <w:r w:rsidRPr="004745A6">
              <w:rPr>
                <w:b/>
                <w:bCs/>
                <w:color w:val="000000" w:themeColor="text1"/>
                <w:sz w:val="20"/>
              </w:rPr>
              <w:t>-0,0</w:t>
            </w:r>
            <w:r w:rsidR="004220D1" w:rsidRPr="004745A6">
              <w:rPr>
                <w:b/>
                <w:bCs/>
                <w:color w:val="000000" w:themeColor="text1"/>
                <w:sz w:val="20"/>
              </w:rPr>
              <w:t>3</w:t>
            </w:r>
          </w:p>
        </w:tc>
      </w:tr>
    </w:tbl>
    <w:p w:rsidR="005B2F54" w:rsidRPr="00BF5371" w:rsidRDefault="00382BC7" w:rsidP="005B2F54">
      <w:pPr>
        <w:pStyle w:val="Heading1"/>
        <w:tabs>
          <w:tab w:val="left" w:pos="1276"/>
        </w:tabs>
        <w:spacing w:before="0" w:after="240"/>
        <w:ind w:left="1276" w:hanging="1276"/>
        <w:jc w:val="left"/>
        <w:rPr>
          <w:rFonts w:ascii="Times New Roman" w:hAnsi="Times New Roman"/>
          <w:color w:val="18185F"/>
          <w:sz w:val="24"/>
          <w:highlight w:val="yellow"/>
          <w:lang w:val="lv-LV"/>
        </w:rPr>
      </w:pPr>
      <w:r w:rsidRPr="00BF5371">
        <w:rPr>
          <w:highlight w:val="yellow"/>
        </w:rPr>
        <w:br w:type="page"/>
      </w:r>
      <w:bookmarkStart w:id="32" w:name="_Toc494786356"/>
      <w:bookmarkStart w:id="33" w:name="_Toc53388939"/>
      <w:r w:rsidR="00B228CA" w:rsidRPr="00421780">
        <w:rPr>
          <w:rFonts w:ascii="Times New Roman" w:hAnsi="Times New Roman"/>
          <w:color w:val="18185F"/>
          <w:sz w:val="24"/>
        </w:rPr>
        <w:lastRenderedPageBreak/>
        <w:t xml:space="preserve">Tabula </w:t>
      </w:r>
      <w:r w:rsidR="005B2F54" w:rsidRPr="00421780">
        <w:rPr>
          <w:rFonts w:ascii="Times New Roman" w:hAnsi="Times New Roman"/>
          <w:color w:val="18185F"/>
          <w:sz w:val="24"/>
        </w:rPr>
        <w:t>5.b.</w:t>
      </w:r>
      <w:r w:rsidR="005B2F54" w:rsidRPr="00421780">
        <w:rPr>
          <w:rFonts w:ascii="Times New Roman" w:hAnsi="Times New Roman"/>
          <w:color w:val="18185F"/>
          <w:sz w:val="24"/>
          <w:lang w:val="lv-LV"/>
        </w:rPr>
        <w:t>ii)</w:t>
      </w:r>
      <w:r w:rsidR="005B2F54" w:rsidRPr="00421780">
        <w:rPr>
          <w:rFonts w:ascii="Times New Roman" w:hAnsi="Times New Roman"/>
          <w:color w:val="18185F"/>
          <w:sz w:val="24"/>
        </w:rPr>
        <w:t xml:space="preserve">: </w:t>
      </w:r>
      <w:proofErr w:type="spellStart"/>
      <w:r w:rsidR="005B2F54" w:rsidRPr="00421780">
        <w:rPr>
          <w:rFonts w:ascii="Times New Roman" w:hAnsi="Times New Roman"/>
          <w:color w:val="18185F"/>
          <w:sz w:val="24"/>
        </w:rPr>
        <w:t>Diskrecionārie</w:t>
      </w:r>
      <w:proofErr w:type="spellEnd"/>
      <w:r w:rsidR="005B2F54" w:rsidRPr="00421780">
        <w:rPr>
          <w:rFonts w:ascii="Times New Roman" w:hAnsi="Times New Roman"/>
          <w:color w:val="18185F"/>
          <w:sz w:val="24"/>
          <w:lang w:val="lv-LV"/>
        </w:rPr>
        <w:t xml:space="preserve"> izdevumi</w:t>
      </w:r>
      <w:r w:rsidR="005B2F54" w:rsidRPr="00421780">
        <w:rPr>
          <w:rFonts w:ascii="Times New Roman" w:hAnsi="Times New Roman"/>
          <w:color w:val="18185F"/>
          <w:sz w:val="24"/>
        </w:rPr>
        <w:t xml:space="preserve"> pasākumi </w:t>
      </w:r>
      <w:r w:rsidR="005B2F54" w:rsidRPr="00421780">
        <w:rPr>
          <w:rFonts w:ascii="Times New Roman" w:hAnsi="Times New Roman"/>
          <w:color w:val="18185F"/>
          <w:sz w:val="24"/>
          <w:lang w:val="lv-LV"/>
        </w:rPr>
        <w:t>centrālās valdības budžetā</w:t>
      </w:r>
      <w:bookmarkEnd w:id="32"/>
      <w:bookmarkEnd w:id="33"/>
    </w:p>
    <w:tbl>
      <w:tblPr>
        <w:tblW w:w="14593"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001"/>
        <w:gridCol w:w="1374"/>
        <w:gridCol w:w="1560"/>
        <w:gridCol w:w="1559"/>
        <w:gridCol w:w="1276"/>
        <w:gridCol w:w="1275"/>
        <w:gridCol w:w="1548"/>
      </w:tblGrid>
      <w:tr w:rsidR="009828F2" w:rsidRPr="00BF5371" w:rsidTr="009828F2">
        <w:trPr>
          <w:trHeight w:val="510"/>
        </w:trPr>
        <w:tc>
          <w:tcPr>
            <w:tcW w:w="6001" w:type="dxa"/>
            <w:shd w:val="clear" w:color="auto" w:fill="DBE5F1" w:themeFill="accent1" w:themeFillTint="33"/>
            <w:vAlign w:val="center"/>
            <w:hideMark/>
          </w:tcPr>
          <w:p w:rsidR="009828F2" w:rsidRPr="00A97917" w:rsidRDefault="009828F2" w:rsidP="009828F2">
            <w:pPr>
              <w:spacing w:after="0"/>
              <w:ind w:firstLine="0"/>
              <w:jc w:val="center"/>
              <w:rPr>
                <w:b/>
                <w:bCs/>
                <w:color w:val="000000" w:themeColor="text1"/>
                <w:sz w:val="20"/>
                <w:highlight w:val="yellow"/>
                <w:lang w:eastAsia="lv-LV"/>
              </w:rPr>
            </w:pPr>
            <w:bookmarkStart w:id="34" w:name="_Toc494786357"/>
            <w:r w:rsidRPr="00A97917">
              <w:rPr>
                <w:b/>
                <w:bCs/>
                <w:color w:val="000000" w:themeColor="text1"/>
                <w:sz w:val="20"/>
                <w:lang w:eastAsia="lv-LV"/>
              </w:rPr>
              <w:t>Pasākuma nosaukums</w:t>
            </w:r>
          </w:p>
        </w:tc>
        <w:tc>
          <w:tcPr>
            <w:tcW w:w="1374" w:type="dxa"/>
            <w:shd w:val="clear" w:color="auto" w:fill="DBE5F1" w:themeFill="accent1" w:themeFillTint="33"/>
          </w:tcPr>
          <w:p w:rsidR="009828F2" w:rsidRPr="004745A6" w:rsidRDefault="009828F2" w:rsidP="009828F2">
            <w:pPr>
              <w:spacing w:after="0"/>
              <w:ind w:firstLine="0"/>
              <w:jc w:val="center"/>
              <w:rPr>
                <w:b/>
                <w:bCs/>
                <w:color w:val="000000" w:themeColor="text1"/>
                <w:sz w:val="20"/>
                <w:lang w:eastAsia="lv-LV"/>
              </w:rPr>
            </w:pPr>
            <w:r>
              <w:rPr>
                <w:b/>
                <w:bCs/>
                <w:color w:val="000000" w:themeColor="text1"/>
                <w:sz w:val="20"/>
                <w:lang w:eastAsia="lv-LV"/>
              </w:rPr>
              <w:t>EKS kods</w:t>
            </w:r>
          </w:p>
        </w:tc>
        <w:tc>
          <w:tcPr>
            <w:tcW w:w="1560" w:type="dxa"/>
            <w:shd w:val="clear" w:color="auto" w:fill="DBE5F1" w:themeFill="accent1" w:themeFillTint="33"/>
            <w:vAlign w:val="center"/>
            <w:hideMark/>
          </w:tcPr>
          <w:p w:rsidR="009828F2" w:rsidRPr="00485B01" w:rsidRDefault="009828F2" w:rsidP="009828F2">
            <w:pPr>
              <w:spacing w:after="0"/>
              <w:ind w:firstLine="0"/>
              <w:jc w:val="center"/>
              <w:rPr>
                <w:b/>
                <w:bCs/>
                <w:color w:val="000000" w:themeColor="text1"/>
                <w:sz w:val="20"/>
                <w:lang w:eastAsia="lv-LV"/>
              </w:rPr>
            </w:pPr>
            <w:r w:rsidRPr="00485B01">
              <w:rPr>
                <w:b/>
                <w:bCs/>
                <w:color w:val="000000" w:themeColor="text1"/>
                <w:sz w:val="20"/>
                <w:lang w:eastAsia="lv-LV"/>
              </w:rPr>
              <w:t>Uzskaites princips</w:t>
            </w:r>
          </w:p>
        </w:tc>
        <w:tc>
          <w:tcPr>
            <w:tcW w:w="1559" w:type="dxa"/>
            <w:shd w:val="clear" w:color="auto" w:fill="DBE5F1" w:themeFill="accent1" w:themeFillTint="33"/>
            <w:vAlign w:val="center"/>
            <w:hideMark/>
          </w:tcPr>
          <w:p w:rsidR="009828F2" w:rsidRPr="00485B01" w:rsidRDefault="009828F2" w:rsidP="009828F2">
            <w:pPr>
              <w:spacing w:after="0"/>
              <w:ind w:firstLine="0"/>
              <w:jc w:val="center"/>
              <w:rPr>
                <w:b/>
                <w:bCs/>
                <w:color w:val="000000" w:themeColor="text1"/>
                <w:sz w:val="20"/>
                <w:lang w:eastAsia="lv-LV"/>
              </w:rPr>
            </w:pPr>
            <w:r w:rsidRPr="00485B01">
              <w:rPr>
                <w:b/>
                <w:bCs/>
                <w:color w:val="000000" w:themeColor="text1"/>
                <w:sz w:val="20"/>
                <w:lang w:eastAsia="lv-LV"/>
              </w:rPr>
              <w:t>Pieņemšanas statuss</w:t>
            </w:r>
          </w:p>
        </w:tc>
        <w:tc>
          <w:tcPr>
            <w:tcW w:w="1276" w:type="dxa"/>
            <w:shd w:val="clear" w:color="auto" w:fill="DBE5F1" w:themeFill="accent1" w:themeFillTint="33"/>
            <w:vAlign w:val="center"/>
            <w:hideMark/>
          </w:tcPr>
          <w:p w:rsidR="009828F2" w:rsidRPr="000569D5" w:rsidRDefault="009828F2" w:rsidP="009828F2">
            <w:pPr>
              <w:spacing w:after="0"/>
              <w:ind w:firstLine="0"/>
              <w:jc w:val="center"/>
              <w:rPr>
                <w:b/>
                <w:bCs/>
                <w:color w:val="000000" w:themeColor="text1"/>
                <w:sz w:val="20"/>
                <w:lang w:eastAsia="lv-LV"/>
              </w:rPr>
            </w:pPr>
            <w:r w:rsidRPr="000569D5">
              <w:rPr>
                <w:b/>
                <w:bCs/>
                <w:color w:val="000000" w:themeColor="text1"/>
                <w:sz w:val="20"/>
                <w:lang w:eastAsia="lv-LV"/>
              </w:rPr>
              <w:t>2021</w:t>
            </w:r>
          </w:p>
        </w:tc>
        <w:tc>
          <w:tcPr>
            <w:tcW w:w="1275" w:type="dxa"/>
            <w:shd w:val="clear" w:color="auto" w:fill="DBE5F1" w:themeFill="accent1" w:themeFillTint="33"/>
            <w:vAlign w:val="center"/>
            <w:hideMark/>
          </w:tcPr>
          <w:p w:rsidR="009828F2" w:rsidRPr="00A97917" w:rsidRDefault="009828F2" w:rsidP="009828F2">
            <w:pPr>
              <w:spacing w:after="0"/>
              <w:ind w:firstLine="0"/>
              <w:jc w:val="center"/>
              <w:rPr>
                <w:b/>
                <w:bCs/>
                <w:color w:val="000000" w:themeColor="text1"/>
                <w:sz w:val="20"/>
                <w:lang w:eastAsia="lv-LV"/>
              </w:rPr>
            </w:pPr>
            <w:r w:rsidRPr="00A97917">
              <w:rPr>
                <w:b/>
                <w:bCs/>
                <w:color w:val="000000" w:themeColor="text1"/>
                <w:sz w:val="20"/>
                <w:lang w:eastAsia="lv-LV"/>
              </w:rPr>
              <w:t>2022</w:t>
            </w:r>
          </w:p>
        </w:tc>
        <w:tc>
          <w:tcPr>
            <w:tcW w:w="1548" w:type="dxa"/>
            <w:shd w:val="clear" w:color="auto" w:fill="DBE5F1" w:themeFill="accent1" w:themeFillTint="33"/>
            <w:vAlign w:val="center"/>
            <w:hideMark/>
          </w:tcPr>
          <w:p w:rsidR="009828F2" w:rsidRPr="00A97917" w:rsidRDefault="009828F2" w:rsidP="009828F2">
            <w:pPr>
              <w:spacing w:after="0"/>
              <w:ind w:firstLine="0"/>
              <w:jc w:val="center"/>
              <w:rPr>
                <w:b/>
                <w:bCs/>
                <w:color w:val="000000" w:themeColor="text1"/>
                <w:sz w:val="20"/>
                <w:lang w:eastAsia="lv-LV"/>
              </w:rPr>
            </w:pPr>
            <w:r w:rsidRPr="00A97917">
              <w:rPr>
                <w:b/>
                <w:bCs/>
                <w:color w:val="000000" w:themeColor="text1"/>
                <w:sz w:val="20"/>
                <w:lang w:eastAsia="lv-LV"/>
              </w:rPr>
              <w:t>2023</w:t>
            </w:r>
          </w:p>
        </w:tc>
      </w:tr>
      <w:tr w:rsidR="009828F2" w:rsidRPr="00BF5371" w:rsidTr="009828F2">
        <w:trPr>
          <w:trHeight w:val="255"/>
        </w:trPr>
        <w:tc>
          <w:tcPr>
            <w:tcW w:w="6001" w:type="dxa"/>
            <w:shd w:val="clear" w:color="auto" w:fill="auto"/>
            <w:vAlign w:val="center"/>
            <w:hideMark/>
          </w:tcPr>
          <w:p w:rsidR="009828F2" w:rsidRPr="00A97917" w:rsidRDefault="009828F2" w:rsidP="009828F2">
            <w:pPr>
              <w:spacing w:after="0"/>
              <w:ind w:firstLine="0"/>
              <w:rPr>
                <w:b/>
                <w:bCs/>
                <w:color w:val="000000" w:themeColor="text1"/>
                <w:sz w:val="20"/>
                <w:highlight w:val="yellow"/>
                <w:lang w:eastAsia="lv-LV"/>
              </w:rPr>
            </w:pPr>
          </w:p>
        </w:tc>
        <w:tc>
          <w:tcPr>
            <w:tcW w:w="1374" w:type="dxa"/>
          </w:tcPr>
          <w:p w:rsidR="009828F2" w:rsidRPr="004745A6" w:rsidRDefault="009828F2" w:rsidP="009828F2">
            <w:pPr>
              <w:spacing w:after="0"/>
              <w:ind w:firstLine="0"/>
              <w:jc w:val="center"/>
              <w:rPr>
                <w:b/>
                <w:bCs/>
                <w:color w:val="000000" w:themeColor="text1"/>
                <w:sz w:val="20"/>
                <w:highlight w:val="yellow"/>
                <w:lang w:eastAsia="lv-LV"/>
              </w:rPr>
            </w:pPr>
          </w:p>
        </w:tc>
        <w:tc>
          <w:tcPr>
            <w:tcW w:w="3119" w:type="dxa"/>
            <w:gridSpan w:val="2"/>
            <w:shd w:val="clear" w:color="auto" w:fill="auto"/>
            <w:noWrap/>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4099" w:type="dxa"/>
            <w:gridSpan w:val="3"/>
            <w:shd w:val="clear" w:color="auto" w:fill="auto"/>
            <w:noWrap/>
            <w:vAlign w:val="center"/>
            <w:hideMark/>
          </w:tcPr>
          <w:p w:rsidR="009828F2" w:rsidRPr="000569D5" w:rsidRDefault="009828F2" w:rsidP="009828F2">
            <w:pPr>
              <w:spacing w:after="0"/>
              <w:ind w:firstLine="0"/>
              <w:jc w:val="center"/>
              <w:rPr>
                <w:b/>
                <w:color w:val="000000" w:themeColor="text1"/>
                <w:sz w:val="20"/>
                <w:lang w:eastAsia="lv-LV"/>
              </w:rPr>
            </w:pPr>
            <w:r w:rsidRPr="000569D5">
              <w:rPr>
                <w:b/>
                <w:color w:val="000000" w:themeColor="text1"/>
                <w:sz w:val="20"/>
              </w:rPr>
              <w:t xml:space="preserve">milj. </w:t>
            </w:r>
            <w:proofErr w:type="spellStart"/>
            <w:r w:rsidRPr="000569D5">
              <w:rPr>
                <w:b/>
                <w:i/>
                <w:color w:val="000000" w:themeColor="text1"/>
                <w:sz w:val="20"/>
              </w:rPr>
              <w:t>euro</w:t>
            </w:r>
            <w:proofErr w:type="spellEnd"/>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Ekonomikas ministrija</w:t>
            </w:r>
          </w:p>
        </w:tc>
        <w:tc>
          <w:tcPr>
            <w:tcW w:w="1374" w:type="dxa"/>
            <w:shd w:val="clear" w:color="000000" w:fill="DDEBF7"/>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Palielināts finansējum</w:t>
            </w:r>
            <w:r>
              <w:rPr>
                <w:color w:val="000000" w:themeColor="text1"/>
                <w:sz w:val="20"/>
              </w:rPr>
              <w:t>s</w:t>
            </w:r>
            <w:r w:rsidRPr="00A97917">
              <w:rPr>
                <w:color w:val="000000" w:themeColor="text1"/>
                <w:sz w:val="20"/>
              </w:rPr>
              <w:t xml:space="preserve"> elektroenerģijas lietotāju atbalstam</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D.3</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0,11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-0,04</w:t>
            </w:r>
          </w:p>
        </w:tc>
      </w:tr>
      <w:tr w:rsidR="009828F2" w:rsidRPr="00BF5371" w:rsidTr="009828F2">
        <w:trPr>
          <w:trHeight w:val="510"/>
        </w:trPr>
        <w:tc>
          <w:tcPr>
            <w:tcW w:w="6001" w:type="dxa"/>
            <w:shd w:val="clear" w:color="auto" w:fill="auto"/>
            <w:vAlign w:val="center"/>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Palielināts finansējum</w:t>
            </w:r>
            <w:r>
              <w:rPr>
                <w:color w:val="000000" w:themeColor="text1"/>
                <w:sz w:val="20"/>
              </w:rPr>
              <w:t>s</w:t>
            </w:r>
            <w:r w:rsidRPr="00A97917">
              <w:rPr>
                <w:color w:val="000000" w:themeColor="text1"/>
                <w:sz w:val="20"/>
              </w:rPr>
              <w:t xml:space="preserve"> mājokļu garantiju atbalsta programmai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0,00</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Palielināts finansējum</w:t>
            </w:r>
            <w:r>
              <w:rPr>
                <w:color w:val="000000" w:themeColor="text1"/>
                <w:sz w:val="20"/>
              </w:rPr>
              <w:t>s</w:t>
            </w:r>
            <w:r w:rsidRPr="00A97917">
              <w:rPr>
                <w:color w:val="000000" w:themeColor="text1"/>
                <w:sz w:val="20"/>
              </w:rPr>
              <w:t xml:space="preserve"> PP 12_06_P Mājokļu garantiju atbalsta programma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D.7</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0,02</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auto" w:fill="DBE5F1" w:themeFill="accent1" w:themeFillTint="33"/>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Finanšu ministrija</w:t>
            </w:r>
          </w:p>
        </w:tc>
        <w:tc>
          <w:tcPr>
            <w:tcW w:w="1374" w:type="dxa"/>
            <w:shd w:val="clear" w:color="000000" w:fill="DDEBF7"/>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rPr>
            </w:pPr>
            <w:r w:rsidRPr="00A97917">
              <w:rPr>
                <w:color w:val="000000" w:themeColor="text1"/>
                <w:sz w:val="20"/>
              </w:rPr>
              <w:t xml:space="preserve">Finansējuma samazinājums atbilstoši izdevumu pārskatīšanas rezultātam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rPr>
            </w:pPr>
            <w:r w:rsidRPr="000569D5">
              <w:rPr>
                <w:color w:val="000000" w:themeColor="text1"/>
                <w:sz w:val="20"/>
              </w:rPr>
              <w:t>-0,07</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0,00</w:t>
            </w:r>
          </w:p>
        </w:tc>
      </w:tr>
      <w:tr w:rsidR="009828F2" w:rsidRPr="00BF5371" w:rsidTr="009828F2">
        <w:trPr>
          <w:trHeight w:val="300"/>
        </w:trPr>
        <w:tc>
          <w:tcPr>
            <w:tcW w:w="6001" w:type="dxa"/>
            <w:shd w:val="clear" w:color="auto" w:fill="auto"/>
            <w:vAlign w:val="center"/>
            <w:hideMark/>
          </w:tcPr>
          <w:p w:rsidR="009828F2" w:rsidRPr="00A97917" w:rsidRDefault="009828F2" w:rsidP="009828F2">
            <w:pPr>
              <w:spacing w:after="0"/>
              <w:ind w:firstLine="0"/>
              <w:rPr>
                <w:color w:val="000000" w:themeColor="text1"/>
                <w:sz w:val="20"/>
              </w:rPr>
            </w:pPr>
            <w:r w:rsidRPr="00A97917">
              <w:rPr>
                <w:color w:val="000000" w:themeColor="text1"/>
                <w:sz w:val="20"/>
              </w:rPr>
              <w:t xml:space="preserve">Finansējuma palielinājums normatīvajos aktos noteikto prasību ieviešanai VID informācijas sistēmās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0,01</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proofErr w:type="spellStart"/>
            <w:r w:rsidRPr="00A97917">
              <w:rPr>
                <w:b/>
                <w:bCs/>
                <w:color w:val="000000" w:themeColor="text1"/>
                <w:sz w:val="20"/>
                <w:lang w:eastAsia="lv-LV"/>
              </w:rPr>
              <w:t>Iekšlietu</w:t>
            </w:r>
            <w:proofErr w:type="spellEnd"/>
            <w:r w:rsidRPr="00A97917">
              <w:rPr>
                <w:b/>
                <w:bCs/>
                <w:color w:val="000000" w:themeColor="text1"/>
                <w:sz w:val="20"/>
                <w:lang w:eastAsia="lv-LV"/>
              </w:rPr>
              <w:t xml:space="preserve"> ministrija</w:t>
            </w:r>
          </w:p>
        </w:tc>
        <w:tc>
          <w:tcPr>
            <w:tcW w:w="1374" w:type="dxa"/>
            <w:shd w:val="clear" w:color="000000" w:fill="DDEBF7"/>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765"/>
        </w:trPr>
        <w:tc>
          <w:tcPr>
            <w:tcW w:w="6001" w:type="dxa"/>
            <w:shd w:val="clear" w:color="auto" w:fill="auto"/>
            <w:vAlign w:val="center"/>
            <w:hideMark/>
          </w:tcPr>
          <w:p w:rsidR="009828F2" w:rsidRPr="00A97917" w:rsidRDefault="009828F2" w:rsidP="009828F2">
            <w:pPr>
              <w:spacing w:after="0"/>
              <w:ind w:firstLine="0"/>
              <w:rPr>
                <w:color w:val="000000" w:themeColor="text1"/>
                <w:sz w:val="20"/>
              </w:rPr>
            </w:pPr>
            <w:r w:rsidRPr="00A97917">
              <w:rPr>
                <w:color w:val="000000" w:themeColor="text1"/>
                <w:sz w:val="20"/>
              </w:rPr>
              <w:t>Finansējuma palielinājums prioritārajam pasākumam "Pedagogu darba samaksas pieauguma grafika īstenošana pirmsskolas izglītībā, vispārējā izglītībā, profesionālajā izglītībā, profesionālajā ievirzē un interešu izglītībā"</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0,00</w:t>
            </w:r>
          </w:p>
        </w:tc>
      </w:tr>
      <w:tr w:rsidR="009828F2" w:rsidRPr="00BF5371" w:rsidTr="009828F2">
        <w:trPr>
          <w:trHeight w:val="255"/>
        </w:trPr>
        <w:tc>
          <w:tcPr>
            <w:tcW w:w="6001" w:type="dxa"/>
            <w:shd w:val="clear" w:color="auto" w:fill="auto"/>
            <w:vAlign w:val="center"/>
            <w:hideMark/>
          </w:tcPr>
          <w:p w:rsidR="009828F2" w:rsidRPr="00A97917" w:rsidRDefault="009828F2" w:rsidP="009828F2">
            <w:pPr>
              <w:spacing w:after="0"/>
              <w:ind w:firstLine="0"/>
              <w:rPr>
                <w:b/>
                <w:bCs/>
                <w:color w:val="000000" w:themeColor="text1"/>
                <w:sz w:val="20"/>
                <w:highlight w:val="yellow"/>
                <w:lang w:eastAsia="lv-LV"/>
              </w:rPr>
            </w:pPr>
            <w:r w:rsidRPr="00A97917">
              <w:rPr>
                <w:color w:val="000000" w:themeColor="text1"/>
                <w:sz w:val="20"/>
              </w:rPr>
              <w:t xml:space="preserve">Finansējuma palielinājums prioritārajam pasākumam "Akadēmiskā personāla minimālo atlīdzības likmju paaugstināšana saskaņā ar pedagogu darba samaksas paaugstināšanas grafiku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auto" w:fill="auto"/>
            <w:vAlign w:val="center"/>
            <w:hideMark/>
          </w:tcPr>
          <w:p w:rsidR="009828F2" w:rsidRPr="00485B01" w:rsidRDefault="009828F2" w:rsidP="009828F2">
            <w:pPr>
              <w:spacing w:after="0"/>
              <w:ind w:firstLine="0"/>
              <w:jc w:val="center"/>
              <w:rPr>
                <w:b/>
                <w:bCs/>
                <w:color w:val="000000" w:themeColor="text1"/>
                <w:sz w:val="20"/>
                <w:highlight w:val="yellow"/>
                <w:lang w:eastAsia="lv-LV"/>
              </w:rPr>
            </w:pPr>
            <w:r w:rsidRPr="00485B01">
              <w:rPr>
                <w:color w:val="000000" w:themeColor="text1"/>
                <w:sz w:val="20"/>
              </w:rPr>
              <w:t>Naudas plūsma</w:t>
            </w:r>
          </w:p>
        </w:tc>
        <w:tc>
          <w:tcPr>
            <w:tcW w:w="1559" w:type="dxa"/>
            <w:shd w:val="clear" w:color="auto" w:fill="auto"/>
            <w:vAlign w:val="center"/>
            <w:hideMark/>
          </w:tcPr>
          <w:p w:rsidR="009828F2" w:rsidRPr="00485B01" w:rsidRDefault="009828F2" w:rsidP="009828F2">
            <w:pPr>
              <w:spacing w:after="0"/>
              <w:ind w:firstLine="0"/>
              <w:jc w:val="center"/>
              <w:rPr>
                <w:b/>
                <w:bCs/>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b/>
                <w:bCs/>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b/>
                <w:bCs/>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b/>
                <w:bCs/>
                <w:color w:val="000000" w:themeColor="text1"/>
                <w:sz w:val="20"/>
                <w:highlight w:val="yellow"/>
                <w:lang w:eastAsia="lv-LV"/>
              </w:rPr>
            </w:pPr>
            <w:r w:rsidRPr="00A97917">
              <w:rPr>
                <w:color w:val="000000" w:themeColor="text1"/>
                <w:sz w:val="20"/>
              </w:rPr>
              <w:t>0,00</w:t>
            </w:r>
          </w:p>
        </w:tc>
      </w:tr>
      <w:tr w:rsidR="009828F2" w:rsidRPr="00BF5371" w:rsidTr="009828F2">
        <w:trPr>
          <w:trHeight w:val="30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Finansējuma palielinājums prioritārajam pasākumam "XII Latvijas Skolu jaunatnes dziesmu un deju svētku nodrošināšana"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Finansējuma palielinājums ERAF projektu īstenošanai</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Finansējuma palielinājums Eiropas Sociālā fonda projektu īstenošanai</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0,06</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-0,06</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Finansējuma palielinājums prioritārajam pasākumam "Pedagogu darba samaksas pieauguma grafika īstenošana pirmsskolas izglītībā, vispārējā izglītībā, profesionālajā izglītībā, profesionālajā ievirzē un interešu izglītībā"</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lastRenderedPageBreak/>
              <w:t xml:space="preserve">Finansējuma palielinājums prioritārajam pasākumam "Akadēmiskā personāla minimālo atlīdzības likmju paaugstināšana saskaņā ar pedagogu darba samaksas paaugstināšanas grafiku"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auto" w:fill="DBE5F1" w:themeFill="accent1" w:themeFillTint="33"/>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Zemkopības ministrija</w:t>
            </w:r>
          </w:p>
        </w:tc>
        <w:tc>
          <w:tcPr>
            <w:tcW w:w="1374" w:type="dxa"/>
            <w:shd w:val="clear" w:color="000000" w:fill="DDEBF7"/>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bottom"/>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Valsts atbalstam vaislas lauksaimniecības dzīvnieku ierakstīšanai ciltsgrāmatā, kā arī to ģenētiskās kvalitātes noteikšanai un produktivitātes datu izvērtēšanai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D.3</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lang w:eastAsia="lv-LV"/>
              </w:rPr>
            </w:pPr>
            <w:r w:rsidRPr="00A97917">
              <w:rPr>
                <w:b/>
                <w:bCs/>
                <w:color w:val="000000" w:themeColor="text1"/>
                <w:sz w:val="20"/>
                <w:lang w:eastAsia="lv-LV"/>
              </w:rPr>
              <w:t>Satiksmes ministrija</w:t>
            </w:r>
          </w:p>
        </w:tc>
        <w:tc>
          <w:tcPr>
            <w:tcW w:w="1374" w:type="dxa"/>
            <w:shd w:val="clear" w:color="000000" w:fill="DDEBF7"/>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30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Finansējums Ķekavas apvedceļa projekta īstenošanai (Ķekavas apvedceļa projektēšanai, būvniecībai, finansēšanai un uzturēšanai)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Finansējuma samazinājums valsts autoceļu uzturēšanai un atjaunošanai, ņemot vērā MK 22.09.2020. sēdē lemto.</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P.51</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-0,17</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0,17</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Palielināti izdevumi 2021.gada abonēto preses izdevumu piegādes radīto zaudējumu kompensācijai un atbalstam abonēto preses izdevumu piegādēm 2022., 2023. un turpmākajiem gadiem.</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D.9</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r>
      <w:tr w:rsidR="009828F2" w:rsidRPr="00BF5371" w:rsidTr="009828F2">
        <w:trPr>
          <w:trHeight w:val="573"/>
        </w:trPr>
        <w:tc>
          <w:tcPr>
            <w:tcW w:w="6001" w:type="dxa"/>
            <w:shd w:val="clear" w:color="auto" w:fill="auto"/>
            <w:vAlign w:val="center"/>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Palielināti izdevumi abonēto preses izdevumu piegādes radīto zaudējumu kompensācijai.</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D.9</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0,02</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lang w:eastAsia="lv-LV"/>
              </w:rPr>
            </w:pPr>
            <w:r w:rsidRPr="00A97917">
              <w:rPr>
                <w:b/>
                <w:bCs/>
                <w:color w:val="000000" w:themeColor="text1"/>
                <w:sz w:val="20"/>
                <w:lang w:eastAsia="lv-LV"/>
              </w:rPr>
              <w:t>Labklājības ministrija</w:t>
            </w:r>
          </w:p>
        </w:tc>
        <w:tc>
          <w:tcPr>
            <w:tcW w:w="1374" w:type="dxa"/>
            <w:shd w:val="clear" w:color="000000" w:fill="DDEBF7"/>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255"/>
        </w:trPr>
        <w:tc>
          <w:tcPr>
            <w:tcW w:w="6001" w:type="dxa"/>
            <w:shd w:val="clear" w:color="auto" w:fill="auto"/>
            <w:hideMark/>
          </w:tcPr>
          <w:p w:rsidR="009828F2" w:rsidRPr="00A97917" w:rsidRDefault="009828F2" w:rsidP="009828F2">
            <w:pPr>
              <w:spacing w:after="0"/>
              <w:ind w:firstLine="0"/>
              <w:rPr>
                <w:b/>
                <w:bCs/>
                <w:color w:val="000000" w:themeColor="text1"/>
                <w:sz w:val="20"/>
                <w:lang w:eastAsia="lv-LV"/>
              </w:rPr>
            </w:pPr>
            <w:r w:rsidRPr="00A97917">
              <w:rPr>
                <w:b/>
                <w:bCs/>
                <w:color w:val="000000" w:themeColor="text1"/>
                <w:sz w:val="20"/>
                <w:lang w:eastAsia="lv-LV"/>
              </w:rPr>
              <w:t>Pamatbudžets</w:t>
            </w:r>
          </w:p>
        </w:tc>
        <w:tc>
          <w:tcPr>
            <w:tcW w:w="1374" w:type="dxa"/>
            <w:vAlign w:val="center"/>
          </w:tcPr>
          <w:p w:rsidR="009828F2" w:rsidRPr="004745A6" w:rsidRDefault="009828F2" w:rsidP="009828F2">
            <w:pPr>
              <w:spacing w:after="0"/>
              <w:ind w:firstLine="0"/>
              <w:jc w:val="center"/>
              <w:rPr>
                <w:color w:val="000000" w:themeColor="text1"/>
                <w:sz w:val="20"/>
                <w:highlight w:val="yellow"/>
                <w:lang w:eastAsia="lv-LV"/>
              </w:rPr>
            </w:pPr>
          </w:p>
        </w:tc>
        <w:tc>
          <w:tcPr>
            <w:tcW w:w="1560"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p>
        </w:tc>
        <w:tc>
          <w:tcPr>
            <w:tcW w:w="1559"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p>
        </w:tc>
      </w:tr>
      <w:tr w:rsidR="009828F2" w:rsidRPr="00BF5371" w:rsidTr="009828F2">
        <w:trPr>
          <w:trHeight w:val="765"/>
        </w:trPr>
        <w:tc>
          <w:tcPr>
            <w:tcW w:w="6001" w:type="dxa"/>
            <w:shd w:val="clear" w:color="auto" w:fill="auto"/>
            <w:vAlign w:val="bottom"/>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Palielināti resursi un izdevumi 2021.gadam 9 349 520 </w:t>
            </w:r>
            <w:proofErr w:type="spellStart"/>
            <w:r w:rsidRPr="00A97917">
              <w:rPr>
                <w:i/>
                <w:color w:val="000000" w:themeColor="text1"/>
                <w:sz w:val="20"/>
              </w:rPr>
              <w:t>euro</w:t>
            </w:r>
            <w:proofErr w:type="spellEnd"/>
            <w:r w:rsidRPr="00A97917">
              <w:rPr>
                <w:color w:val="000000" w:themeColor="text1"/>
                <w:sz w:val="20"/>
              </w:rPr>
              <w:t xml:space="preserve"> apmērā un 2022.gadam 21 364 224 </w:t>
            </w:r>
            <w:proofErr w:type="spellStart"/>
            <w:r w:rsidRPr="00A97917">
              <w:rPr>
                <w:i/>
                <w:color w:val="000000" w:themeColor="text1"/>
                <w:sz w:val="20"/>
              </w:rPr>
              <w:t>euro</w:t>
            </w:r>
            <w:proofErr w:type="spellEnd"/>
            <w:r w:rsidRPr="00A97917">
              <w:rPr>
                <w:color w:val="000000" w:themeColor="text1"/>
                <w:sz w:val="20"/>
              </w:rPr>
              <w:t xml:space="preserve"> apmērā un 2023.gadam 23 372 967 </w:t>
            </w:r>
            <w:proofErr w:type="spellStart"/>
            <w:r w:rsidRPr="00A97917">
              <w:rPr>
                <w:i/>
                <w:color w:val="000000" w:themeColor="text1"/>
                <w:sz w:val="20"/>
              </w:rPr>
              <w:t>euro</w:t>
            </w:r>
            <w:proofErr w:type="spellEnd"/>
            <w:r w:rsidRPr="00A97917">
              <w:rPr>
                <w:color w:val="000000" w:themeColor="text1"/>
                <w:sz w:val="20"/>
              </w:rPr>
              <w:t xml:space="preserve"> apmērā, lai nodrošinātu prioritārā pasākuma “Asistenta pakalpojuma pārskatīšana” īstenošanu, pilnveidojot asistenta pakalpojuma pašvaldībā nodrošināšanas kārtību, nodrošinot to kā fiskāli neitrālu pasākumu, t.i. samazinot izdevumus bezdarbnieka pabalstam speciālā budžeta apakšprogrammā 04.02.00 “Nodarbinātības speciālais budžets”</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0,04</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bottom"/>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Palielināti resursi un izdevumi 2021.gadam 2 370 251 </w:t>
            </w:r>
            <w:proofErr w:type="spellStart"/>
            <w:r w:rsidRPr="00A97917">
              <w:rPr>
                <w:i/>
                <w:color w:val="000000" w:themeColor="text1"/>
                <w:sz w:val="20"/>
              </w:rPr>
              <w:t>euro</w:t>
            </w:r>
            <w:proofErr w:type="spellEnd"/>
            <w:r w:rsidRPr="00A97917">
              <w:rPr>
                <w:color w:val="000000" w:themeColor="text1"/>
                <w:sz w:val="20"/>
              </w:rPr>
              <w:t xml:space="preserve"> apmērā un 2022.–2023.gadam ik gadu 4 750 859 </w:t>
            </w:r>
            <w:proofErr w:type="spellStart"/>
            <w:r w:rsidRPr="00A97917">
              <w:rPr>
                <w:i/>
                <w:color w:val="000000" w:themeColor="text1"/>
                <w:sz w:val="20"/>
              </w:rPr>
              <w:t>euro</w:t>
            </w:r>
            <w:proofErr w:type="spellEnd"/>
            <w:r w:rsidRPr="00A97917">
              <w:rPr>
                <w:color w:val="000000" w:themeColor="text1"/>
                <w:sz w:val="20"/>
              </w:rPr>
              <w:t xml:space="preserve"> apmērā, lai nodrošinātu prioritārā pasākuma  “Pabalsta aizbildnim par bērna uzturēšanu apmēra dubultošana” īstenošanu ar 2021.gada 1.jūliju, nodrošinot to kā fiskāli neitrālu pasākumu, t.i. samazinot izdevumus bezdarbnieka pabalstam speciālā budžeta apakšprogrammā 04.02.00 “Nodarbinātības speciālais budžets”</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bottom"/>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Palielināti resursi un izdevumi 2021.gadam 10 195 604 </w:t>
            </w:r>
            <w:proofErr w:type="spellStart"/>
            <w:r w:rsidRPr="00A97917">
              <w:rPr>
                <w:i/>
                <w:color w:val="000000" w:themeColor="text1"/>
                <w:sz w:val="20"/>
              </w:rPr>
              <w:t>euro</w:t>
            </w:r>
            <w:proofErr w:type="spellEnd"/>
            <w:r w:rsidRPr="00A97917">
              <w:rPr>
                <w:color w:val="000000" w:themeColor="text1"/>
                <w:sz w:val="20"/>
              </w:rPr>
              <w:t xml:space="preserve"> apmērā, 2022.gadam 10 741 027 </w:t>
            </w:r>
            <w:proofErr w:type="spellStart"/>
            <w:r w:rsidRPr="00A97917">
              <w:rPr>
                <w:i/>
                <w:color w:val="000000" w:themeColor="text1"/>
                <w:sz w:val="20"/>
              </w:rPr>
              <w:t>euro</w:t>
            </w:r>
            <w:proofErr w:type="spellEnd"/>
            <w:r w:rsidRPr="00A97917">
              <w:rPr>
                <w:color w:val="000000" w:themeColor="text1"/>
                <w:sz w:val="20"/>
              </w:rPr>
              <w:t xml:space="preserve"> apmērā un 2023.gadam 10 865 062 </w:t>
            </w:r>
            <w:proofErr w:type="spellStart"/>
            <w:r w:rsidRPr="00A97917">
              <w:rPr>
                <w:i/>
                <w:color w:val="000000" w:themeColor="text1"/>
                <w:sz w:val="20"/>
              </w:rPr>
              <w:t>euro</w:t>
            </w:r>
            <w:proofErr w:type="spellEnd"/>
            <w:r w:rsidRPr="00A97917">
              <w:rPr>
                <w:i/>
                <w:color w:val="000000" w:themeColor="text1"/>
                <w:sz w:val="20"/>
              </w:rPr>
              <w:t xml:space="preserve"> </w:t>
            </w:r>
            <w:r w:rsidRPr="00A97917">
              <w:rPr>
                <w:color w:val="000000" w:themeColor="text1"/>
                <w:sz w:val="20"/>
              </w:rPr>
              <w:t xml:space="preserve">apmērā, lai prioritārā pasākuma “Satversmes tiesas spriedumu izpilde </w:t>
            </w:r>
            <w:r w:rsidRPr="00A97917">
              <w:rPr>
                <w:color w:val="000000" w:themeColor="text1"/>
                <w:sz w:val="20"/>
              </w:rPr>
              <w:lastRenderedPageBreak/>
              <w:t xml:space="preserve">labklājības jomā” ietvaros nodrošinātu </w:t>
            </w:r>
            <w:proofErr w:type="spellStart"/>
            <w:r w:rsidRPr="00A97917">
              <w:rPr>
                <w:color w:val="000000" w:themeColor="text1"/>
                <w:sz w:val="20"/>
              </w:rPr>
              <w:t>apakšpasākuma</w:t>
            </w:r>
            <w:proofErr w:type="spellEnd"/>
            <w:r w:rsidRPr="00A97917">
              <w:rPr>
                <w:color w:val="000000" w:themeColor="text1"/>
                <w:sz w:val="20"/>
              </w:rPr>
              <w:t xml:space="preserve"> “Valsts sociālā nodrošinājuma pabalsta apmēra pārskatīšana” īstenošanu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lastRenderedPageBreak/>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auto" w:fill="auto"/>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Speciālais budžets</w:t>
            </w:r>
          </w:p>
        </w:tc>
        <w:tc>
          <w:tcPr>
            <w:tcW w:w="1374" w:type="dxa"/>
          </w:tcPr>
          <w:p w:rsidR="009828F2" w:rsidRPr="004745A6" w:rsidRDefault="009828F2" w:rsidP="009828F2">
            <w:pPr>
              <w:spacing w:after="0"/>
              <w:ind w:firstLine="0"/>
              <w:jc w:val="center"/>
              <w:rPr>
                <w:color w:val="000000" w:themeColor="text1"/>
                <w:sz w:val="20"/>
                <w:highlight w:val="yellow"/>
                <w:lang w:eastAsia="lv-LV"/>
              </w:rPr>
            </w:pPr>
          </w:p>
        </w:tc>
        <w:tc>
          <w:tcPr>
            <w:tcW w:w="1560"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p>
        </w:tc>
        <w:tc>
          <w:tcPr>
            <w:tcW w:w="1559"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lang w:eastAsia="lv-LV"/>
              </w:rPr>
            </w:pPr>
            <w:r w:rsidRPr="000569D5">
              <w:rPr>
                <w:color w:val="000000" w:themeColor="text1"/>
                <w:sz w:val="20"/>
                <w:lang w:eastAsia="lv-LV"/>
              </w:rPr>
              <w:t>0,00</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lang w:eastAsia="lv-LV"/>
              </w:rPr>
            </w:pPr>
            <w:r w:rsidRPr="00A97917">
              <w:rPr>
                <w:color w:val="000000" w:themeColor="text1"/>
                <w:sz w:val="20"/>
                <w:lang w:eastAsia="lv-LV"/>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lang w:eastAsia="lv-LV"/>
              </w:rPr>
            </w:pPr>
            <w:r w:rsidRPr="00A97917">
              <w:rPr>
                <w:color w:val="000000" w:themeColor="text1"/>
                <w:sz w:val="20"/>
                <w:lang w:eastAsia="lv-LV"/>
              </w:rPr>
              <w:t>0,00</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Izdevumu samazinājums vecuma pensijām saistībā ar pabalsta vid. apmēra mēnesī prognozēto samazināšanos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-0,04</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Izdevumu samazinājums bezdarbnieka pabalstiem saistībā ar pabalsta saņēmēju skaita vidēji mēnesī prognozēto samazināšanos, tādējādi nodrošinot LM fiskāli neitrālu pasākumu īstenošanu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-0,06</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center"/>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Izdevumu samazinājums bezdarbnieka pabalstiem saistībā ar pabalsta saņēmēju skaita vidēji mēnesī prognozēto samazināšanos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0,01</w:t>
            </w:r>
          </w:p>
        </w:tc>
      </w:tr>
      <w:tr w:rsidR="009828F2" w:rsidRPr="00BF5371" w:rsidTr="009828F2">
        <w:trPr>
          <w:trHeight w:val="765"/>
        </w:trPr>
        <w:tc>
          <w:tcPr>
            <w:tcW w:w="6001" w:type="dxa"/>
            <w:shd w:val="clear" w:color="auto" w:fill="auto"/>
            <w:vAlign w:val="center"/>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Izdevumu samazinājums slimības pabalstiem saistībā ar pabalsta saņēmēju skaita vidēji mēnesī prognozēto samazināšanos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-0,03</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bottom"/>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Ieņēmumu un izdevumu palielinājums, lai nodrošinātu prioritārā pasākuma "Satversmes tiesas spriedumu izpilde labklājības jomā" </w:t>
            </w:r>
            <w:proofErr w:type="spellStart"/>
            <w:r w:rsidRPr="00A97917">
              <w:rPr>
                <w:color w:val="000000" w:themeColor="text1"/>
                <w:sz w:val="20"/>
              </w:rPr>
              <w:t>apakšpasākuma</w:t>
            </w:r>
            <w:proofErr w:type="spellEnd"/>
            <w:r w:rsidRPr="00A97917">
              <w:rPr>
                <w:color w:val="000000" w:themeColor="text1"/>
                <w:sz w:val="20"/>
              </w:rPr>
              <w:t xml:space="preserve"> "Minimālo pensiju paaugstināšana" īstenošanu, saņemot </w:t>
            </w:r>
            <w:proofErr w:type="spellStart"/>
            <w:r w:rsidRPr="00A97917">
              <w:rPr>
                <w:color w:val="000000" w:themeColor="text1"/>
                <w:sz w:val="20"/>
              </w:rPr>
              <w:t>transferta</w:t>
            </w:r>
            <w:proofErr w:type="spellEnd"/>
            <w:r w:rsidRPr="00A97917">
              <w:rPr>
                <w:color w:val="000000" w:themeColor="text1"/>
                <w:sz w:val="20"/>
              </w:rPr>
              <w:t xml:space="preserve"> pārskaitījumu no LM pamatbudžeta programmas 04.00.00 "Valsts atbalsts sociālajai apdrošināšanai"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0,07</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bottom"/>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Ieņēmumu un izdevumu palielinājums, lai nodrošinātu prioritārā pasākuma "Satversmes tiesas spriedumu izpilde labklājības jomā" </w:t>
            </w:r>
            <w:proofErr w:type="spellStart"/>
            <w:r w:rsidRPr="00A97917">
              <w:rPr>
                <w:color w:val="000000" w:themeColor="text1"/>
                <w:sz w:val="20"/>
              </w:rPr>
              <w:t>apkašpasākuma</w:t>
            </w:r>
            <w:proofErr w:type="spellEnd"/>
            <w:r w:rsidRPr="00A97917">
              <w:rPr>
                <w:color w:val="000000" w:themeColor="text1"/>
                <w:sz w:val="20"/>
              </w:rPr>
              <w:t xml:space="preserve"> "Atbalsts bērniem apgādnieka nāves gadījumā" īstenošanu, saņemot </w:t>
            </w:r>
            <w:proofErr w:type="spellStart"/>
            <w:r w:rsidRPr="00A97917">
              <w:rPr>
                <w:color w:val="000000" w:themeColor="text1"/>
                <w:sz w:val="20"/>
              </w:rPr>
              <w:t>transferta</w:t>
            </w:r>
            <w:proofErr w:type="spellEnd"/>
            <w:r w:rsidRPr="00A97917">
              <w:rPr>
                <w:color w:val="000000" w:themeColor="text1"/>
                <w:sz w:val="20"/>
              </w:rPr>
              <w:t xml:space="preserve"> pārskaitījumu no LM pamatbudžeta programmas 04.00.00 "Valsts atbalsts sociālajai apdrošināšanai" </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D.6</w:t>
            </w: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0,02</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765"/>
        </w:trPr>
        <w:tc>
          <w:tcPr>
            <w:tcW w:w="6001" w:type="dxa"/>
            <w:shd w:val="clear" w:color="auto" w:fill="auto"/>
            <w:vAlign w:val="bottom"/>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Ieņēmumu un izdevumu palielinājums, lai nodrošinātu prioritārā pasākuma "Satversmes tiesas spriedumu izpilde labklājības jomā" </w:t>
            </w:r>
            <w:proofErr w:type="spellStart"/>
            <w:r w:rsidRPr="00A97917">
              <w:rPr>
                <w:color w:val="000000" w:themeColor="text1"/>
                <w:sz w:val="20"/>
              </w:rPr>
              <w:t>apakšpasākuma</w:t>
            </w:r>
            <w:proofErr w:type="spellEnd"/>
            <w:r w:rsidRPr="00A97917">
              <w:rPr>
                <w:color w:val="000000" w:themeColor="text1"/>
                <w:sz w:val="20"/>
              </w:rPr>
              <w:t xml:space="preserve"> "Minimālo pensiju paaugstināšana" īstenošanu, saņemot </w:t>
            </w:r>
            <w:proofErr w:type="spellStart"/>
            <w:r w:rsidRPr="00A97917">
              <w:rPr>
                <w:color w:val="000000" w:themeColor="text1"/>
                <w:sz w:val="20"/>
              </w:rPr>
              <w:t>transferta</w:t>
            </w:r>
            <w:proofErr w:type="spellEnd"/>
            <w:r w:rsidRPr="00A97917">
              <w:rPr>
                <w:color w:val="000000" w:themeColor="text1"/>
                <w:sz w:val="20"/>
              </w:rPr>
              <w:t xml:space="preserve"> pārskaitījumu no LM pamatbudžeta programmas 04.00.00 "Valsts atbalsts sociālajai apdrošināšanai" </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0,10</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Tieslietu ministrija</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bottom"/>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Palielināti izdevumi prioritārajam pasākumam "Tiesu darbinieku mēnešalgu paaugstināšana" </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Kultūras ministrija</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bottom"/>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lastRenderedPageBreak/>
              <w:t>Finansējuma palielinājums pedagogu darba samaksas pieauguma grafika īstenošana pirmsskolas izglītībā, vispārējā izglītībā, profesionālajā izglītībā, profesionālajā ievirzē un interešu izglītībā</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Veselības ministrija</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765"/>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Palielināti resursi un izdevumi 2021.–2023.gadam ik gadu 7 313 139 </w:t>
            </w:r>
            <w:proofErr w:type="spellStart"/>
            <w:r w:rsidRPr="00A97917">
              <w:rPr>
                <w:i/>
                <w:color w:val="000000" w:themeColor="text1"/>
                <w:sz w:val="20"/>
              </w:rPr>
              <w:t>euro</w:t>
            </w:r>
            <w:proofErr w:type="spellEnd"/>
            <w:r w:rsidRPr="00A97917">
              <w:rPr>
                <w:i/>
                <w:color w:val="000000" w:themeColor="text1"/>
                <w:sz w:val="20"/>
              </w:rPr>
              <w:t xml:space="preserve"> </w:t>
            </w:r>
            <w:r w:rsidRPr="00A97917">
              <w:rPr>
                <w:color w:val="000000" w:themeColor="text1"/>
                <w:sz w:val="20"/>
              </w:rPr>
              <w:t xml:space="preserve">apmērā, lai nodrošinātu prioritārā pasākuma “Ārstniecības personu darba samaksas pieauguma nodrošināšana” īstenošanu </w:t>
            </w:r>
          </w:p>
        </w:tc>
        <w:tc>
          <w:tcPr>
            <w:tcW w:w="1374" w:type="dxa"/>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0,57</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Radio un televīzija</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D.7</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bottom"/>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Dotācijas palielinājums, lai nodrošinātu VSIA "Latvijas Televīzija" attīstību pēc iziešanas no reklāmas tirgus</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0,02</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highlight w:val="yellow"/>
                <w:lang w:eastAsia="lv-LV"/>
              </w:rPr>
            </w:pPr>
            <w:r w:rsidRPr="00A97917">
              <w:rPr>
                <w:b/>
                <w:bCs/>
                <w:color w:val="000000" w:themeColor="text1"/>
                <w:sz w:val="20"/>
                <w:lang w:eastAsia="lv-LV"/>
              </w:rPr>
              <w:t>Mērķdotācijas pašvaldībām</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D.7</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Finansējuma pārdale ņemot vērā izglītojamo skaita un struktūras izmaiņas</w:t>
            </w:r>
          </w:p>
        </w:tc>
        <w:tc>
          <w:tcPr>
            <w:tcW w:w="1374" w:type="dxa"/>
            <w:vAlign w:val="center"/>
          </w:tcPr>
          <w:p w:rsidR="009828F2" w:rsidRPr="004745A6" w:rsidRDefault="009828F2" w:rsidP="009828F2">
            <w:pPr>
              <w:spacing w:after="0"/>
              <w:ind w:firstLine="0"/>
              <w:jc w:val="center"/>
              <w:rPr>
                <w:color w:val="000000" w:themeColor="text1"/>
                <w:sz w:val="20"/>
              </w:rPr>
            </w:pPr>
            <w:r>
              <w:rPr>
                <w:color w:val="000000" w:themeColor="text1"/>
                <w:sz w:val="20"/>
              </w:rPr>
              <w:t>D.1</w:t>
            </w: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Nodrošināta pedagogu darba samaksas paaugstināšanas grafika īstenošana</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0,09</w:t>
            </w:r>
          </w:p>
        </w:tc>
        <w:tc>
          <w:tcPr>
            <w:tcW w:w="1275"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c>
          <w:tcPr>
            <w:tcW w:w="1548" w:type="dxa"/>
            <w:shd w:val="clear" w:color="auto" w:fill="auto"/>
            <w:vAlign w:val="center"/>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vAlign w:val="center"/>
            <w:hideMark/>
          </w:tcPr>
          <w:p w:rsidR="009828F2" w:rsidRPr="00A97917" w:rsidRDefault="009828F2" w:rsidP="009828F2">
            <w:pPr>
              <w:spacing w:after="0"/>
              <w:ind w:firstLine="0"/>
              <w:jc w:val="left"/>
              <w:rPr>
                <w:b/>
                <w:bCs/>
                <w:color w:val="000000" w:themeColor="text1"/>
                <w:sz w:val="20"/>
                <w:lang w:eastAsia="lv-LV"/>
              </w:rPr>
            </w:pPr>
            <w:r w:rsidRPr="00A97917">
              <w:rPr>
                <w:b/>
                <w:bCs/>
                <w:color w:val="000000" w:themeColor="text1"/>
                <w:sz w:val="20"/>
                <w:lang w:eastAsia="lv-LV"/>
              </w:rPr>
              <w:t>Dotācija pašvaldībām</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r>
              <w:rPr>
                <w:color w:val="000000" w:themeColor="text1"/>
                <w:sz w:val="20"/>
              </w:rPr>
              <w:t>D.7</w:t>
            </w: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jc w:val="left"/>
              <w:rPr>
                <w:color w:val="000000" w:themeColor="text1"/>
                <w:sz w:val="20"/>
                <w:highlight w:val="yellow"/>
                <w:lang w:eastAsia="lv-LV"/>
              </w:rPr>
            </w:pPr>
            <w:r w:rsidRPr="00A97917">
              <w:rPr>
                <w:color w:val="000000" w:themeColor="text1"/>
                <w:sz w:val="20"/>
              </w:rPr>
              <w:t>Pašvaldību speciālās dotācijas palielinājums par 10% pret iepriekšējo gadu</w:t>
            </w:r>
          </w:p>
        </w:tc>
        <w:tc>
          <w:tcPr>
            <w:tcW w:w="1374" w:type="dxa"/>
            <w:vAlign w:val="center"/>
          </w:tcPr>
          <w:p w:rsidR="009828F2" w:rsidRPr="004745A6" w:rsidRDefault="009828F2" w:rsidP="009828F2">
            <w:pPr>
              <w:spacing w:after="0"/>
              <w:ind w:firstLine="0"/>
              <w:jc w:val="center"/>
              <w:rPr>
                <w:b/>
                <w:bCs/>
                <w:color w:val="000000" w:themeColor="text1"/>
                <w:sz w:val="20"/>
                <w:highlight w:val="yellow"/>
                <w:lang w:eastAsia="lv-LV"/>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-0,08</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0,06</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0,03</w:t>
            </w:r>
          </w:p>
        </w:tc>
      </w:tr>
      <w:tr w:rsidR="009828F2" w:rsidRPr="00BF5371" w:rsidTr="009828F2">
        <w:trPr>
          <w:trHeight w:val="255"/>
        </w:trPr>
        <w:tc>
          <w:tcPr>
            <w:tcW w:w="6001" w:type="dxa"/>
            <w:shd w:val="clear" w:color="000000" w:fill="DDEBF7"/>
            <w:hideMark/>
          </w:tcPr>
          <w:p w:rsidR="009828F2" w:rsidRPr="00A97917" w:rsidRDefault="009828F2" w:rsidP="009828F2">
            <w:pPr>
              <w:spacing w:after="0"/>
              <w:ind w:firstLine="0"/>
              <w:rPr>
                <w:b/>
                <w:bCs/>
                <w:color w:val="000000" w:themeColor="text1"/>
                <w:sz w:val="20"/>
                <w:lang w:eastAsia="lv-LV"/>
              </w:rPr>
            </w:pPr>
            <w:r w:rsidRPr="00A97917">
              <w:rPr>
                <w:b/>
                <w:bCs/>
                <w:color w:val="000000" w:themeColor="text1"/>
                <w:sz w:val="20"/>
                <w:lang w:eastAsia="lv-LV"/>
              </w:rPr>
              <w:t>Gadskārtējā valsts budžeta izpildes procesā pārdalāmais finansējums</w:t>
            </w:r>
          </w:p>
        </w:tc>
        <w:tc>
          <w:tcPr>
            <w:tcW w:w="1374" w:type="dxa"/>
            <w:shd w:val="clear" w:color="000000" w:fill="DDEBF7"/>
            <w:vAlign w:val="center"/>
          </w:tcPr>
          <w:p w:rsidR="009828F2" w:rsidRPr="004745A6" w:rsidRDefault="009828F2" w:rsidP="009828F2">
            <w:pPr>
              <w:spacing w:after="0"/>
              <w:ind w:firstLine="0"/>
              <w:jc w:val="center"/>
              <w:rPr>
                <w:color w:val="000000" w:themeColor="text1"/>
                <w:sz w:val="20"/>
              </w:rPr>
            </w:pPr>
          </w:p>
        </w:tc>
        <w:tc>
          <w:tcPr>
            <w:tcW w:w="1560"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559" w:type="dxa"/>
            <w:shd w:val="clear" w:color="000000" w:fill="DDEBF7"/>
            <w:vAlign w:val="center"/>
            <w:hideMark/>
          </w:tcPr>
          <w:p w:rsidR="009828F2" w:rsidRPr="00485B01" w:rsidRDefault="009828F2" w:rsidP="009828F2">
            <w:pPr>
              <w:spacing w:after="0"/>
              <w:ind w:firstLine="0"/>
              <w:jc w:val="center"/>
              <w:rPr>
                <w:b/>
                <w:bCs/>
                <w:color w:val="000000" w:themeColor="text1"/>
                <w:sz w:val="20"/>
                <w:highlight w:val="yellow"/>
                <w:lang w:eastAsia="lv-LV"/>
              </w:rPr>
            </w:pPr>
          </w:p>
        </w:tc>
        <w:tc>
          <w:tcPr>
            <w:tcW w:w="1276" w:type="dxa"/>
            <w:shd w:val="clear" w:color="000000" w:fill="DDEBF7"/>
            <w:vAlign w:val="center"/>
            <w:hideMark/>
          </w:tcPr>
          <w:p w:rsidR="009828F2" w:rsidRPr="000569D5" w:rsidRDefault="009828F2" w:rsidP="009828F2">
            <w:pPr>
              <w:spacing w:after="0"/>
              <w:ind w:firstLine="0"/>
              <w:jc w:val="center"/>
              <w:rPr>
                <w:b/>
                <w:bCs/>
                <w:color w:val="000000" w:themeColor="text1"/>
                <w:sz w:val="20"/>
                <w:highlight w:val="yellow"/>
                <w:lang w:eastAsia="lv-LV"/>
              </w:rPr>
            </w:pPr>
          </w:p>
        </w:tc>
        <w:tc>
          <w:tcPr>
            <w:tcW w:w="1275"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c>
          <w:tcPr>
            <w:tcW w:w="1548" w:type="dxa"/>
            <w:shd w:val="clear" w:color="000000" w:fill="DDEBF7"/>
            <w:vAlign w:val="center"/>
            <w:hideMark/>
          </w:tcPr>
          <w:p w:rsidR="009828F2" w:rsidRPr="00A97917" w:rsidRDefault="009828F2" w:rsidP="009828F2">
            <w:pPr>
              <w:spacing w:after="0"/>
              <w:ind w:firstLine="0"/>
              <w:jc w:val="center"/>
              <w:rPr>
                <w:b/>
                <w:bCs/>
                <w:color w:val="000000" w:themeColor="text1"/>
                <w:sz w:val="20"/>
                <w:highlight w:val="yellow"/>
                <w:lang w:eastAsia="lv-LV"/>
              </w:rPr>
            </w:pPr>
          </w:p>
        </w:tc>
      </w:tr>
      <w:tr w:rsidR="009828F2" w:rsidRPr="00BF5371" w:rsidTr="009828F2">
        <w:trPr>
          <w:trHeight w:val="255"/>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Finansējums samazināts atbilstoši MK pieņemtajiem lēmumiem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0,00</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Finansējums palielināts atbilstoši MK pieņemtajiem lēmumiem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0,02</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'Pārdalītais finansējums uz KNAB, ĀM, FM, IeM, TM un Prokuratūru noziedzīgi iegūtu līdzekļu legalizācijas un terorisma finansēšanas novēršanai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-0,01</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30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Finansējums Covid-19 krīzes pārvarēšanas un ekonomikas atlabšanas pasākumam "Demogrāfija"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0,04</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-0,04</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510"/>
        </w:trPr>
        <w:tc>
          <w:tcPr>
            <w:tcW w:w="6001" w:type="dxa"/>
            <w:shd w:val="clear" w:color="auto" w:fill="auto"/>
            <w:vAlign w:val="center"/>
            <w:hideMark/>
          </w:tcPr>
          <w:p w:rsidR="009828F2" w:rsidRPr="00A97917" w:rsidRDefault="009828F2" w:rsidP="009828F2">
            <w:pPr>
              <w:spacing w:after="0"/>
              <w:ind w:firstLine="0"/>
              <w:rPr>
                <w:color w:val="000000" w:themeColor="text1"/>
                <w:sz w:val="20"/>
                <w:highlight w:val="yellow"/>
                <w:lang w:eastAsia="lv-LV"/>
              </w:rPr>
            </w:pPr>
            <w:r w:rsidRPr="00A97917">
              <w:rPr>
                <w:color w:val="000000" w:themeColor="text1"/>
                <w:sz w:val="20"/>
              </w:rPr>
              <w:t xml:space="preserve">Pārdalītais finansējums ES politikas instrumentu un pārējās ārvalstu finanšu palīdzības projektu īstenošanai no/uz budžeta resoriem </w:t>
            </w:r>
          </w:p>
        </w:tc>
        <w:tc>
          <w:tcPr>
            <w:tcW w:w="1374" w:type="dxa"/>
            <w:vAlign w:val="center"/>
          </w:tcPr>
          <w:p w:rsidR="009828F2" w:rsidRPr="004745A6" w:rsidRDefault="009828F2" w:rsidP="009828F2">
            <w:pPr>
              <w:spacing w:after="0"/>
              <w:ind w:firstLine="0"/>
              <w:jc w:val="center"/>
              <w:rPr>
                <w:color w:val="000000" w:themeColor="text1"/>
                <w:sz w:val="20"/>
              </w:rPr>
            </w:pPr>
          </w:p>
        </w:tc>
        <w:tc>
          <w:tcPr>
            <w:tcW w:w="1560"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Naudas plūsma</w:t>
            </w:r>
          </w:p>
        </w:tc>
        <w:tc>
          <w:tcPr>
            <w:tcW w:w="1559" w:type="dxa"/>
            <w:shd w:val="clear" w:color="auto" w:fill="auto"/>
            <w:noWrap/>
            <w:vAlign w:val="center"/>
            <w:hideMark/>
          </w:tcPr>
          <w:p w:rsidR="009828F2" w:rsidRPr="00485B01" w:rsidRDefault="009828F2" w:rsidP="009828F2">
            <w:pPr>
              <w:spacing w:after="0"/>
              <w:ind w:firstLine="0"/>
              <w:jc w:val="center"/>
              <w:rPr>
                <w:color w:val="000000" w:themeColor="text1"/>
                <w:sz w:val="20"/>
                <w:highlight w:val="yellow"/>
                <w:lang w:eastAsia="lv-LV"/>
              </w:rPr>
            </w:pPr>
            <w:r w:rsidRPr="00485B01">
              <w:rPr>
                <w:color w:val="000000" w:themeColor="text1"/>
                <w:sz w:val="20"/>
              </w:rPr>
              <w:t>Apstiprināts valdībā</w:t>
            </w:r>
          </w:p>
        </w:tc>
        <w:tc>
          <w:tcPr>
            <w:tcW w:w="1276" w:type="dxa"/>
            <w:shd w:val="clear" w:color="auto" w:fill="auto"/>
            <w:vAlign w:val="center"/>
            <w:hideMark/>
          </w:tcPr>
          <w:p w:rsidR="009828F2" w:rsidRPr="000569D5" w:rsidRDefault="009828F2" w:rsidP="009828F2">
            <w:pPr>
              <w:spacing w:after="0"/>
              <w:ind w:firstLine="0"/>
              <w:jc w:val="center"/>
              <w:rPr>
                <w:color w:val="000000" w:themeColor="text1"/>
                <w:sz w:val="20"/>
                <w:highlight w:val="yellow"/>
                <w:lang w:eastAsia="lv-LV"/>
              </w:rPr>
            </w:pPr>
            <w:r w:rsidRPr="000569D5">
              <w:rPr>
                <w:color w:val="000000" w:themeColor="text1"/>
                <w:sz w:val="20"/>
              </w:rPr>
              <w:t>-0,15</w:t>
            </w:r>
          </w:p>
        </w:tc>
        <w:tc>
          <w:tcPr>
            <w:tcW w:w="1275"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0,14</w:t>
            </w:r>
          </w:p>
        </w:tc>
        <w:tc>
          <w:tcPr>
            <w:tcW w:w="1548" w:type="dxa"/>
            <w:shd w:val="clear" w:color="auto" w:fill="auto"/>
            <w:vAlign w:val="center"/>
            <w:hideMark/>
          </w:tcPr>
          <w:p w:rsidR="009828F2" w:rsidRPr="00A97917" w:rsidRDefault="009828F2" w:rsidP="009828F2">
            <w:pPr>
              <w:spacing w:after="0"/>
              <w:ind w:firstLine="0"/>
              <w:jc w:val="center"/>
              <w:rPr>
                <w:color w:val="000000" w:themeColor="text1"/>
                <w:sz w:val="20"/>
                <w:highlight w:val="yellow"/>
                <w:lang w:eastAsia="lv-LV"/>
              </w:rPr>
            </w:pPr>
            <w:r w:rsidRPr="00A97917">
              <w:rPr>
                <w:color w:val="000000" w:themeColor="text1"/>
                <w:sz w:val="20"/>
              </w:rPr>
              <w:t>0,00</w:t>
            </w:r>
          </w:p>
        </w:tc>
      </w:tr>
      <w:tr w:rsidR="009828F2" w:rsidRPr="00BF5371" w:rsidTr="009828F2">
        <w:trPr>
          <w:trHeight w:val="255"/>
        </w:trPr>
        <w:tc>
          <w:tcPr>
            <w:tcW w:w="6001" w:type="dxa"/>
            <w:shd w:val="clear" w:color="000000" w:fill="DDEBF7"/>
            <w:vAlign w:val="center"/>
            <w:hideMark/>
          </w:tcPr>
          <w:p w:rsidR="009828F2" w:rsidRPr="00A97917" w:rsidRDefault="009828F2" w:rsidP="009828F2">
            <w:pPr>
              <w:spacing w:after="0"/>
              <w:ind w:firstLine="0"/>
              <w:jc w:val="left"/>
              <w:rPr>
                <w:color w:val="000000" w:themeColor="text1"/>
                <w:sz w:val="20"/>
                <w:lang w:eastAsia="lv-LV"/>
              </w:rPr>
            </w:pPr>
            <w:r w:rsidRPr="00A97917">
              <w:rPr>
                <w:color w:val="000000" w:themeColor="text1"/>
                <w:sz w:val="20"/>
                <w:lang w:eastAsia="lv-LV"/>
              </w:rPr>
              <w:t>Citi prioritārie pasākumi</w:t>
            </w:r>
          </w:p>
        </w:tc>
        <w:tc>
          <w:tcPr>
            <w:tcW w:w="1374" w:type="dxa"/>
            <w:shd w:val="clear" w:color="000000" w:fill="DDEBF7"/>
            <w:vAlign w:val="center"/>
          </w:tcPr>
          <w:p w:rsidR="009828F2" w:rsidRPr="004745A6" w:rsidRDefault="009828F2" w:rsidP="009828F2">
            <w:pPr>
              <w:spacing w:after="0"/>
              <w:ind w:firstLine="0"/>
              <w:rPr>
                <w:b/>
                <w:bCs/>
                <w:color w:val="000000" w:themeColor="text1"/>
                <w:sz w:val="20"/>
                <w:lang w:eastAsia="lv-LV"/>
              </w:rPr>
            </w:pPr>
            <w:r w:rsidRPr="004745A6">
              <w:rPr>
                <w:b/>
                <w:bCs/>
                <w:color w:val="000000" w:themeColor="text1"/>
                <w:sz w:val="20"/>
                <w:lang w:eastAsia="lv-LV"/>
              </w:rPr>
              <w:t>Kopā</w:t>
            </w:r>
          </w:p>
        </w:tc>
        <w:tc>
          <w:tcPr>
            <w:tcW w:w="1560" w:type="dxa"/>
            <w:shd w:val="clear" w:color="000000" w:fill="DDEBF7"/>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Naudas plūsma</w:t>
            </w:r>
          </w:p>
        </w:tc>
        <w:tc>
          <w:tcPr>
            <w:tcW w:w="1559" w:type="dxa"/>
            <w:shd w:val="clear" w:color="000000" w:fill="DDEBF7"/>
            <w:vAlign w:val="center"/>
            <w:hideMark/>
          </w:tcPr>
          <w:p w:rsidR="009828F2" w:rsidRPr="00485B01" w:rsidRDefault="009828F2" w:rsidP="009828F2">
            <w:pPr>
              <w:spacing w:after="0"/>
              <w:ind w:firstLine="0"/>
              <w:jc w:val="center"/>
              <w:rPr>
                <w:color w:val="000000" w:themeColor="text1"/>
                <w:sz w:val="20"/>
              </w:rPr>
            </w:pPr>
            <w:r w:rsidRPr="00485B01">
              <w:rPr>
                <w:color w:val="000000" w:themeColor="text1"/>
                <w:sz w:val="20"/>
              </w:rPr>
              <w:t>Apstiprināts valdībā</w:t>
            </w:r>
          </w:p>
        </w:tc>
        <w:tc>
          <w:tcPr>
            <w:tcW w:w="1276" w:type="dxa"/>
            <w:shd w:val="clear" w:color="000000" w:fill="DDEBF7"/>
            <w:vAlign w:val="center"/>
            <w:hideMark/>
          </w:tcPr>
          <w:p w:rsidR="009828F2" w:rsidRPr="000569D5" w:rsidRDefault="009828F2" w:rsidP="009828F2">
            <w:pPr>
              <w:spacing w:after="0"/>
              <w:ind w:firstLine="0"/>
              <w:jc w:val="center"/>
              <w:rPr>
                <w:color w:val="000000" w:themeColor="text1"/>
                <w:sz w:val="20"/>
              </w:rPr>
            </w:pPr>
            <w:r w:rsidRPr="000569D5">
              <w:rPr>
                <w:color w:val="000000" w:themeColor="text1"/>
                <w:sz w:val="20"/>
              </w:rPr>
              <w:t>0,28</w:t>
            </w:r>
          </w:p>
        </w:tc>
        <w:tc>
          <w:tcPr>
            <w:tcW w:w="1275" w:type="dxa"/>
            <w:shd w:val="clear" w:color="000000" w:fill="DDEBF7"/>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-0,11</w:t>
            </w:r>
          </w:p>
        </w:tc>
        <w:tc>
          <w:tcPr>
            <w:tcW w:w="1548" w:type="dxa"/>
            <w:shd w:val="clear" w:color="000000" w:fill="DDEBF7"/>
            <w:vAlign w:val="center"/>
            <w:hideMark/>
          </w:tcPr>
          <w:p w:rsidR="009828F2" w:rsidRPr="00A97917" w:rsidRDefault="009828F2" w:rsidP="009828F2">
            <w:pPr>
              <w:spacing w:after="0"/>
              <w:ind w:firstLine="0"/>
              <w:jc w:val="center"/>
              <w:rPr>
                <w:color w:val="000000" w:themeColor="text1"/>
                <w:sz w:val="20"/>
              </w:rPr>
            </w:pPr>
            <w:r w:rsidRPr="00A97917">
              <w:rPr>
                <w:color w:val="000000" w:themeColor="text1"/>
                <w:sz w:val="20"/>
              </w:rPr>
              <w:t>-0,02</w:t>
            </w:r>
          </w:p>
        </w:tc>
      </w:tr>
      <w:tr w:rsidR="002340D8" w:rsidRPr="00BF5371" w:rsidTr="002340D8">
        <w:trPr>
          <w:trHeight w:val="255"/>
        </w:trPr>
        <w:tc>
          <w:tcPr>
            <w:tcW w:w="10494" w:type="dxa"/>
            <w:gridSpan w:val="4"/>
            <w:vAlign w:val="center"/>
          </w:tcPr>
          <w:p w:rsidR="002340D8" w:rsidRPr="00485B01" w:rsidRDefault="002340D8" w:rsidP="002340D8">
            <w:pPr>
              <w:spacing w:after="0"/>
              <w:ind w:firstLine="0"/>
              <w:jc w:val="right"/>
              <w:rPr>
                <w:b/>
                <w:bCs/>
                <w:color w:val="000000" w:themeColor="text1"/>
                <w:sz w:val="20"/>
                <w:lang w:eastAsia="lv-LV"/>
              </w:rPr>
            </w:pPr>
            <w:r w:rsidRPr="00485B01">
              <w:rPr>
                <w:b/>
                <w:bCs/>
                <w:color w:val="000000" w:themeColor="text1"/>
                <w:sz w:val="20"/>
                <w:lang w:eastAsia="lv-LV"/>
              </w:rPr>
              <w:t>Kopā</w:t>
            </w:r>
          </w:p>
        </w:tc>
        <w:tc>
          <w:tcPr>
            <w:tcW w:w="1276" w:type="dxa"/>
            <w:shd w:val="clear" w:color="auto" w:fill="auto"/>
            <w:vAlign w:val="bottom"/>
            <w:hideMark/>
          </w:tcPr>
          <w:p w:rsidR="002340D8" w:rsidRPr="000569D5" w:rsidRDefault="002340D8" w:rsidP="009828F2">
            <w:pPr>
              <w:spacing w:after="0"/>
              <w:ind w:firstLine="0"/>
              <w:jc w:val="center"/>
              <w:rPr>
                <w:b/>
                <w:bCs/>
                <w:color w:val="000000" w:themeColor="text1"/>
                <w:sz w:val="20"/>
                <w:highlight w:val="yellow"/>
                <w:lang w:eastAsia="lv-LV"/>
              </w:rPr>
            </w:pPr>
            <w:r w:rsidRPr="000569D5">
              <w:rPr>
                <w:b/>
                <w:bCs/>
                <w:color w:val="000000" w:themeColor="text1"/>
                <w:sz w:val="20"/>
              </w:rPr>
              <w:t>1,01</w:t>
            </w:r>
          </w:p>
        </w:tc>
        <w:tc>
          <w:tcPr>
            <w:tcW w:w="1275" w:type="dxa"/>
            <w:shd w:val="clear" w:color="auto" w:fill="auto"/>
            <w:vAlign w:val="bottom"/>
            <w:hideMark/>
          </w:tcPr>
          <w:p w:rsidR="002340D8" w:rsidRPr="00A97917" w:rsidRDefault="002340D8" w:rsidP="009828F2">
            <w:pPr>
              <w:spacing w:after="0"/>
              <w:ind w:firstLine="0"/>
              <w:jc w:val="center"/>
              <w:rPr>
                <w:b/>
                <w:bCs/>
                <w:color w:val="000000" w:themeColor="text1"/>
                <w:sz w:val="20"/>
                <w:highlight w:val="yellow"/>
                <w:lang w:eastAsia="lv-LV"/>
              </w:rPr>
            </w:pPr>
            <w:r w:rsidRPr="00A97917">
              <w:rPr>
                <w:b/>
                <w:bCs/>
                <w:color w:val="000000" w:themeColor="text1"/>
                <w:sz w:val="20"/>
              </w:rPr>
              <w:t>0,09</w:t>
            </w:r>
          </w:p>
        </w:tc>
        <w:tc>
          <w:tcPr>
            <w:tcW w:w="1548" w:type="dxa"/>
            <w:shd w:val="clear" w:color="auto" w:fill="auto"/>
            <w:vAlign w:val="bottom"/>
            <w:hideMark/>
          </w:tcPr>
          <w:p w:rsidR="002340D8" w:rsidRPr="00A97917" w:rsidRDefault="002340D8" w:rsidP="009828F2">
            <w:pPr>
              <w:spacing w:after="0"/>
              <w:ind w:firstLine="0"/>
              <w:jc w:val="center"/>
              <w:rPr>
                <w:b/>
                <w:bCs/>
                <w:color w:val="000000" w:themeColor="text1"/>
                <w:sz w:val="20"/>
                <w:highlight w:val="yellow"/>
                <w:lang w:eastAsia="lv-LV"/>
              </w:rPr>
            </w:pPr>
            <w:r w:rsidRPr="00A97917">
              <w:rPr>
                <w:b/>
                <w:bCs/>
                <w:color w:val="000000" w:themeColor="text1"/>
                <w:sz w:val="20"/>
              </w:rPr>
              <w:t>-0,04</w:t>
            </w:r>
          </w:p>
        </w:tc>
      </w:tr>
    </w:tbl>
    <w:p w:rsidR="00661B88" w:rsidRPr="00661B88" w:rsidRDefault="00661B88" w:rsidP="00661B88">
      <w:pPr>
        <w:rPr>
          <w:highlight w:val="yellow"/>
          <w:lang w:eastAsia="x-none"/>
        </w:rPr>
      </w:pPr>
    </w:p>
    <w:p w:rsidR="00382BC7" w:rsidRPr="000A2CE8" w:rsidRDefault="00F900B2" w:rsidP="00382BC7">
      <w:pPr>
        <w:pStyle w:val="Heading1"/>
        <w:tabs>
          <w:tab w:val="left" w:pos="1276"/>
        </w:tabs>
        <w:spacing w:before="0" w:after="240"/>
        <w:ind w:left="1276" w:hanging="1276"/>
        <w:jc w:val="left"/>
        <w:rPr>
          <w:rFonts w:ascii="Times New Roman" w:hAnsi="Times New Roman"/>
          <w:color w:val="18185F"/>
          <w:sz w:val="24"/>
          <w:lang w:val="lv-LV"/>
        </w:rPr>
      </w:pPr>
      <w:bookmarkStart w:id="35" w:name="_Toc53388940"/>
      <w:r w:rsidRPr="000A2CE8">
        <w:rPr>
          <w:rFonts w:ascii="Times New Roman" w:hAnsi="Times New Roman"/>
          <w:color w:val="18185F"/>
          <w:sz w:val="24"/>
          <w:lang w:val="lv-LV"/>
        </w:rPr>
        <w:lastRenderedPageBreak/>
        <w:t>Tabula</w:t>
      </w:r>
      <w:r w:rsidRPr="000A2CE8">
        <w:rPr>
          <w:rFonts w:ascii="Times New Roman" w:hAnsi="Times New Roman"/>
          <w:color w:val="18185F"/>
          <w:sz w:val="24"/>
        </w:rPr>
        <w:t xml:space="preserve"> </w:t>
      </w:r>
      <w:r w:rsidR="00382BC7" w:rsidRPr="000A2CE8">
        <w:rPr>
          <w:rFonts w:ascii="Times New Roman" w:hAnsi="Times New Roman"/>
          <w:color w:val="18185F"/>
          <w:sz w:val="24"/>
        </w:rPr>
        <w:t xml:space="preserve">5.c: </w:t>
      </w:r>
      <w:proofErr w:type="spellStart"/>
      <w:r w:rsidR="00382BC7" w:rsidRPr="000A2CE8">
        <w:rPr>
          <w:rFonts w:ascii="Times New Roman" w:hAnsi="Times New Roman"/>
          <w:color w:val="18185F"/>
          <w:sz w:val="24"/>
        </w:rPr>
        <w:t>Diskrecionārie</w:t>
      </w:r>
      <w:proofErr w:type="spellEnd"/>
      <w:r w:rsidR="00382BC7" w:rsidRPr="000A2CE8">
        <w:rPr>
          <w:rFonts w:ascii="Times New Roman" w:hAnsi="Times New Roman"/>
          <w:color w:val="18185F"/>
          <w:sz w:val="24"/>
          <w:lang w:val="lv-LV"/>
        </w:rPr>
        <w:t xml:space="preserve"> ieņēmumu</w:t>
      </w:r>
      <w:r w:rsidR="00382BC7" w:rsidRPr="000A2CE8">
        <w:rPr>
          <w:rFonts w:ascii="Times New Roman" w:hAnsi="Times New Roman"/>
          <w:color w:val="18185F"/>
          <w:sz w:val="24"/>
        </w:rPr>
        <w:t xml:space="preserve"> pasākumi </w:t>
      </w:r>
      <w:r w:rsidR="00382BC7" w:rsidRPr="000A2CE8">
        <w:rPr>
          <w:rFonts w:ascii="Times New Roman" w:hAnsi="Times New Roman"/>
          <w:color w:val="18185F"/>
          <w:sz w:val="24"/>
          <w:lang w:val="lv-LV"/>
        </w:rPr>
        <w:t>vietējās valdības budžetā</w:t>
      </w:r>
      <w:bookmarkEnd w:id="34"/>
      <w:bookmarkEnd w:id="35"/>
    </w:p>
    <w:tbl>
      <w:tblPr>
        <w:tblW w:w="1498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936"/>
        <w:gridCol w:w="3969"/>
        <w:gridCol w:w="1275"/>
        <w:gridCol w:w="709"/>
        <w:gridCol w:w="1134"/>
        <w:gridCol w:w="1418"/>
        <w:gridCol w:w="850"/>
        <w:gridCol w:w="851"/>
        <w:gridCol w:w="839"/>
      </w:tblGrid>
      <w:tr w:rsidR="00A97917" w:rsidRPr="00A97917" w:rsidTr="00481423">
        <w:trPr>
          <w:trHeight w:val="227"/>
        </w:trPr>
        <w:tc>
          <w:tcPr>
            <w:tcW w:w="3936"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Pasākumu saraksts</w:t>
            </w:r>
          </w:p>
        </w:tc>
        <w:tc>
          <w:tcPr>
            <w:tcW w:w="3969"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Detalizēts apraksts*</w:t>
            </w:r>
          </w:p>
        </w:tc>
        <w:tc>
          <w:tcPr>
            <w:tcW w:w="1275"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Nodokļu veids</w:t>
            </w:r>
          </w:p>
        </w:tc>
        <w:tc>
          <w:tcPr>
            <w:tcW w:w="709"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ESA kods</w:t>
            </w:r>
          </w:p>
        </w:tc>
        <w:tc>
          <w:tcPr>
            <w:tcW w:w="1134"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Uzskaites princips</w:t>
            </w:r>
          </w:p>
        </w:tc>
        <w:tc>
          <w:tcPr>
            <w:tcW w:w="1418" w:type="dxa"/>
            <w:vMerge w:val="restart"/>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Pieņemšanas statuss</w:t>
            </w:r>
          </w:p>
        </w:tc>
        <w:tc>
          <w:tcPr>
            <w:tcW w:w="2540" w:type="dxa"/>
            <w:gridSpan w:val="3"/>
            <w:shd w:val="clear" w:color="auto" w:fill="DBE5F1" w:themeFill="accent1" w:themeFillTint="33"/>
            <w:noWrap/>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Ietekme uz budžetu</w:t>
            </w:r>
          </w:p>
        </w:tc>
      </w:tr>
      <w:tr w:rsidR="00A97917" w:rsidRPr="00A97917" w:rsidTr="00481423">
        <w:trPr>
          <w:trHeight w:val="227"/>
        </w:trPr>
        <w:tc>
          <w:tcPr>
            <w:tcW w:w="3936" w:type="dxa"/>
            <w:vMerge/>
            <w:vAlign w:val="center"/>
            <w:hideMark/>
          </w:tcPr>
          <w:p w:rsidR="00C551D0" w:rsidRPr="00A97917" w:rsidRDefault="00C551D0" w:rsidP="00517CBD">
            <w:pPr>
              <w:spacing w:after="0"/>
              <w:ind w:firstLine="0"/>
              <w:jc w:val="left"/>
              <w:rPr>
                <w:b/>
                <w:bCs/>
                <w:color w:val="000000" w:themeColor="text1"/>
                <w:sz w:val="20"/>
                <w:lang w:eastAsia="lv-LV"/>
              </w:rPr>
            </w:pPr>
          </w:p>
        </w:tc>
        <w:tc>
          <w:tcPr>
            <w:tcW w:w="3969" w:type="dxa"/>
            <w:vMerge/>
            <w:vAlign w:val="center"/>
            <w:hideMark/>
          </w:tcPr>
          <w:p w:rsidR="00C551D0" w:rsidRPr="00A97917" w:rsidRDefault="00C551D0" w:rsidP="00517CBD">
            <w:pPr>
              <w:spacing w:after="0"/>
              <w:ind w:firstLine="0"/>
              <w:jc w:val="left"/>
              <w:rPr>
                <w:b/>
                <w:bCs/>
                <w:color w:val="000000" w:themeColor="text1"/>
                <w:sz w:val="20"/>
                <w:lang w:eastAsia="lv-LV"/>
              </w:rPr>
            </w:pPr>
          </w:p>
        </w:tc>
        <w:tc>
          <w:tcPr>
            <w:tcW w:w="1275" w:type="dxa"/>
            <w:vMerge/>
            <w:vAlign w:val="center"/>
            <w:hideMark/>
          </w:tcPr>
          <w:p w:rsidR="00C551D0" w:rsidRPr="00A97917" w:rsidRDefault="00C551D0" w:rsidP="00517CBD">
            <w:pPr>
              <w:spacing w:after="0"/>
              <w:ind w:firstLine="0"/>
              <w:jc w:val="center"/>
              <w:rPr>
                <w:b/>
                <w:bCs/>
                <w:color w:val="000000" w:themeColor="text1"/>
                <w:sz w:val="20"/>
                <w:lang w:eastAsia="lv-LV"/>
              </w:rPr>
            </w:pPr>
          </w:p>
        </w:tc>
        <w:tc>
          <w:tcPr>
            <w:tcW w:w="709" w:type="dxa"/>
            <w:vMerge/>
            <w:vAlign w:val="center"/>
            <w:hideMark/>
          </w:tcPr>
          <w:p w:rsidR="00C551D0" w:rsidRPr="00A97917" w:rsidRDefault="00C551D0" w:rsidP="00517CBD">
            <w:pPr>
              <w:spacing w:after="0"/>
              <w:ind w:firstLine="0"/>
              <w:jc w:val="left"/>
              <w:rPr>
                <w:b/>
                <w:bCs/>
                <w:color w:val="000000" w:themeColor="text1"/>
                <w:sz w:val="20"/>
                <w:lang w:eastAsia="lv-LV"/>
              </w:rPr>
            </w:pPr>
          </w:p>
        </w:tc>
        <w:tc>
          <w:tcPr>
            <w:tcW w:w="1134" w:type="dxa"/>
            <w:vMerge/>
            <w:vAlign w:val="center"/>
            <w:hideMark/>
          </w:tcPr>
          <w:p w:rsidR="00C551D0" w:rsidRPr="00A97917" w:rsidRDefault="00C551D0" w:rsidP="00517CBD">
            <w:pPr>
              <w:spacing w:after="0"/>
              <w:ind w:firstLine="0"/>
              <w:jc w:val="left"/>
              <w:rPr>
                <w:b/>
                <w:bCs/>
                <w:color w:val="000000" w:themeColor="text1"/>
                <w:sz w:val="20"/>
                <w:lang w:eastAsia="lv-LV"/>
              </w:rPr>
            </w:pPr>
          </w:p>
        </w:tc>
        <w:tc>
          <w:tcPr>
            <w:tcW w:w="1418" w:type="dxa"/>
            <w:vMerge/>
            <w:vAlign w:val="center"/>
            <w:hideMark/>
          </w:tcPr>
          <w:p w:rsidR="00C551D0" w:rsidRPr="00A97917" w:rsidRDefault="00C551D0" w:rsidP="00517CBD">
            <w:pPr>
              <w:spacing w:after="0"/>
              <w:ind w:firstLine="0"/>
              <w:jc w:val="left"/>
              <w:rPr>
                <w:b/>
                <w:bCs/>
                <w:color w:val="000000" w:themeColor="text1"/>
                <w:sz w:val="20"/>
                <w:lang w:eastAsia="lv-LV"/>
              </w:rPr>
            </w:pPr>
          </w:p>
        </w:tc>
        <w:tc>
          <w:tcPr>
            <w:tcW w:w="850" w:type="dxa"/>
            <w:shd w:val="clear" w:color="auto" w:fill="auto"/>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rPr>
              <w:t>2021</w:t>
            </w:r>
          </w:p>
        </w:tc>
        <w:tc>
          <w:tcPr>
            <w:tcW w:w="851" w:type="dxa"/>
            <w:shd w:val="clear" w:color="auto" w:fill="auto"/>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rPr>
              <w:t>2022</w:t>
            </w:r>
          </w:p>
        </w:tc>
        <w:tc>
          <w:tcPr>
            <w:tcW w:w="839" w:type="dxa"/>
            <w:shd w:val="clear" w:color="auto" w:fill="auto"/>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rPr>
              <w:t>2023</w:t>
            </w:r>
          </w:p>
        </w:tc>
      </w:tr>
      <w:tr w:rsidR="00A97917" w:rsidRPr="00A97917" w:rsidTr="00481423">
        <w:trPr>
          <w:trHeight w:val="227"/>
        </w:trPr>
        <w:tc>
          <w:tcPr>
            <w:tcW w:w="3936" w:type="dxa"/>
            <w:vMerge/>
            <w:vAlign w:val="center"/>
            <w:hideMark/>
          </w:tcPr>
          <w:p w:rsidR="00C551D0" w:rsidRPr="00A97917" w:rsidRDefault="00C551D0" w:rsidP="00517CBD">
            <w:pPr>
              <w:spacing w:after="0"/>
              <w:ind w:firstLine="0"/>
              <w:jc w:val="left"/>
              <w:rPr>
                <w:b/>
                <w:bCs/>
                <w:color w:val="000000" w:themeColor="text1"/>
                <w:sz w:val="20"/>
                <w:highlight w:val="yellow"/>
                <w:lang w:eastAsia="lv-LV"/>
              </w:rPr>
            </w:pPr>
          </w:p>
        </w:tc>
        <w:tc>
          <w:tcPr>
            <w:tcW w:w="3969" w:type="dxa"/>
            <w:vMerge/>
            <w:vAlign w:val="center"/>
            <w:hideMark/>
          </w:tcPr>
          <w:p w:rsidR="00C551D0" w:rsidRPr="00A97917" w:rsidRDefault="00C551D0" w:rsidP="00517CBD">
            <w:pPr>
              <w:spacing w:after="0"/>
              <w:ind w:firstLine="0"/>
              <w:jc w:val="left"/>
              <w:rPr>
                <w:b/>
                <w:bCs/>
                <w:color w:val="000000" w:themeColor="text1"/>
                <w:sz w:val="20"/>
                <w:highlight w:val="yellow"/>
                <w:lang w:eastAsia="lv-LV"/>
              </w:rPr>
            </w:pPr>
          </w:p>
        </w:tc>
        <w:tc>
          <w:tcPr>
            <w:tcW w:w="1275" w:type="dxa"/>
            <w:vMerge/>
            <w:vAlign w:val="center"/>
            <w:hideMark/>
          </w:tcPr>
          <w:p w:rsidR="00C551D0" w:rsidRPr="00A97917" w:rsidRDefault="00C551D0" w:rsidP="00517CBD">
            <w:pPr>
              <w:spacing w:after="0"/>
              <w:ind w:firstLine="0"/>
              <w:jc w:val="center"/>
              <w:rPr>
                <w:b/>
                <w:bCs/>
                <w:color w:val="000000" w:themeColor="text1"/>
                <w:sz w:val="20"/>
                <w:highlight w:val="yellow"/>
                <w:lang w:eastAsia="lv-LV"/>
              </w:rPr>
            </w:pPr>
          </w:p>
        </w:tc>
        <w:tc>
          <w:tcPr>
            <w:tcW w:w="709" w:type="dxa"/>
            <w:vMerge/>
            <w:vAlign w:val="center"/>
            <w:hideMark/>
          </w:tcPr>
          <w:p w:rsidR="00C551D0" w:rsidRPr="00A97917" w:rsidRDefault="00C551D0" w:rsidP="00517CBD">
            <w:pPr>
              <w:spacing w:after="0"/>
              <w:ind w:firstLine="0"/>
              <w:jc w:val="left"/>
              <w:rPr>
                <w:b/>
                <w:bCs/>
                <w:color w:val="000000" w:themeColor="text1"/>
                <w:sz w:val="20"/>
                <w:highlight w:val="yellow"/>
                <w:lang w:eastAsia="lv-LV"/>
              </w:rPr>
            </w:pPr>
          </w:p>
        </w:tc>
        <w:tc>
          <w:tcPr>
            <w:tcW w:w="1134" w:type="dxa"/>
            <w:vMerge/>
            <w:vAlign w:val="center"/>
            <w:hideMark/>
          </w:tcPr>
          <w:p w:rsidR="00C551D0" w:rsidRPr="00A97917" w:rsidRDefault="00C551D0" w:rsidP="00517CBD">
            <w:pPr>
              <w:spacing w:after="0"/>
              <w:ind w:firstLine="0"/>
              <w:jc w:val="left"/>
              <w:rPr>
                <w:b/>
                <w:bCs/>
                <w:color w:val="000000" w:themeColor="text1"/>
                <w:sz w:val="20"/>
                <w:highlight w:val="yellow"/>
                <w:lang w:eastAsia="lv-LV"/>
              </w:rPr>
            </w:pPr>
          </w:p>
        </w:tc>
        <w:tc>
          <w:tcPr>
            <w:tcW w:w="1418" w:type="dxa"/>
            <w:vMerge/>
            <w:vAlign w:val="center"/>
            <w:hideMark/>
          </w:tcPr>
          <w:p w:rsidR="00C551D0" w:rsidRPr="00A97917" w:rsidRDefault="00C551D0" w:rsidP="00517CBD">
            <w:pPr>
              <w:spacing w:after="0"/>
              <w:ind w:firstLine="0"/>
              <w:jc w:val="left"/>
              <w:rPr>
                <w:b/>
                <w:bCs/>
                <w:color w:val="000000" w:themeColor="text1"/>
                <w:sz w:val="20"/>
                <w:highlight w:val="yellow"/>
                <w:lang w:eastAsia="lv-LV"/>
              </w:rPr>
            </w:pPr>
          </w:p>
        </w:tc>
        <w:tc>
          <w:tcPr>
            <w:tcW w:w="2540" w:type="dxa"/>
            <w:gridSpan w:val="3"/>
            <w:shd w:val="clear" w:color="auto" w:fill="DBE5F1" w:themeFill="accent1" w:themeFillTint="33"/>
            <w:vAlign w:val="center"/>
            <w:hideMark/>
          </w:tcPr>
          <w:p w:rsidR="00C551D0" w:rsidRPr="00A97917" w:rsidRDefault="00C551D0" w:rsidP="00517CBD">
            <w:pPr>
              <w:spacing w:after="0"/>
              <w:ind w:firstLine="0"/>
              <w:jc w:val="center"/>
              <w:rPr>
                <w:b/>
                <w:bCs/>
                <w:color w:val="000000" w:themeColor="text1"/>
                <w:sz w:val="20"/>
                <w:lang w:eastAsia="lv-LV"/>
              </w:rPr>
            </w:pPr>
            <w:r w:rsidRPr="00A97917">
              <w:rPr>
                <w:b/>
                <w:bCs/>
                <w:color w:val="000000" w:themeColor="text1"/>
                <w:sz w:val="20"/>
                <w:lang w:eastAsia="lv-LV"/>
              </w:rPr>
              <w:t>% IKP</w:t>
            </w:r>
          </w:p>
        </w:tc>
      </w:tr>
      <w:tr w:rsidR="00A97917" w:rsidRPr="00A97917" w:rsidTr="00481423">
        <w:trPr>
          <w:trHeight w:val="227"/>
        </w:trPr>
        <w:tc>
          <w:tcPr>
            <w:tcW w:w="3936" w:type="dxa"/>
            <w:shd w:val="clear" w:color="auto" w:fill="FFFFFF" w:themeFill="background1"/>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VSAOI likmes samazināšana par 1 procentpunktu (no 35.09% uz 34.09%)</w:t>
            </w:r>
          </w:p>
        </w:tc>
        <w:tc>
          <w:tcPr>
            <w:tcW w:w="3969" w:type="dxa"/>
            <w:shd w:val="clear" w:color="auto" w:fill="FFFFFF" w:themeFill="background1"/>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VSAOI likmes samazināšana par 1 procentpunktu (no 35.09% uz 34.09%)</w:t>
            </w:r>
          </w:p>
        </w:tc>
        <w:tc>
          <w:tcPr>
            <w:tcW w:w="1275" w:type="dxa"/>
            <w:shd w:val="clear" w:color="auto" w:fill="FFFFFF" w:themeFill="background1"/>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IIN</w:t>
            </w:r>
          </w:p>
        </w:tc>
        <w:tc>
          <w:tcPr>
            <w:tcW w:w="709" w:type="dxa"/>
            <w:shd w:val="clear" w:color="auto" w:fill="FFFFFF" w:themeFill="background1"/>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D.5</w:t>
            </w:r>
          </w:p>
        </w:tc>
        <w:tc>
          <w:tcPr>
            <w:tcW w:w="1134" w:type="dxa"/>
            <w:shd w:val="clear" w:color="auto" w:fill="FFFFFF" w:themeFill="background1"/>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Uzkrājuma</w:t>
            </w:r>
          </w:p>
        </w:tc>
        <w:tc>
          <w:tcPr>
            <w:tcW w:w="1418" w:type="dxa"/>
            <w:shd w:val="clear" w:color="auto" w:fill="FFFFFF" w:themeFill="background1"/>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Daļēji pieņemts</w:t>
            </w:r>
          </w:p>
        </w:tc>
        <w:tc>
          <w:tcPr>
            <w:tcW w:w="850" w:type="dxa"/>
            <w:shd w:val="clear" w:color="auto" w:fill="FFFFFF" w:themeFill="background1"/>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0,02</w:t>
            </w:r>
          </w:p>
        </w:tc>
        <w:tc>
          <w:tcPr>
            <w:tcW w:w="851" w:type="dxa"/>
            <w:shd w:val="clear" w:color="auto" w:fill="FFFFFF" w:themeFill="background1"/>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c>
          <w:tcPr>
            <w:tcW w:w="839" w:type="dxa"/>
            <w:shd w:val="clear" w:color="auto" w:fill="FFFFFF" w:themeFill="background1"/>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r>
      <w:tr w:rsidR="00A97917" w:rsidRPr="00A97917" w:rsidTr="00481423">
        <w:trPr>
          <w:trHeight w:val="227"/>
        </w:trPr>
        <w:tc>
          <w:tcPr>
            <w:tcW w:w="3936" w:type="dxa"/>
            <w:shd w:val="clear" w:color="auto" w:fill="DBE5F1" w:themeFill="accent1" w:themeFillTint="33"/>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DNM sliekšņa līdz kuram piemēro DNM paaugstināšana līdz 1</w:t>
            </w:r>
            <w:r w:rsidR="00931942" w:rsidRPr="00A97917">
              <w:rPr>
                <w:color w:val="000000" w:themeColor="text1"/>
                <w:sz w:val="20"/>
                <w:lang w:eastAsia="lv-LV"/>
              </w:rPr>
              <w:t> </w:t>
            </w:r>
            <w:r w:rsidRPr="00A97917">
              <w:rPr>
                <w:color w:val="000000" w:themeColor="text1"/>
                <w:sz w:val="20"/>
              </w:rPr>
              <w:t xml:space="preserve">800 </w:t>
            </w:r>
            <w:proofErr w:type="spellStart"/>
            <w:r w:rsidRPr="00A97917">
              <w:rPr>
                <w:i/>
                <w:iCs/>
                <w:color w:val="000000" w:themeColor="text1"/>
                <w:sz w:val="20"/>
              </w:rPr>
              <w:t>euro</w:t>
            </w:r>
            <w:proofErr w:type="spellEnd"/>
            <w:r w:rsidRPr="00A97917">
              <w:rPr>
                <w:i/>
                <w:iCs/>
                <w:color w:val="000000" w:themeColor="text1"/>
                <w:sz w:val="20"/>
              </w:rPr>
              <w:t xml:space="preserve"> mēnesī</w:t>
            </w:r>
            <w:r w:rsidRPr="00A97917">
              <w:rPr>
                <w:color w:val="000000" w:themeColor="text1"/>
                <w:sz w:val="20"/>
              </w:rPr>
              <w:t xml:space="preserve">  </w:t>
            </w:r>
          </w:p>
        </w:tc>
        <w:tc>
          <w:tcPr>
            <w:tcW w:w="3969" w:type="dxa"/>
            <w:shd w:val="clear" w:color="auto" w:fill="DBE5F1" w:themeFill="accent1" w:themeFillTint="33"/>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DNM sliekšņa līdz kuram piemēro DNM paaugstināšana līdz 1</w:t>
            </w:r>
            <w:r w:rsidR="00931942" w:rsidRPr="00A97917">
              <w:rPr>
                <w:color w:val="000000" w:themeColor="text1"/>
                <w:sz w:val="20"/>
                <w:lang w:eastAsia="lv-LV"/>
              </w:rPr>
              <w:t> </w:t>
            </w:r>
            <w:r w:rsidRPr="00A97917">
              <w:rPr>
                <w:color w:val="000000" w:themeColor="text1"/>
                <w:sz w:val="20"/>
              </w:rPr>
              <w:t xml:space="preserve">800 </w:t>
            </w:r>
            <w:proofErr w:type="spellStart"/>
            <w:r w:rsidRPr="00A97917">
              <w:rPr>
                <w:i/>
                <w:iCs/>
                <w:color w:val="000000" w:themeColor="text1"/>
                <w:sz w:val="20"/>
              </w:rPr>
              <w:t>euro</w:t>
            </w:r>
            <w:proofErr w:type="spellEnd"/>
            <w:r w:rsidRPr="00A97917">
              <w:rPr>
                <w:i/>
                <w:iCs/>
                <w:color w:val="000000" w:themeColor="text1"/>
                <w:sz w:val="20"/>
              </w:rPr>
              <w:t xml:space="preserve"> mēnesī</w:t>
            </w:r>
            <w:r w:rsidRPr="00A97917">
              <w:rPr>
                <w:color w:val="000000" w:themeColor="text1"/>
                <w:sz w:val="20"/>
              </w:rPr>
              <w:t xml:space="preserve">  </w:t>
            </w:r>
          </w:p>
        </w:tc>
        <w:tc>
          <w:tcPr>
            <w:tcW w:w="1275"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IIN</w:t>
            </w:r>
          </w:p>
        </w:tc>
        <w:tc>
          <w:tcPr>
            <w:tcW w:w="709"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D.5</w:t>
            </w:r>
          </w:p>
        </w:tc>
        <w:tc>
          <w:tcPr>
            <w:tcW w:w="1134"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Uzkrājuma</w:t>
            </w:r>
          </w:p>
        </w:tc>
        <w:tc>
          <w:tcPr>
            <w:tcW w:w="1418"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Daļēji pieņemts</w:t>
            </w:r>
          </w:p>
        </w:tc>
        <w:tc>
          <w:tcPr>
            <w:tcW w:w="850"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-0,10</w:t>
            </w:r>
          </w:p>
        </w:tc>
        <w:tc>
          <w:tcPr>
            <w:tcW w:w="851"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c>
          <w:tcPr>
            <w:tcW w:w="839"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r>
      <w:tr w:rsidR="00A97917" w:rsidRPr="00A97917" w:rsidTr="00F20B51">
        <w:trPr>
          <w:trHeight w:val="227"/>
        </w:trPr>
        <w:tc>
          <w:tcPr>
            <w:tcW w:w="3936" w:type="dxa"/>
            <w:shd w:val="clear" w:color="auto" w:fill="auto"/>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IIN pārdale uz 75%/25% (2020.gadā 80%/20%)</w:t>
            </w:r>
          </w:p>
        </w:tc>
        <w:tc>
          <w:tcPr>
            <w:tcW w:w="3969" w:type="dxa"/>
            <w:shd w:val="clear" w:color="auto" w:fill="auto"/>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IIN pārdale uz 75%/25% (2020.gadā 80%/20%)</w:t>
            </w:r>
          </w:p>
        </w:tc>
        <w:tc>
          <w:tcPr>
            <w:tcW w:w="1275" w:type="dxa"/>
            <w:shd w:val="clear" w:color="auto" w:fill="auto"/>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IIN</w:t>
            </w:r>
          </w:p>
        </w:tc>
        <w:tc>
          <w:tcPr>
            <w:tcW w:w="709" w:type="dxa"/>
            <w:shd w:val="clear" w:color="auto" w:fill="auto"/>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D.5</w:t>
            </w:r>
          </w:p>
        </w:tc>
        <w:tc>
          <w:tcPr>
            <w:tcW w:w="1134"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Uzkrājuma</w:t>
            </w:r>
          </w:p>
        </w:tc>
        <w:tc>
          <w:tcPr>
            <w:tcW w:w="1418"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Daļēji pieņemts</w:t>
            </w:r>
          </w:p>
        </w:tc>
        <w:tc>
          <w:tcPr>
            <w:tcW w:w="850"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-0,30</w:t>
            </w:r>
          </w:p>
        </w:tc>
        <w:tc>
          <w:tcPr>
            <w:tcW w:w="851"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c>
          <w:tcPr>
            <w:tcW w:w="839"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r>
      <w:tr w:rsidR="00A97917" w:rsidRPr="00A97917" w:rsidTr="00F20B51">
        <w:trPr>
          <w:trHeight w:val="227"/>
        </w:trPr>
        <w:tc>
          <w:tcPr>
            <w:tcW w:w="3936" w:type="dxa"/>
            <w:shd w:val="clear" w:color="auto" w:fill="DBE5F1" w:themeFill="accent1" w:themeFillTint="33"/>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 xml:space="preserve">Minimālā VSAOI apmēra ieviešana un alternatīvo nodokļu (tostarp </w:t>
            </w:r>
            <w:proofErr w:type="spellStart"/>
            <w:r w:rsidRPr="00A97917">
              <w:rPr>
                <w:color w:val="000000" w:themeColor="text1"/>
                <w:sz w:val="20"/>
              </w:rPr>
              <w:t>mikrouzņēmuma</w:t>
            </w:r>
            <w:proofErr w:type="spellEnd"/>
            <w:r w:rsidRPr="00A97917">
              <w:rPr>
                <w:color w:val="000000" w:themeColor="text1"/>
                <w:sz w:val="20"/>
              </w:rPr>
              <w:t>) režīmu reorganizēšana</w:t>
            </w:r>
          </w:p>
        </w:tc>
        <w:tc>
          <w:tcPr>
            <w:tcW w:w="3969" w:type="dxa"/>
            <w:shd w:val="clear" w:color="auto" w:fill="DBE5F1" w:themeFill="accent1" w:themeFillTint="33"/>
            <w:vAlign w:val="center"/>
          </w:tcPr>
          <w:p w:rsidR="00F20B51" w:rsidRPr="00A97917" w:rsidRDefault="00F20B51" w:rsidP="00F20B51">
            <w:pPr>
              <w:spacing w:after="0"/>
              <w:ind w:firstLine="0"/>
              <w:rPr>
                <w:color w:val="000000" w:themeColor="text1"/>
                <w:sz w:val="20"/>
                <w:lang w:eastAsia="lv-LV"/>
              </w:rPr>
            </w:pPr>
            <w:r w:rsidRPr="00A97917">
              <w:rPr>
                <w:color w:val="000000" w:themeColor="text1"/>
                <w:sz w:val="20"/>
              </w:rPr>
              <w:t xml:space="preserve">Minimālā VSAOI apmēra ieviešana un alternatīvo nodokļu (tostarp </w:t>
            </w:r>
            <w:proofErr w:type="spellStart"/>
            <w:r w:rsidRPr="00A97917">
              <w:rPr>
                <w:color w:val="000000" w:themeColor="text1"/>
                <w:sz w:val="20"/>
              </w:rPr>
              <w:t>mikrouzņēmuma</w:t>
            </w:r>
            <w:proofErr w:type="spellEnd"/>
            <w:r w:rsidRPr="00A97917">
              <w:rPr>
                <w:color w:val="000000" w:themeColor="text1"/>
                <w:sz w:val="20"/>
              </w:rPr>
              <w:t>) režīmu reorganizēšana</w:t>
            </w:r>
          </w:p>
        </w:tc>
        <w:tc>
          <w:tcPr>
            <w:tcW w:w="1275"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IIN</w:t>
            </w:r>
          </w:p>
        </w:tc>
        <w:tc>
          <w:tcPr>
            <w:tcW w:w="709"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lang w:eastAsia="lv-LV"/>
              </w:rPr>
            </w:pPr>
            <w:r w:rsidRPr="00A97917">
              <w:rPr>
                <w:color w:val="000000" w:themeColor="text1"/>
                <w:sz w:val="20"/>
              </w:rPr>
              <w:t>D.5</w:t>
            </w:r>
          </w:p>
        </w:tc>
        <w:tc>
          <w:tcPr>
            <w:tcW w:w="1134"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Uzkrājuma</w:t>
            </w:r>
          </w:p>
        </w:tc>
        <w:tc>
          <w:tcPr>
            <w:tcW w:w="1418"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Daļēji pieņemts</w:t>
            </w:r>
          </w:p>
        </w:tc>
        <w:tc>
          <w:tcPr>
            <w:tcW w:w="850"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0,04</w:t>
            </w:r>
          </w:p>
        </w:tc>
        <w:tc>
          <w:tcPr>
            <w:tcW w:w="851"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c>
          <w:tcPr>
            <w:tcW w:w="839" w:type="dxa"/>
            <w:shd w:val="clear" w:color="auto" w:fill="DBE5F1" w:themeFill="accent1" w:themeFillTint="33"/>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 xml:space="preserve"> </w:t>
            </w:r>
          </w:p>
        </w:tc>
      </w:tr>
      <w:tr w:rsidR="00A97917" w:rsidRPr="00A97917" w:rsidTr="00F20B51">
        <w:trPr>
          <w:trHeight w:val="227"/>
        </w:trPr>
        <w:tc>
          <w:tcPr>
            <w:tcW w:w="3936" w:type="dxa"/>
            <w:shd w:val="clear" w:color="auto" w:fill="auto"/>
            <w:vAlign w:val="center"/>
          </w:tcPr>
          <w:p w:rsidR="00F20B51" w:rsidRPr="00A97917" w:rsidRDefault="00C653A5" w:rsidP="00F20B51">
            <w:pPr>
              <w:spacing w:after="0"/>
              <w:ind w:firstLine="0"/>
              <w:rPr>
                <w:color w:val="000000" w:themeColor="text1"/>
                <w:sz w:val="20"/>
              </w:rPr>
            </w:pPr>
            <w:r w:rsidRPr="00A97917">
              <w:rPr>
                <w:color w:val="000000" w:themeColor="text1"/>
                <w:sz w:val="20"/>
                <w:lang w:eastAsia="lv-LV"/>
              </w:rPr>
              <w:t>Atgriezeniskais efekts no algu palielināšanas, saistībā ar MK lēmumiem palielināt atalgojumu veselības nozarē strādājošajiem un pedagogiem</w:t>
            </w:r>
            <w:r w:rsidR="00F20B51" w:rsidRPr="00A97917">
              <w:rPr>
                <w:color w:val="000000" w:themeColor="text1"/>
                <w:sz w:val="20"/>
              </w:rPr>
              <w:t xml:space="preserve"> </w:t>
            </w:r>
          </w:p>
        </w:tc>
        <w:tc>
          <w:tcPr>
            <w:tcW w:w="3969" w:type="dxa"/>
            <w:shd w:val="clear" w:color="auto" w:fill="auto"/>
            <w:vAlign w:val="center"/>
          </w:tcPr>
          <w:p w:rsidR="00F20B51" w:rsidRPr="00A97917" w:rsidRDefault="00C653A5" w:rsidP="00F20B51">
            <w:pPr>
              <w:spacing w:after="0"/>
              <w:ind w:firstLine="0"/>
              <w:rPr>
                <w:color w:val="000000" w:themeColor="text1"/>
                <w:sz w:val="20"/>
              </w:rPr>
            </w:pPr>
            <w:r w:rsidRPr="00A97917">
              <w:rPr>
                <w:color w:val="000000" w:themeColor="text1"/>
                <w:sz w:val="20"/>
                <w:lang w:eastAsia="lv-LV"/>
              </w:rPr>
              <w:t>Atgriezeniskais efekts no algu palielināšanas, saistībā ar MK lēmumiem palielināt atalgojumu veselības nozarē strādājošajiem un pedagogiem</w:t>
            </w:r>
          </w:p>
        </w:tc>
        <w:tc>
          <w:tcPr>
            <w:tcW w:w="1275"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IIN</w:t>
            </w:r>
          </w:p>
        </w:tc>
        <w:tc>
          <w:tcPr>
            <w:tcW w:w="709"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D.5</w:t>
            </w:r>
          </w:p>
        </w:tc>
        <w:tc>
          <w:tcPr>
            <w:tcW w:w="1134"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Naudas plūsmas</w:t>
            </w:r>
          </w:p>
        </w:tc>
        <w:tc>
          <w:tcPr>
            <w:tcW w:w="1418"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Daļēji pieņemts</w:t>
            </w:r>
          </w:p>
        </w:tc>
        <w:tc>
          <w:tcPr>
            <w:tcW w:w="850"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0,09</w:t>
            </w:r>
          </w:p>
        </w:tc>
        <w:tc>
          <w:tcPr>
            <w:tcW w:w="851"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0,01</w:t>
            </w:r>
          </w:p>
        </w:tc>
        <w:tc>
          <w:tcPr>
            <w:tcW w:w="839" w:type="dxa"/>
            <w:shd w:val="clear" w:color="auto" w:fill="auto"/>
            <w:vAlign w:val="center"/>
          </w:tcPr>
          <w:p w:rsidR="00F20B51" w:rsidRPr="00A97917" w:rsidRDefault="00F20B51" w:rsidP="00F20B51">
            <w:pPr>
              <w:spacing w:after="0"/>
              <w:ind w:firstLine="0"/>
              <w:jc w:val="center"/>
              <w:rPr>
                <w:color w:val="000000" w:themeColor="text1"/>
                <w:sz w:val="20"/>
              </w:rPr>
            </w:pPr>
            <w:r w:rsidRPr="00A97917">
              <w:rPr>
                <w:color w:val="000000" w:themeColor="text1"/>
                <w:sz w:val="20"/>
              </w:rPr>
              <w:t>0,01</w:t>
            </w:r>
          </w:p>
        </w:tc>
      </w:tr>
      <w:tr w:rsidR="00A97917" w:rsidRPr="00A97917" w:rsidTr="00085297">
        <w:trPr>
          <w:trHeight w:val="227"/>
        </w:trPr>
        <w:tc>
          <w:tcPr>
            <w:tcW w:w="12441" w:type="dxa"/>
            <w:gridSpan w:val="6"/>
            <w:shd w:val="clear" w:color="auto" w:fill="auto"/>
            <w:vAlign w:val="center"/>
          </w:tcPr>
          <w:p w:rsidR="00C551D0" w:rsidRPr="00A97917" w:rsidRDefault="00C551D0" w:rsidP="00517CBD">
            <w:pPr>
              <w:spacing w:after="0"/>
              <w:ind w:firstLine="0"/>
              <w:jc w:val="right"/>
              <w:rPr>
                <w:b/>
                <w:color w:val="000000" w:themeColor="text1"/>
                <w:sz w:val="20"/>
              </w:rPr>
            </w:pPr>
            <w:r w:rsidRPr="00A97917">
              <w:rPr>
                <w:b/>
                <w:color w:val="000000" w:themeColor="text1"/>
                <w:sz w:val="20"/>
              </w:rPr>
              <w:t>Kopā:</w:t>
            </w:r>
          </w:p>
        </w:tc>
        <w:tc>
          <w:tcPr>
            <w:tcW w:w="850" w:type="dxa"/>
            <w:shd w:val="clear" w:color="auto" w:fill="auto"/>
            <w:vAlign w:val="center"/>
          </w:tcPr>
          <w:p w:rsidR="00C551D0" w:rsidRPr="00A97917" w:rsidRDefault="00C551D0" w:rsidP="00F20B51">
            <w:pPr>
              <w:spacing w:after="0"/>
              <w:ind w:firstLine="0"/>
              <w:jc w:val="center"/>
              <w:rPr>
                <w:color w:val="000000" w:themeColor="text1"/>
                <w:sz w:val="20"/>
              </w:rPr>
            </w:pPr>
            <w:r w:rsidRPr="00A97917">
              <w:rPr>
                <w:b/>
                <w:bCs/>
                <w:color w:val="000000" w:themeColor="text1"/>
                <w:sz w:val="20"/>
              </w:rPr>
              <w:t>-0,</w:t>
            </w:r>
            <w:r w:rsidR="00E739E1" w:rsidRPr="00A97917">
              <w:rPr>
                <w:b/>
                <w:bCs/>
                <w:color w:val="000000" w:themeColor="text1"/>
                <w:sz w:val="20"/>
              </w:rPr>
              <w:t>2</w:t>
            </w:r>
            <w:r w:rsidR="00F20B51" w:rsidRPr="00A97917">
              <w:rPr>
                <w:b/>
                <w:bCs/>
                <w:color w:val="000000" w:themeColor="text1"/>
                <w:sz w:val="20"/>
              </w:rPr>
              <w:t>6</w:t>
            </w:r>
          </w:p>
        </w:tc>
        <w:tc>
          <w:tcPr>
            <w:tcW w:w="851" w:type="dxa"/>
            <w:shd w:val="clear" w:color="auto" w:fill="auto"/>
            <w:vAlign w:val="center"/>
          </w:tcPr>
          <w:p w:rsidR="00C551D0" w:rsidRPr="00A97917" w:rsidRDefault="00C551D0" w:rsidP="00E739E1">
            <w:pPr>
              <w:spacing w:after="0"/>
              <w:ind w:firstLine="0"/>
              <w:jc w:val="center"/>
              <w:rPr>
                <w:color w:val="000000" w:themeColor="text1"/>
                <w:sz w:val="20"/>
              </w:rPr>
            </w:pPr>
            <w:r w:rsidRPr="00A97917">
              <w:rPr>
                <w:b/>
                <w:bCs/>
                <w:color w:val="000000" w:themeColor="text1"/>
                <w:sz w:val="20"/>
              </w:rPr>
              <w:t>0,0</w:t>
            </w:r>
            <w:r w:rsidR="00E739E1" w:rsidRPr="00A97917">
              <w:rPr>
                <w:b/>
                <w:bCs/>
                <w:color w:val="000000" w:themeColor="text1"/>
                <w:sz w:val="20"/>
              </w:rPr>
              <w:t>1</w:t>
            </w:r>
          </w:p>
        </w:tc>
        <w:tc>
          <w:tcPr>
            <w:tcW w:w="839" w:type="dxa"/>
            <w:shd w:val="clear" w:color="auto" w:fill="auto"/>
            <w:vAlign w:val="center"/>
          </w:tcPr>
          <w:p w:rsidR="00C551D0" w:rsidRPr="00A97917" w:rsidRDefault="00C551D0" w:rsidP="00E739E1">
            <w:pPr>
              <w:spacing w:after="0"/>
              <w:ind w:firstLine="0"/>
              <w:jc w:val="center"/>
              <w:rPr>
                <w:color w:val="000000" w:themeColor="text1"/>
                <w:sz w:val="20"/>
              </w:rPr>
            </w:pPr>
            <w:r w:rsidRPr="00A97917">
              <w:rPr>
                <w:b/>
                <w:bCs/>
                <w:color w:val="000000" w:themeColor="text1"/>
                <w:sz w:val="20"/>
              </w:rPr>
              <w:t>0,0</w:t>
            </w:r>
            <w:r w:rsidR="00E739E1" w:rsidRPr="00A97917">
              <w:rPr>
                <w:b/>
                <w:bCs/>
                <w:color w:val="000000" w:themeColor="text1"/>
                <w:sz w:val="20"/>
              </w:rPr>
              <w:t>1</w:t>
            </w:r>
          </w:p>
        </w:tc>
      </w:tr>
    </w:tbl>
    <w:p w:rsidR="00F16C24" w:rsidRDefault="00F16C24">
      <w:pPr>
        <w:spacing w:after="0"/>
        <w:ind w:firstLine="0"/>
        <w:jc w:val="left"/>
        <w:rPr>
          <w:b/>
          <w:bCs/>
          <w:color w:val="18185F"/>
          <w:szCs w:val="28"/>
          <w:lang w:eastAsia="x-none"/>
        </w:rPr>
      </w:pPr>
    </w:p>
    <w:p w:rsidR="00F16C24" w:rsidRDefault="00F16C24">
      <w:pPr>
        <w:spacing w:after="0"/>
        <w:ind w:firstLine="0"/>
        <w:jc w:val="left"/>
        <w:rPr>
          <w:b/>
          <w:bCs/>
          <w:color w:val="18185F"/>
          <w:szCs w:val="28"/>
          <w:lang w:eastAsia="x-none"/>
        </w:rPr>
      </w:pPr>
    </w:p>
    <w:tbl>
      <w:tblPr>
        <w:tblStyle w:val="GridTable6Colorful-Accent12"/>
        <w:tblW w:w="8648" w:type="dxa"/>
        <w:tblInd w:w="-5" w:type="dxa"/>
        <w:tblLook w:val="04A0" w:firstRow="1" w:lastRow="0" w:firstColumn="1" w:lastColumn="0" w:noHBand="0" w:noVBand="1"/>
      </w:tblPr>
      <w:tblGrid>
        <w:gridCol w:w="7688"/>
        <w:gridCol w:w="960"/>
      </w:tblGrid>
      <w:tr w:rsidR="00F16C24" w:rsidRPr="002404AE" w:rsidTr="00493A5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688" w:type="dxa"/>
          </w:tcPr>
          <w:p w:rsidR="00F16C24" w:rsidRPr="002404AE" w:rsidRDefault="00F16C24" w:rsidP="00EF3C10">
            <w:pPr>
              <w:spacing w:after="0"/>
              <w:ind w:firstLine="0"/>
              <w:jc w:val="left"/>
              <w:rPr>
                <w:b w:val="0"/>
                <w:bCs w:val="0"/>
                <w:color w:val="000000"/>
                <w:sz w:val="20"/>
                <w:lang w:eastAsia="lv-LV"/>
              </w:rPr>
            </w:pPr>
            <w:r w:rsidRPr="002404AE">
              <w:rPr>
                <w:color w:val="000000"/>
                <w:sz w:val="20"/>
                <w:lang w:eastAsia="lv-LV"/>
              </w:rPr>
              <w:t>Citas izmaiņas budžeta sagatavošanas procesā (% no IKP)</w:t>
            </w:r>
          </w:p>
        </w:tc>
        <w:tc>
          <w:tcPr>
            <w:tcW w:w="960" w:type="dxa"/>
            <w:noWrap/>
          </w:tcPr>
          <w:p w:rsidR="00F16C24" w:rsidRPr="002404AE" w:rsidRDefault="00F16C24" w:rsidP="00EF3C10">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 w:val="20"/>
                <w:lang w:eastAsia="lv-LV"/>
              </w:rPr>
            </w:pPr>
            <w:r w:rsidRPr="002404AE">
              <w:rPr>
                <w:color w:val="000000"/>
                <w:sz w:val="20"/>
                <w:lang w:eastAsia="lv-LV"/>
              </w:rPr>
              <w:t>2021</w:t>
            </w:r>
          </w:p>
        </w:tc>
      </w:tr>
      <w:tr w:rsidR="00F16C24" w:rsidRPr="002404AE" w:rsidTr="00493A5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7688" w:type="dxa"/>
          </w:tcPr>
          <w:p w:rsidR="00F16C24" w:rsidRPr="002404AE" w:rsidRDefault="00F16C24" w:rsidP="00EF3C10">
            <w:pPr>
              <w:spacing w:after="0"/>
              <w:ind w:firstLine="0"/>
              <w:jc w:val="left"/>
              <w:rPr>
                <w:b w:val="0"/>
                <w:bCs w:val="0"/>
                <w:color w:val="000000"/>
                <w:sz w:val="20"/>
                <w:lang w:eastAsia="lv-LV"/>
              </w:rPr>
            </w:pPr>
            <w:r w:rsidRPr="002404AE">
              <w:rPr>
                <w:b w:val="0"/>
                <w:bCs w:val="0"/>
                <w:color w:val="000000"/>
                <w:sz w:val="20"/>
                <w:lang w:eastAsia="lv-LV"/>
              </w:rPr>
              <w:t>Izdevumu samazinājums pašvaldību budžetā, saistībā ar ieņēmumu samazinājumu</w:t>
            </w:r>
          </w:p>
        </w:tc>
        <w:tc>
          <w:tcPr>
            <w:tcW w:w="960" w:type="dxa"/>
            <w:noWrap/>
          </w:tcPr>
          <w:p w:rsidR="00F16C24" w:rsidRPr="002404AE" w:rsidRDefault="00F16C24" w:rsidP="00EF3C10">
            <w:pPr>
              <w:spacing w:after="0"/>
              <w:ind w:firstLine="0"/>
              <w:jc w:val="center"/>
              <w:cnfStyle w:val="000000100000" w:firstRow="0" w:lastRow="0" w:firstColumn="0" w:lastColumn="0" w:oddVBand="0" w:evenVBand="0" w:oddHBand="1" w:evenHBand="0" w:firstRowFirstColumn="0" w:firstRowLastColumn="0" w:lastRowFirstColumn="0" w:lastRowLastColumn="0"/>
              <w:rPr>
                <w:b/>
                <w:bCs/>
                <w:color w:val="000000"/>
                <w:sz w:val="20"/>
                <w:lang w:eastAsia="lv-LV"/>
              </w:rPr>
            </w:pPr>
            <w:r w:rsidRPr="002404AE">
              <w:rPr>
                <w:b/>
                <w:bCs/>
                <w:color w:val="000000"/>
                <w:sz w:val="20"/>
                <w:lang w:eastAsia="lv-LV"/>
              </w:rPr>
              <w:t>-0,26</w:t>
            </w:r>
          </w:p>
        </w:tc>
      </w:tr>
    </w:tbl>
    <w:p w:rsidR="00F20B51" w:rsidRDefault="00F20B51">
      <w:pPr>
        <w:spacing w:after="0"/>
        <w:ind w:firstLine="0"/>
        <w:jc w:val="left"/>
        <w:rPr>
          <w:b/>
          <w:bCs/>
          <w:color w:val="18185F"/>
          <w:szCs w:val="28"/>
          <w:lang w:eastAsia="x-none"/>
        </w:rPr>
      </w:pPr>
    </w:p>
    <w:p w:rsidR="00F16C24" w:rsidRDefault="00F16C24">
      <w:pPr>
        <w:spacing w:after="0"/>
        <w:ind w:firstLine="0"/>
        <w:jc w:val="left"/>
        <w:rPr>
          <w:b/>
          <w:bCs/>
          <w:color w:val="18185F"/>
          <w:szCs w:val="28"/>
          <w:lang w:eastAsia="x-none"/>
        </w:rPr>
      </w:pPr>
      <w:bookmarkStart w:id="36" w:name="_Toc53388941"/>
      <w:r>
        <w:rPr>
          <w:color w:val="18185F"/>
        </w:rPr>
        <w:br w:type="page"/>
      </w:r>
    </w:p>
    <w:p w:rsidR="005119CA" w:rsidRPr="003033B8" w:rsidRDefault="00F900B2" w:rsidP="00CF6873">
      <w:pPr>
        <w:pStyle w:val="Heading1"/>
        <w:tabs>
          <w:tab w:val="left" w:pos="1276"/>
        </w:tabs>
        <w:spacing w:before="0" w:after="240"/>
        <w:ind w:firstLine="0"/>
        <w:jc w:val="left"/>
        <w:rPr>
          <w:rFonts w:ascii="Times New Roman" w:hAnsi="Times New Roman"/>
          <w:color w:val="18185F"/>
          <w:sz w:val="24"/>
        </w:rPr>
      </w:pPr>
      <w:r w:rsidRPr="003033B8">
        <w:rPr>
          <w:rFonts w:ascii="Times New Roman" w:hAnsi="Times New Roman"/>
          <w:color w:val="18185F"/>
          <w:sz w:val="24"/>
          <w:lang w:val="lv-LV"/>
        </w:rPr>
        <w:lastRenderedPageBreak/>
        <w:t>Tabula</w:t>
      </w:r>
      <w:r w:rsidRPr="003033B8">
        <w:rPr>
          <w:rFonts w:ascii="Times New Roman" w:hAnsi="Times New Roman"/>
          <w:color w:val="18185F"/>
          <w:sz w:val="24"/>
        </w:rPr>
        <w:t xml:space="preserve"> </w:t>
      </w:r>
      <w:r w:rsidR="005119CA" w:rsidRPr="003033B8">
        <w:rPr>
          <w:rFonts w:ascii="Times New Roman" w:hAnsi="Times New Roman"/>
          <w:color w:val="18185F"/>
          <w:sz w:val="24"/>
        </w:rPr>
        <w:t>6.a Valst</w:t>
      </w:r>
      <w:r w:rsidR="003033B8" w:rsidRPr="003033B8">
        <w:rPr>
          <w:rFonts w:ascii="Times New Roman" w:hAnsi="Times New Roman"/>
          <w:color w:val="18185F"/>
          <w:sz w:val="24"/>
          <w:lang w:val="lv-LV"/>
        </w:rPr>
        <w:t>s</w:t>
      </w:r>
      <w:r w:rsidR="005119CA" w:rsidRPr="003033B8">
        <w:rPr>
          <w:rFonts w:ascii="Times New Roman" w:hAnsi="Times New Roman"/>
          <w:color w:val="18185F"/>
          <w:sz w:val="24"/>
        </w:rPr>
        <w:t xml:space="preserve"> specifiskās rekomendācijas</w:t>
      </w:r>
      <w:bookmarkEnd w:id="36"/>
      <w:r w:rsidR="005119CA" w:rsidRPr="003033B8">
        <w:rPr>
          <w:rFonts w:ascii="Times New Roman" w:hAnsi="Times New Roman"/>
          <w:color w:val="18185F"/>
          <w:sz w:val="24"/>
        </w:rPr>
        <w:t xml:space="preserve"> </w:t>
      </w:r>
    </w:p>
    <w:tbl>
      <w:tblPr>
        <w:tblStyle w:val="GridTable6Colorful-Accent11"/>
        <w:tblW w:w="14596" w:type="dxa"/>
        <w:tblLook w:val="04A0" w:firstRow="1" w:lastRow="0" w:firstColumn="1" w:lastColumn="0" w:noHBand="0" w:noVBand="1"/>
      </w:tblPr>
      <w:tblGrid>
        <w:gridCol w:w="703"/>
        <w:gridCol w:w="4930"/>
        <w:gridCol w:w="8963"/>
      </w:tblGrid>
      <w:tr w:rsidR="003033B8" w:rsidRPr="00FC531D" w:rsidTr="007C2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rsidR="003033B8" w:rsidRPr="00FC531D" w:rsidRDefault="00FC531D" w:rsidP="00283E6C">
            <w:pPr>
              <w:spacing w:after="0"/>
              <w:ind w:firstLine="0"/>
              <w:rPr>
                <w:b w:val="0"/>
                <w:color w:val="auto"/>
                <w:sz w:val="20"/>
              </w:rPr>
            </w:pPr>
            <w:r>
              <w:rPr>
                <w:color w:val="auto"/>
                <w:sz w:val="20"/>
              </w:rPr>
              <w:t>C</w:t>
            </w:r>
            <w:r w:rsidR="003033B8" w:rsidRPr="00FC531D">
              <w:rPr>
                <w:color w:val="auto"/>
                <w:sz w:val="20"/>
              </w:rPr>
              <w:t>SR Nr.</w:t>
            </w:r>
          </w:p>
        </w:tc>
        <w:tc>
          <w:tcPr>
            <w:tcW w:w="4961" w:type="dxa"/>
            <w:vAlign w:val="center"/>
          </w:tcPr>
          <w:p w:rsidR="003033B8" w:rsidRPr="00FC531D" w:rsidRDefault="003033B8" w:rsidP="00283E6C">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FC531D">
              <w:rPr>
                <w:color w:val="auto"/>
                <w:sz w:val="20"/>
              </w:rPr>
              <w:t>Pasākumi</w:t>
            </w:r>
          </w:p>
        </w:tc>
        <w:tc>
          <w:tcPr>
            <w:tcW w:w="8931" w:type="dxa"/>
            <w:vAlign w:val="center"/>
          </w:tcPr>
          <w:p w:rsidR="003033B8" w:rsidRPr="00283E6C" w:rsidRDefault="003033B8" w:rsidP="00283E6C">
            <w:pPr>
              <w:spacing w:after="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283E6C">
              <w:rPr>
                <w:color w:val="auto"/>
                <w:sz w:val="20"/>
              </w:rPr>
              <w:t>Apraksts</w:t>
            </w:r>
          </w:p>
        </w:tc>
      </w:tr>
      <w:tr w:rsidR="003033B8" w:rsidRPr="00FC531D" w:rsidTr="007C292F">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04" w:type="dxa"/>
            <w:vAlign w:val="center"/>
          </w:tcPr>
          <w:p w:rsidR="003033B8" w:rsidRPr="00FC531D" w:rsidRDefault="003033B8" w:rsidP="00283E6C">
            <w:pPr>
              <w:spacing w:after="0"/>
              <w:ind w:left="-582"/>
              <w:jc w:val="center"/>
              <w:rPr>
                <w:color w:val="auto"/>
                <w:sz w:val="20"/>
              </w:rPr>
            </w:pPr>
            <w:r w:rsidRPr="00FC531D">
              <w:rPr>
                <w:color w:val="auto"/>
                <w:sz w:val="20"/>
              </w:rPr>
              <w:t>1</w:t>
            </w:r>
          </w:p>
        </w:tc>
        <w:tc>
          <w:tcPr>
            <w:tcW w:w="4961" w:type="dxa"/>
          </w:tcPr>
          <w:p w:rsidR="003033B8" w:rsidRPr="00FC531D" w:rsidRDefault="003033B8" w:rsidP="00283E6C">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FC531D">
              <w:rPr>
                <w:noProof/>
                <w:color w:val="000000" w:themeColor="text1"/>
                <w:sz w:val="20"/>
              </w:rPr>
              <w:t xml:space="preserve">Ievērojot vispārējo izņēmuma klauzulu, veikt visus vajadzīgos pasākumus, lai efektīvi ierobežotu pandēmijas izplatību, stiprinātu ekonomiku un atbalstītu tās turpmāko atlabšanu. Kad to pieļaus ekonomiskie apstākļi, īstenot fiskālo politiku, kas ļaus panākt piesardzīgu vidēja termiņa fiskālo stāvokli un nodrošināt parāda ilgtspēju un vienlaikus veicinās investīcijas. </w:t>
            </w:r>
          </w:p>
          <w:p w:rsidR="003033B8" w:rsidRPr="00FC531D" w:rsidRDefault="003033B8" w:rsidP="00283E6C">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C531D">
              <w:rPr>
                <w:noProof/>
                <w:color w:val="000000" w:themeColor="text1"/>
                <w:sz w:val="20"/>
              </w:rPr>
              <w:t>Stiprināt veselības sistēmas noturību un pieejamību, tostarp nodrošinot to ar papildu cilvēkresursiem un finanšu resursiem.</w:t>
            </w:r>
          </w:p>
        </w:tc>
        <w:tc>
          <w:tcPr>
            <w:tcW w:w="8931" w:type="dxa"/>
          </w:tcPr>
          <w:p w:rsidR="00E9625D" w:rsidRDefault="00E9625D" w:rsidP="00E9625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Reaģējot uz Covid-19 krīzes izraisīto ekonomisko satricinājumu, MK š.g. pavasarī pieņēma būtisku ar Covid-19 krīzi saistīto lēmumu un atbalsta pasākumu paketi, kas tika aprakstīta</w:t>
            </w:r>
            <w:r w:rsidRPr="00BA333B">
              <w:rPr>
                <w:color w:val="auto"/>
                <w:sz w:val="20"/>
              </w:rPr>
              <w:t xml:space="preserve"> Latvijas Sta</w:t>
            </w:r>
            <w:r>
              <w:rPr>
                <w:color w:val="auto"/>
                <w:sz w:val="20"/>
              </w:rPr>
              <w:t>bilitātes programmā 2020.–2023.</w:t>
            </w:r>
            <w:r w:rsidRPr="00BA333B">
              <w:rPr>
                <w:color w:val="auto"/>
                <w:sz w:val="20"/>
              </w:rPr>
              <w:t>gadam, ietverot tos atbalsta pasākumus, kas tika apstiprināti līdz šā gada 17.aprīlim. Tomēr ņemot vērā, ka kopš 17.aprīļa atsevišķi atbalsta pasākumi ir aktualizēti un ir pieņemti jauni pasākumi, šajā budžeta plāna projektā ir ietverta informāciju par aktuālo situāciju attiecībā uz MK pieņemtajiem atbalsta pasākumiem</w:t>
            </w:r>
            <w:r>
              <w:rPr>
                <w:color w:val="auto"/>
                <w:sz w:val="20"/>
              </w:rPr>
              <w:t xml:space="preserve"> (skat. tabulu “</w:t>
            </w:r>
            <w:r w:rsidRPr="006D031F">
              <w:rPr>
                <w:color w:val="auto"/>
                <w:sz w:val="20"/>
              </w:rPr>
              <w:t>Tautsaimniecības atbalsta pasākumi Covid-19 pārvarēšanai un to ietekme uz vispārējās valdības budžeta bilanci</w:t>
            </w:r>
            <w:r>
              <w:rPr>
                <w:color w:val="auto"/>
                <w:sz w:val="20"/>
              </w:rPr>
              <w:t>”)</w:t>
            </w:r>
            <w:r w:rsidRPr="00BA333B">
              <w:rPr>
                <w:color w:val="auto"/>
                <w:sz w:val="20"/>
              </w:rPr>
              <w:t>.</w:t>
            </w:r>
            <w:r>
              <w:rPr>
                <w:color w:val="auto"/>
                <w:sz w:val="20"/>
              </w:rPr>
              <w:t xml:space="preserve">  </w:t>
            </w:r>
          </w:p>
          <w:p w:rsidR="00E9625D" w:rsidRDefault="00E9625D" w:rsidP="00E9625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Tāpat jāatzīmē,</w:t>
            </w:r>
            <w:r w:rsidR="00383691">
              <w:rPr>
                <w:color w:val="auto"/>
                <w:sz w:val="20"/>
              </w:rPr>
              <w:t xml:space="preserve"> ka budžeta sagatavošanas laikā</w:t>
            </w:r>
            <w:r>
              <w:rPr>
                <w:color w:val="auto"/>
                <w:sz w:val="20"/>
              </w:rPr>
              <w:t xml:space="preserve"> MK pieņemtie lēmumi par valdības prioritāšu finansēšanu tika pieņemti fiskāli neitrālā veidā, izdevumus palielinošiem pasākumiem un ieņēmumus samazinošiem pasākumiem nodrošinot attiecīgus kompensējošus pasākumus un tādējādi saglabājot vispārējās valdības budžeta deficītu tādā pašā līmenī kā nemainīgas politikas scenārijā (3,95% no IKP).</w:t>
            </w:r>
          </w:p>
          <w:p w:rsidR="00283E6C" w:rsidRDefault="00283E6C" w:rsidP="00283E6C">
            <w:pPr>
              <w:spacing w:after="0"/>
              <w:ind w:firstLine="322"/>
              <w:cnfStyle w:val="000000100000" w:firstRow="0" w:lastRow="0" w:firstColumn="0" w:lastColumn="0" w:oddVBand="0" w:evenVBand="0" w:oddHBand="1" w:evenHBand="0" w:firstRowFirstColumn="0" w:firstRowLastColumn="0" w:lastRowFirstColumn="0" w:lastRowLastColumn="0"/>
              <w:rPr>
                <w:color w:val="auto"/>
                <w:sz w:val="20"/>
              </w:rPr>
            </w:pPr>
          </w:p>
          <w:p w:rsidR="00283E6C" w:rsidRPr="00283E6C" w:rsidRDefault="00283E6C" w:rsidP="00AA6F4C">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2021.gadā tiks turpinā</w:t>
            </w:r>
            <w:r>
              <w:rPr>
                <w:color w:val="auto"/>
                <w:sz w:val="20"/>
              </w:rPr>
              <w:t>ta 2017.gadā uzsākto un 2018.</w:t>
            </w:r>
            <w:r w:rsidR="003227DB" w:rsidRPr="00862050">
              <w:rPr>
                <w:color w:val="auto"/>
                <w:sz w:val="20"/>
              </w:rPr>
              <w:t>–</w:t>
            </w:r>
            <w:r w:rsidRPr="00283E6C">
              <w:rPr>
                <w:color w:val="auto"/>
                <w:sz w:val="20"/>
              </w:rPr>
              <w:t>2020.gados turpināto veselības reformas pasākumu īstenošana, tai skaita:</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veselības aprūpes pakalpojumu nodrošināšana;</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onkoloģisko saslimšanu savlaicīgas diagnostikas un ārstēšanas pieejamības nodrošināšana (tai skaitā, turpinot uzsāktās aktivitātes);</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infekcijas slimību izplatības mazināšana;</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primārās veselības aprūpes sistēmas kvalitātes un pieejamības uzlabošana;</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roofErr w:type="spellStart"/>
            <w:r w:rsidRPr="00283E6C">
              <w:rPr>
                <w:rFonts w:ascii="Times New Roman" w:hAnsi="Times New Roman"/>
                <w:color w:val="auto"/>
                <w:sz w:val="20"/>
              </w:rPr>
              <w:t>kardiovaskulāro</w:t>
            </w:r>
            <w:proofErr w:type="spellEnd"/>
            <w:r w:rsidRPr="00283E6C">
              <w:rPr>
                <w:rFonts w:ascii="Times New Roman" w:hAnsi="Times New Roman"/>
                <w:color w:val="auto"/>
                <w:sz w:val="20"/>
              </w:rPr>
              <w:t xml:space="preserve"> slimību ārstēšanas nodrošināšana;</w:t>
            </w:r>
          </w:p>
          <w:p w:rsidR="00283E6C" w:rsidRPr="00283E6C" w:rsidRDefault="00283E6C" w:rsidP="00DF7139">
            <w:pPr>
              <w:pStyle w:val="ListParagraph"/>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ārstniecības iestāžu līmeņu reforma un slimnīcu sadarbības modeļa pilnveide;</w:t>
            </w:r>
          </w:p>
          <w:p w:rsidR="00283E6C" w:rsidRPr="00283E6C" w:rsidRDefault="00283E6C" w:rsidP="00DF7139">
            <w:pPr>
              <w:pStyle w:val="ListParagraph"/>
              <w:numPr>
                <w:ilvl w:val="0"/>
                <w:numId w:val="17"/>
              </w:num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veselības aprūpes pakalpojumu stratēģiskā iepirkuma veikšana, palielinot valsts apmaksāto veselības aprūpes pakalpojumu skaitu, kuri tiek iegādāti stratēģiskā iepirkuma ietvaros.</w:t>
            </w:r>
          </w:p>
          <w:p w:rsidR="00283E6C" w:rsidRPr="00283E6C" w:rsidRDefault="00283E6C" w:rsidP="00AA6F4C">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Veselības sistēmas noturības un pieejamības stiprināšanai, tostarp nodrošinot to ar papildu cilvēkresursiem un finanšu resursiem, papildus iepriekš nosauktajiem pasākumiem veselības reformas ietvaros, 2021.gadā plānoti šādi galvenie pasākumi:</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cilvēkresursu nodrošināšana nozarē, tai skaitā:</w:t>
            </w:r>
          </w:p>
          <w:p w:rsidR="00283E6C" w:rsidRPr="00283E6C" w:rsidRDefault="00283E6C"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atalgojuma palielinājuma nodrošināšana;</w:t>
            </w:r>
          </w:p>
          <w:p w:rsidR="00283E6C" w:rsidRPr="00283E6C" w:rsidRDefault="00283E6C"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konkurētspējīga ārstniecības personu atalgojuma modeļa izstrādāšana un ieviešana;</w:t>
            </w:r>
          </w:p>
          <w:p w:rsidR="00283E6C" w:rsidRPr="00283E6C" w:rsidRDefault="00283E6C"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ārstniecības personu piesaiste reģioniem, ārstniecības personu kvalifikācijas uzlabošana un uzturēšana, izmantojot ES fondu finansējumu;</w:t>
            </w:r>
          </w:p>
          <w:p w:rsidR="00283E6C" w:rsidRPr="00283E6C" w:rsidRDefault="003227DB"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ārstu kompetenču </w:t>
            </w:r>
            <w:r w:rsidR="00283E6C" w:rsidRPr="00283E6C">
              <w:rPr>
                <w:rFonts w:ascii="Times New Roman" w:hAnsi="Times New Roman"/>
                <w:color w:val="auto"/>
                <w:sz w:val="20"/>
              </w:rPr>
              <w:t>pārskatīšana</w:t>
            </w:r>
            <w:r>
              <w:rPr>
                <w:rFonts w:ascii="Times New Roman" w:hAnsi="Times New Roman"/>
                <w:color w:val="auto"/>
                <w:sz w:val="20"/>
                <w:lang w:val="lv-LV"/>
              </w:rPr>
              <w:t xml:space="preserve"> </w:t>
            </w:r>
            <w:r w:rsidR="00283E6C" w:rsidRPr="00283E6C">
              <w:rPr>
                <w:rFonts w:ascii="Times New Roman" w:hAnsi="Times New Roman"/>
                <w:color w:val="auto"/>
                <w:sz w:val="20"/>
              </w:rPr>
              <w:t xml:space="preserve">un </w:t>
            </w:r>
            <w:r w:rsidR="00283E6C">
              <w:rPr>
                <w:rFonts w:ascii="Times New Roman" w:hAnsi="Times New Roman"/>
                <w:color w:val="auto"/>
                <w:sz w:val="20"/>
              </w:rPr>
              <w:t>aktualizēšana</w:t>
            </w:r>
            <w:r>
              <w:rPr>
                <w:rFonts w:ascii="Times New Roman" w:hAnsi="Times New Roman"/>
                <w:color w:val="auto"/>
                <w:sz w:val="20"/>
                <w:lang w:val="lv-LV"/>
              </w:rPr>
              <w:t xml:space="preserve"> </w:t>
            </w:r>
            <w:r w:rsidR="00283E6C" w:rsidRPr="00283E6C">
              <w:rPr>
                <w:rFonts w:ascii="Times New Roman" w:hAnsi="Times New Roman"/>
                <w:color w:val="auto"/>
                <w:sz w:val="20"/>
              </w:rPr>
              <w:t>atbilstoši pēdējām tendencēm veselības nozarē;</w:t>
            </w:r>
          </w:p>
          <w:p w:rsidR="00283E6C" w:rsidRPr="00283E6C" w:rsidRDefault="00283E6C"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konceptuāli risinājumi</w:t>
            </w:r>
            <w:r w:rsidR="003227DB">
              <w:rPr>
                <w:rFonts w:ascii="Times New Roman" w:hAnsi="Times New Roman"/>
                <w:color w:val="auto"/>
                <w:sz w:val="20"/>
                <w:lang w:val="lv-LV"/>
              </w:rPr>
              <w:t xml:space="preserve"> </w:t>
            </w:r>
            <w:r w:rsidRPr="00283E6C">
              <w:rPr>
                <w:rFonts w:ascii="Times New Roman" w:hAnsi="Times New Roman"/>
                <w:color w:val="auto"/>
                <w:sz w:val="20"/>
              </w:rPr>
              <w:t>māsas profesijas turpmākajai</w:t>
            </w:r>
            <w:r w:rsidR="003227DB">
              <w:rPr>
                <w:rFonts w:ascii="Times New Roman" w:hAnsi="Times New Roman"/>
                <w:color w:val="auto"/>
                <w:sz w:val="20"/>
                <w:lang w:val="lv-LV"/>
              </w:rPr>
              <w:t xml:space="preserve"> </w:t>
            </w:r>
            <w:r w:rsidRPr="00283E6C">
              <w:rPr>
                <w:rFonts w:ascii="Times New Roman" w:hAnsi="Times New Roman"/>
                <w:color w:val="auto"/>
                <w:sz w:val="20"/>
              </w:rPr>
              <w:t>attīstīšanai; </w:t>
            </w:r>
          </w:p>
          <w:p w:rsidR="00283E6C" w:rsidRPr="00283E6C" w:rsidRDefault="00283E6C" w:rsidP="00DF7139">
            <w:pPr>
              <w:pStyle w:val="ListParagraph"/>
              <w:numPr>
                <w:ilvl w:val="0"/>
                <w:numId w:val="19"/>
              </w:numPr>
              <w:tabs>
                <w:tab w:val="left" w:pos="8931"/>
              </w:tabs>
              <w:spacing w:after="0" w:line="240" w:lineRule="auto"/>
              <w:ind w:left="568"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lastRenderedPageBreak/>
              <w:t>medicīnas izglītības sistēmas attīstības modeļa koncepcijas izstrāde (tai skaitā datu bāzes pilnveide un simulācijas visu līmeņu izglītības posmos);</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turpināt E-veselības sistēmas attīstību, tai skaitā izmantojot ES fondu finansējumu;</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turpināt veselības veicināšanas un slimību profilakses pasākumus, tai skaitā izmantojot ES fondu finansējumu;</w:t>
            </w:r>
          </w:p>
          <w:p w:rsidR="00283E6C" w:rsidRPr="00283E6C" w:rsidRDefault="00DE57E1"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Pr>
                <w:rFonts w:ascii="Times New Roman" w:hAnsi="Times New Roman"/>
                <w:color w:val="auto"/>
                <w:sz w:val="20"/>
              </w:rPr>
              <w:t xml:space="preserve">turpināt </w:t>
            </w:r>
            <w:r w:rsidR="00283E6C" w:rsidRPr="00283E6C">
              <w:rPr>
                <w:rFonts w:ascii="Times New Roman" w:hAnsi="Times New Roman"/>
                <w:color w:val="auto"/>
                <w:sz w:val="20"/>
              </w:rPr>
              <w:t>veselības aprūpes sistēmas kvalitātes pilnveidošanas un pacientu drošības koncepcijas ieviešanu;</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medicīniskās rehabilitācijas pakalpojumu kvalitātes un pieejamības nodrošināšana;</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zāļu pieejamības un farmaceitiskās aprūpes</w:t>
            </w:r>
            <w:r w:rsidR="00DE57E1">
              <w:rPr>
                <w:rFonts w:ascii="Times New Roman" w:hAnsi="Times New Roman"/>
                <w:color w:val="auto"/>
                <w:sz w:val="20"/>
                <w:lang w:val="lv-LV"/>
              </w:rPr>
              <w:t xml:space="preserve"> </w:t>
            </w:r>
            <w:r w:rsidRPr="00283E6C">
              <w:rPr>
                <w:rFonts w:ascii="Times New Roman" w:hAnsi="Times New Roman"/>
                <w:color w:val="auto"/>
                <w:sz w:val="20"/>
              </w:rPr>
              <w:t>nodrošināšana iedzīvotājiem;</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turpināt darbu pie pacientu pieredzes monitoringa sistēmas</w:t>
            </w:r>
            <w:r w:rsidR="00DE57E1">
              <w:rPr>
                <w:rFonts w:ascii="Times New Roman" w:hAnsi="Times New Roman"/>
                <w:color w:val="auto"/>
                <w:sz w:val="20"/>
                <w:lang w:val="lv-LV"/>
              </w:rPr>
              <w:t xml:space="preserve"> </w:t>
            </w:r>
            <w:r w:rsidRPr="00283E6C">
              <w:rPr>
                <w:rFonts w:ascii="Times New Roman" w:hAnsi="Times New Roman"/>
                <w:color w:val="auto"/>
                <w:sz w:val="20"/>
              </w:rPr>
              <w:t>izveides Latvijā;</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pabeigt darbu pie</w:t>
            </w:r>
            <w:r w:rsidR="00DE57E1">
              <w:rPr>
                <w:rFonts w:ascii="Times New Roman" w:hAnsi="Times New Roman"/>
                <w:color w:val="auto"/>
                <w:sz w:val="20"/>
                <w:lang w:val="lv-LV"/>
              </w:rPr>
              <w:t xml:space="preserve"> </w:t>
            </w:r>
            <w:r w:rsidRPr="00283E6C">
              <w:rPr>
                <w:rFonts w:ascii="Times New Roman" w:hAnsi="Times New Roman"/>
                <w:color w:val="auto"/>
                <w:sz w:val="20"/>
              </w:rPr>
              <w:t>sabiedrības</w:t>
            </w:r>
            <w:r w:rsidR="00DE57E1">
              <w:rPr>
                <w:rFonts w:ascii="Times New Roman" w:hAnsi="Times New Roman"/>
                <w:color w:val="auto"/>
                <w:sz w:val="20"/>
                <w:lang w:val="lv-LV"/>
              </w:rPr>
              <w:t xml:space="preserve"> </w:t>
            </w:r>
            <w:r w:rsidRPr="00283E6C">
              <w:rPr>
                <w:rFonts w:ascii="Times New Roman" w:hAnsi="Times New Roman"/>
                <w:color w:val="auto"/>
                <w:sz w:val="20"/>
              </w:rPr>
              <w:t>veselības</w:t>
            </w:r>
            <w:r w:rsidR="00DE57E1">
              <w:rPr>
                <w:rFonts w:ascii="Times New Roman" w:hAnsi="Times New Roman"/>
                <w:color w:val="auto"/>
                <w:sz w:val="20"/>
                <w:lang w:val="lv-LV"/>
              </w:rPr>
              <w:t xml:space="preserve"> </w:t>
            </w:r>
            <w:r w:rsidRPr="00283E6C">
              <w:rPr>
                <w:rFonts w:ascii="Times New Roman" w:hAnsi="Times New Roman"/>
                <w:color w:val="auto"/>
                <w:sz w:val="20"/>
              </w:rPr>
              <w:t>un veselības aprūpes politikas</w:t>
            </w:r>
            <w:r w:rsidR="003227DB">
              <w:rPr>
                <w:rFonts w:ascii="Times New Roman" w:hAnsi="Times New Roman"/>
                <w:color w:val="auto"/>
                <w:sz w:val="20"/>
                <w:lang w:val="lv-LV"/>
              </w:rPr>
              <w:t xml:space="preserve"> </w:t>
            </w:r>
            <w:r w:rsidRPr="00283E6C">
              <w:rPr>
                <w:rFonts w:ascii="Times New Roman" w:hAnsi="Times New Roman"/>
                <w:color w:val="auto"/>
                <w:sz w:val="20"/>
              </w:rPr>
              <w:t>2021.</w:t>
            </w:r>
            <w:r w:rsidR="003227DB" w:rsidRPr="00862050">
              <w:rPr>
                <w:rFonts w:ascii="Times New Roman" w:hAnsi="Times New Roman"/>
                <w:color w:val="auto"/>
                <w:sz w:val="20"/>
              </w:rPr>
              <w:t>–</w:t>
            </w:r>
            <w:r w:rsidRPr="00283E6C">
              <w:rPr>
                <w:rFonts w:ascii="Times New Roman" w:hAnsi="Times New Roman"/>
                <w:color w:val="auto"/>
                <w:sz w:val="20"/>
              </w:rPr>
              <w:t>2027</w:t>
            </w:r>
            <w:r w:rsidR="00DE57E1">
              <w:rPr>
                <w:rFonts w:ascii="Times New Roman" w:hAnsi="Times New Roman"/>
                <w:color w:val="auto"/>
                <w:sz w:val="20"/>
              </w:rPr>
              <w:t>.gadam un ES fondu 2021.</w:t>
            </w:r>
            <w:r w:rsidR="003227DB" w:rsidRPr="00862050">
              <w:rPr>
                <w:rFonts w:ascii="Times New Roman" w:hAnsi="Times New Roman"/>
                <w:color w:val="auto"/>
                <w:sz w:val="20"/>
              </w:rPr>
              <w:t>–</w:t>
            </w:r>
            <w:r w:rsidR="00DE57E1">
              <w:rPr>
                <w:rFonts w:ascii="Times New Roman" w:hAnsi="Times New Roman"/>
                <w:color w:val="auto"/>
                <w:sz w:val="20"/>
              </w:rPr>
              <w:t>2027.</w:t>
            </w:r>
            <w:r w:rsidRPr="00283E6C">
              <w:rPr>
                <w:rFonts w:ascii="Times New Roman" w:hAnsi="Times New Roman"/>
                <w:color w:val="auto"/>
                <w:sz w:val="20"/>
              </w:rPr>
              <w:t>gada plānošanas perioda ieguldījumu</w:t>
            </w:r>
            <w:r w:rsidR="00DE57E1">
              <w:rPr>
                <w:rFonts w:ascii="Times New Roman" w:hAnsi="Times New Roman"/>
                <w:color w:val="auto"/>
                <w:sz w:val="20"/>
                <w:lang w:val="lv-LV"/>
              </w:rPr>
              <w:t xml:space="preserve"> </w:t>
            </w:r>
            <w:r w:rsidRPr="00283E6C">
              <w:rPr>
                <w:rFonts w:ascii="Times New Roman" w:hAnsi="Times New Roman"/>
                <w:color w:val="auto"/>
                <w:sz w:val="20"/>
              </w:rPr>
              <w:t>plānošanas;</w:t>
            </w:r>
          </w:p>
          <w:p w:rsidR="00283E6C" w:rsidRPr="00283E6C" w:rsidRDefault="00283E6C" w:rsidP="00DF7139">
            <w:pPr>
              <w:pStyle w:val="ListParagraph"/>
              <w:numPr>
                <w:ilvl w:val="0"/>
                <w:numId w:val="18"/>
              </w:numPr>
              <w:tabs>
                <w:tab w:val="left" w:pos="8931"/>
              </w:tabs>
              <w:spacing w:after="0" w:line="240" w:lineRule="auto"/>
              <w:ind w:left="568" w:hanging="3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83E6C">
              <w:rPr>
                <w:rFonts w:ascii="Times New Roman" w:hAnsi="Times New Roman"/>
                <w:color w:val="auto"/>
                <w:sz w:val="20"/>
              </w:rPr>
              <w:t xml:space="preserve">īstenot pasākumus </w:t>
            </w:r>
            <w:proofErr w:type="spellStart"/>
            <w:r w:rsidRPr="00283E6C">
              <w:rPr>
                <w:rFonts w:ascii="Times New Roman" w:hAnsi="Times New Roman"/>
                <w:color w:val="auto"/>
                <w:sz w:val="20"/>
              </w:rPr>
              <w:t>antimikrobiālās</w:t>
            </w:r>
            <w:proofErr w:type="spellEnd"/>
            <w:r w:rsidRPr="00283E6C">
              <w:rPr>
                <w:rFonts w:ascii="Times New Roman" w:hAnsi="Times New Roman"/>
                <w:color w:val="auto"/>
                <w:sz w:val="20"/>
              </w:rPr>
              <w:t xml:space="preserve"> rezistences ierobežošanai.</w:t>
            </w:r>
          </w:p>
          <w:p w:rsidR="00283E6C" w:rsidRPr="00283E6C" w:rsidRDefault="00283E6C" w:rsidP="00283E6C">
            <w:pPr>
              <w:spacing w:after="0"/>
              <w:ind w:firstLine="322"/>
              <w:cnfStyle w:val="000000100000" w:firstRow="0" w:lastRow="0" w:firstColumn="0" w:lastColumn="0" w:oddVBand="0" w:evenVBand="0" w:oddHBand="1" w:evenHBand="0" w:firstRowFirstColumn="0" w:firstRowLastColumn="0" w:lastRowFirstColumn="0" w:lastRowLastColumn="0"/>
              <w:rPr>
                <w:color w:val="auto"/>
                <w:sz w:val="20"/>
              </w:rPr>
            </w:pPr>
          </w:p>
          <w:p w:rsidR="00283E6C" w:rsidRPr="00283E6C" w:rsidRDefault="00283E6C" w:rsidP="00AA6F4C">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M</w:t>
            </w:r>
            <w:r w:rsidR="00DE57E1">
              <w:rPr>
                <w:color w:val="auto"/>
                <w:sz w:val="20"/>
              </w:rPr>
              <w:t>K</w:t>
            </w:r>
            <w:r w:rsidRPr="00283E6C">
              <w:rPr>
                <w:color w:val="auto"/>
                <w:sz w:val="20"/>
              </w:rPr>
              <w:t xml:space="preserve"> 2020.gada 2.jūnija sēdē (protokols Nr.38 49.§) tika apstiprināts informatīvais ziņojums “Par pasākumiem Covid-19 krīzes pārvarēšanai un ekonomikas atlabšanai”, M</w:t>
            </w:r>
            <w:r w:rsidR="00DE57E1">
              <w:rPr>
                <w:color w:val="auto"/>
                <w:sz w:val="20"/>
              </w:rPr>
              <w:t xml:space="preserve">K </w:t>
            </w:r>
            <w:r w:rsidRPr="00283E6C">
              <w:rPr>
                <w:color w:val="auto"/>
                <w:sz w:val="20"/>
              </w:rPr>
              <w:t xml:space="preserve">2020.gada 11.augusta sēdē (protokols Nr.47 84.§) tika apstiprināts informatīvais ziņojums “Par </w:t>
            </w:r>
            <w:proofErr w:type="spellStart"/>
            <w:r w:rsidRPr="00283E6C">
              <w:rPr>
                <w:color w:val="auto"/>
                <w:sz w:val="20"/>
              </w:rPr>
              <w:t>virssaistību</w:t>
            </w:r>
            <w:proofErr w:type="spellEnd"/>
            <w:r w:rsidRPr="00283E6C">
              <w:rPr>
                <w:color w:val="auto"/>
                <w:sz w:val="20"/>
              </w:rPr>
              <w:t xml:space="preserve"> izmantošanu Covid-19 seku mīkstināšanas pasākumiem ES fondu</w:t>
            </w:r>
            <w:r w:rsidR="003227DB">
              <w:rPr>
                <w:color w:val="auto"/>
                <w:sz w:val="20"/>
              </w:rPr>
              <w:t xml:space="preserve"> darbības programmas </w:t>
            </w:r>
            <w:r w:rsidRPr="00283E6C">
              <w:rPr>
                <w:color w:val="auto"/>
                <w:sz w:val="20"/>
              </w:rPr>
              <w:t>“Izaugsme un nodarbinātība” ieviešanā” un M</w:t>
            </w:r>
            <w:r w:rsidR="00DE57E1">
              <w:rPr>
                <w:color w:val="auto"/>
                <w:sz w:val="20"/>
              </w:rPr>
              <w:t xml:space="preserve">K </w:t>
            </w:r>
            <w:r w:rsidRPr="00283E6C">
              <w:rPr>
                <w:color w:val="auto"/>
                <w:sz w:val="20"/>
              </w:rPr>
              <w:t>2020.gada 2.septembra sēdē (protokols Nr.51 55.§) tika apstiprināts informatīvais ziņojums “Par pasākumiem Covid-19 krīzes pārvarēšanai un ekonomikas atlabšanai 2020. un 2021.gadam”, kā rezultātā V</w:t>
            </w:r>
            <w:r w:rsidR="00BE51DB">
              <w:rPr>
                <w:color w:val="auto"/>
                <w:sz w:val="20"/>
              </w:rPr>
              <w:t xml:space="preserve">M </w:t>
            </w:r>
            <w:r w:rsidRPr="00283E6C">
              <w:rPr>
                <w:color w:val="auto"/>
                <w:sz w:val="20"/>
              </w:rPr>
              <w:t xml:space="preserve">tika atbalstīti pasākumi 2021.gadam Covid-19 krīzes pārvarēšanai un ekonomikas atlabšanai veselības nozares infrastruktūras stiprināšanai 111,7 milj. </w:t>
            </w:r>
            <w:proofErr w:type="spellStart"/>
            <w:r w:rsidRPr="00283E6C">
              <w:rPr>
                <w:i/>
                <w:iCs/>
                <w:color w:val="auto"/>
                <w:sz w:val="20"/>
              </w:rPr>
              <w:t>euro</w:t>
            </w:r>
            <w:proofErr w:type="spellEnd"/>
            <w:r w:rsidRPr="00283E6C">
              <w:rPr>
                <w:color w:val="auto"/>
                <w:sz w:val="20"/>
              </w:rPr>
              <w:t xml:space="preserve"> apmērā (tai skaitā, 26 milj. </w:t>
            </w:r>
            <w:proofErr w:type="spellStart"/>
            <w:r w:rsidRPr="00283E6C">
              <w:rPr>
                <w:i/>
                <w:iCs/>
                <w:color w:val="auto"/>
                <w:sz w:val="20"/>
              </w:rPr>
              <w:t>euro</w:t>
            </w:r>
            <w:proofErr w:type="spellEnd"/>
            <w:r w:rsidRPr="00283E6C">
              <w:rPr>
                <w:color w:val="auto"/>
                <w:sz w:val="20"/>
              </w:rPr>
              <w:t xml:space="preserve"> stacionāra “Latvijas Onkoloģijas centrs” būvniecībai (atjaunošanai) un funkcionalitātes nodrošināšanai, 16,4 milj. </w:t>
            </w:r>
            <w:proofErr w:type="spellStart"/>
            <w:r w:rsidRPr="00283E6C">
              <w:rPr>
                <w:i/>
                <w:iCs/>
                <w:color w:val="auto"/>
                <w:sz w:val="20"/>
              </w:rPr>
              <w:t>euro</w:t>
            </w:r>
            <w:proofErr w:type="spellEnd"/>
            <w:r w:rsidRPr="00283E6C">
              <w:rPr>
                <w:color w:val="auto"/>
                <w:sz w:val="20"/>
              </w:rPr>
              <w:t xml:space="preserve"> Neatliekamās medicīniskās palīdzības dienesta operatīvo medicīnisko transportlīdzekļu iegādei un 69,3 milj. </w:t>
            </w:r>
            <w:proofErr w:type="spellStart"/>
            <w:r w:rsidRPr="00283E6C">
              <w:rPr>
                <w:i/>
                <w:iCs/>
                <w:color w:val="auto"/>
                <w:sz w:val="20"/>
              </w:rPr>
              <w:t>euro</w:t>
            </w:r>
            <w:proofErr w:type="spellEnd"/>
            <w:r w:rsidRPr="00283E6C">
              <w:rPr>
                <w:color w:val="auto"/>
                <w:sz w:val="20"/>
              </w:rPr>
              <w:t xml:space="preserve"> slimnīcu pārbūvei un funkcionalitātes nodrošināšanai, tai skaitā, intensīvo terapijas nodaļu paplašināšanai, izolācijas boksu izveidei un pacientu plūsmu nodalīšanai.</w:t>
            </w:r>
          </w:p>
          <w:p w:rsidR="00283E6C" w:rsidRPr="00283E6C" w:rsidRDefault="00283E6C" w:rsidP="00AA6F4C">
            <w:pPr>
              <w:spacing w:after="0"/>
              <w:ind w:firstLine="568"/>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M</w:t>
            </w:r>
            <w:r w:rsidR="00DE57E1">
              <w:rPr>
                <w:color w:val="auto"/>
                <w:sz w:val="20"/>
              </w:rPr>
              <w:t xml:space="preserve">K </w:t>
            </w:r>
            <w:r w:rsidRPr="00283E6C">
              <w:rPr>
                <w:color w:val="auto"/>
                <w:sz w:val="20"/>
              </w:rPr>
              <w:t>2020.gada 22.septembra sēdē (protokols Nr.55 38.§) tika apstiprināts informatīvais ziņojums "Par priekšlikumiem valsts budžeta ieņēmumiem un izdevumiem 2021.gadam un ietvaram 2021.–2023.gadam", ar ko tika atbalstīts finansējums 2021.</w:t>
            </w:r>
            <w:r w:rsidR="003227DB" w:rsidRPr="00862050">
              <w:rPr>
                <w:color w:val="auto"/>
                <w:sz w:val="20"/>
              </w:rPr>
              <w:t>–</w:t>
            </w:r>
            <w:r w:rsidRPr="00283E6C">
              <w:rPr>
                <w:color w:val="auto"/>
                <w:sz w:val="20"/>
              </w:rPr>
              <w:t xml:space="preserve">2023.gadiem 183 milj. </w:t>
            </w:r>
            <w:proofErr w:type="spellStart"/>
            <w:r w:rsidRPr="00283E6C">
              <w:rPr>
                <w:i/>
                <w:iCs/>
                <w:color w:val="auto"/>
                <w:sz w:val="20"/>
              </w:rPr>
              <w:t>euro</w:t>
            </w:r>
            <w:proofErr w:type="spellEnd"/>
            <w:r w:rsidRPr="00283E6C">
              <w:rPr>
                <w:color w:val="auto"/>
                <w:sz w:val="20"/>
              </w:rPr>
              <w:t xml:space="preserve"> apmērā ik gadu papildus pasākumiem Veselības aprūpes finansēšanas likuma normu izpildei, paredzot valsts finansējumu veselības aprūpes darbinieku darba samaksas paaugstināšanai.</w:t>
            </w:r>
          </w:p>
        </w:tc>
      </w:tr>
      <w:tr w:rsidR="007F608E" w:rsidRPr="00FC531D" w:rsidTr="007C292F">
        <w:trPr>
          <w:trHeight w:val="1150"/>
        </w:trPr>
        <w:tc>
          <w:tcPr>
            <w:cnfStyle w:val="001000000000" w:firstRow="0" w:lastRow="0" w:firstColumn="1" w:lastColumn="0" w:oddVBand="0" w:evenVBand="0" w:oddHBand="0" w:evenHBand="0" w:firstRowFirstColumn="0" w:firstRowLastColumn="0" w:lastRowFirstColumn="0" w:lastRowLastColumn="0"/>
            <w:tcW w:w="704" w:type="dxa"/>
            <w:vAlign w:val="center"/>
          </w:tcPr>
          <w:p w:rsidR="007F608E" w:rsidRPr="00FC531D" w:rsidRDefault="007F608E" w:rsidP="00283E6C">
            <w:pPr>
              <w:spacing w:after="0"/>
              <w:ind w:left="-597"/>
              <w:jc w:val="center"/>
              <w:rPr>
                <w:color w:val="auto"/>
                <w:sz w:val="20"/>
              </w:rPr>
            </w:pPr>
            <w:r w:rsidRPr="00FC531D">
              <w:rPr>
                <w:color w:val="auto"/>
                <w:sz w:val="20"/>
              </w:rPr>
              <w:lastRenderedPageBreak/>
              <w:t>2</w:t>
            </w:r>
          </w:p>
        </w:tc>
        <w:tc>
          <w:tcPr>
            <w:tcW w:w="4961" w:type="dxa"/>
          </w:tcPr>
          <w:p w:rsidR="007F608E" w:rsidRPr="00FC531D" w:rsidRDefault="007F608E" w:rsidP="00283E6C">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531D">
              <w:rPr>
                <w:noProof/>
                <w:color w:val="000000" w:themeColor="text1"/>
                <w:sz w:val="20"/>
              </w:rPr>
              <w:t>Paredzēt pienācīgu ienākumu atbalstu krīzes vissmagāk skartajām iedzīvotāju grupām un stiprināt sociālās drošības tīklu. Mazināt krīzes ietekmi uz nodarbinātību, tostarp izmantojot elastīgu darba režīmu, aktīvos darba tirgus pasākumus un prasmju pilnveidošanu.</w:t>
            </w:r>
          </w:p>
        </w:tc>
        <w:tc>
          <w:tcPr>
            <w:tcW w:w="8931" w:type="dxa"/>
          </w:tcPr>
          <w:p w:rsidR="00C17E06" w:rsidRPr="00862050" w:rsidRDefault="00C17E06" w:rsidP="00283E6C">
            <w:pPr>
              <w:shd w:val="clear" w:color="auto" w:fill="FFFFFF"/>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22.09.2020. valdība apstiprināja priekšlikumus valsts budžeta ieņēmumiem un izdevumiem 2021</w:t>
            </w:r>
            <w:r w:rsidR="00283E6C" w:rsidRPr="00862050">
              <w:rPr>
                <w:color w:val="auto"/>
                <w:sz w:val="20"/>
              </w:rPr>
              <w:t>.gadam un ietvaram 2021.–2023.</w:t>
            </w:r>
            <w:r w:rsidRPr="00862050">
              <w:rPr>
                <w:color w:val="auto"/>
                <w:sz w:val="20"/>
              </w:rPr>
              <w:t>gadam, kurā ietvertas arī iniciatīvas minimālo ienākumu sliekšņu celšanai. Minimālo ienākumu sliekšņus paredzēts noteikt procentuālā apmērā no ienākumu mediānas un izmantot ekvivalences skalu (1; 0,7; 0,7). Paredzēts, ka minimālo ienākumu slieksnis nevar būt zemāks kā 20% no ienākuma mediānas. Tāpat paredzēta minimālo ienākumu sliekšņu regulāra pārskatīšanas kārtība.</w:t>
            </w:r>
          </w:p>
          <w:p w:rsidR="00C17E06" w:rsidRPr="00862050" w:rsidRDefault="00C17E06" w:rsidP="00283E6C">
            <w:pPr>
              <w:shd w:val="clear" w:color="auto" w:fill="FFFFFF"/>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No 2021.gada 1.janvāra tiks:</w:t>
            </w:r>
          </w:p>
          <w:p w:rsidR="00C17E06" w:rsidRPr="00862050"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lastRenderedPageBreak/>
              <w:t xml:space="preserve">paaugstināts GMI līmenis no 64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uz 109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pirmajai vai vienīgajai personai mājsaimniecībā (20% no ienākumu mediānas) un 76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katrai nākamajai personai mājsaimniecībā (koeficients 0,7 no pirmās personas);</w:t>
            </w:r>
          </w:p>
          <w:p w:rsidR="00C17E06" w:rsidRPr="00862050"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 xml:space="preserve">paaugstināts trūcīgas personas ienākumu slieksnis, nosakot to 50% no ienākumu mediānas. Tā rezultātā trūcīgas mājsaimniecības ienākumu slieksnis būs 272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pirmajai vai vienīgajai personai mājsaimniecībā un 190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katrai nākamajai personai mājsaimniecībā (līdz šim 128,06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personai mēnesī);</w:t>
            </w:r>
          </w:p>
          <w:p w:rsidR="00C17E06" w:rsidRPr="00862050" w:rsidRDefault="00C17E06" w:rsidP="00DF7139">
            <w:pPr>
              <w:pStyle w:val="ListParagraph"/>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paredzēts noteikt vienotu tiesisko regulējumu mājokļa pabalsta nodrošināšanai, nosakot izdevumu pozīcijas, kuras tiks izmantotas mājokļa pabalsta apmēra aprēķināšanai;</w:t>
            </w:r>
          </w:p>
          <w:p w:rsidR="00C17E06" w:rsidRPr="00862050"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 xml:space="preserve">paaugstināts minimālās vecuma pensijas apmērs </w:t>
            </w:r>
            <w:r w:rsidR="003227DB" w:rsidRPr="00862050">
              <w:rPr>
                <w:rFonts w:ascii="Times New Roman" w:hAnsi="Times New Roman"/>
                <w:color w:val="auto"/>
                <w:sz w:val="20"/>
              </w:rPr>
              <w:t>–</w:t>
            </w:r>
            <w:r w:rsidRPr="00862050">
              <w:rPr>
                <w:rFonts w:ascii="Times New Roman" w:hAnsi="Times New Roman"/>
                <w:color w:val="auto"/>
                <w:sz w:val="20"/>
              </w:rPr>
              <w:t xml:space="preserve"> minimālā vecuma pensijas aprēķina bāze būs 136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w:t>
            </w:r>
            <w:r w:rsidRPr="00862050">
              <w:rPr>
                <w:rFonts w:ascii="Times New Roman" w:hAnsi="Times New Roman"/>
                <w:iCs/>
                <w:color w:val="auto"/>
                <w:sz w:val="20"/>
              </w:rPr>
              <w:t>25% no ienākumu mediānas)</w:t>
            </w:r>
            <w:r w:rsidRPr="00862050">
              <w:rPr>
                <w:rFonts w:ascii="Times New Roman" w:hAnsi="Times New Roman"/>
                <w:color w:val="auto"/>
                <w:sz w:val="20"/>
              </w:rPr>
              <w:t xml:space="preserve"> pašreizējo 80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vietā, bet personām ar invaliditāti kopš bērnības163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w:t>
            </w:r>
            <w:r w:rsidRPr="00862050">
              <w:rPr>
                <w:rFonts w:ascii="Times New Roman" w:hAnsi="Times New Roman"/>
                <w:iCs/>
                <w:color w:val="auto"/>
                <w:sz w:val="20"/>
              </w:rPr>
              <w:t>30% no ienākumu mediānas)</w:t>
            </w:r>
            <w:r w:rsidRPr="00862050">
              <w:rPr>
                <w:rFonts w:ascii="Times New Roman" w:hAnsi="Times New Roman"/>
                <w:color w:val="auto"/>
                <w:sz w:val="20"/>
              </w:rPr>
              <w:t xml:space="preserve"> līdzšinējo 122,69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xml:space="preserve"> vietā. Minimālo vecuma pensiju par katru apdrošināšanas stāža gadu nosaka, piemērojot vecuma pensijas aprēķina bāzei koeficientu – 1,1 un par katru nākamo gadu, kas pārsniedz vecuma pensijas piešķiršanai nepieciešamo apdrošināšanas stāžu, apmēru palielinot par diviem procentiem no minimālās vecuma pensijas aprēķina bāzes. Tādējādi tiks garantēts, ka minimālā pensija nebūs mazāka par 149,60 </w:t>
            </w:r>
            <w:proofErr w:type="spellStart"/>
            <w:r w:rsidR="00283E6C" w:rsidRPr="00862050">
              <w:rPr>
                <w:rFonts w:ascii="Times New Roman" w:hAnsi="Times New Roman"/>
                <w:i/>
                <w:color w:val="auto"/>
                <w:sz w:val="20"/>
              </w:rPr>
              <w:t>euro</w:t>
            </w:r>
            <w:proofErr w:type="spellEnd"/>
            <w:r w:rsidRPr="00862050">
              <w:rPr>
                <w:rFonts w:ascii="Times New Roman" w:hAnsi="Times New Roman"/>
                <w:color w:val="auto"/>
                <w:sz w:val="20"/>
              </w:rPr>
              <w:t>. Palielinot minimālo vecuma pensiju apmērus, paaugstināsies apbedīšanas pabalstu un pabalstu pārdzīvojušajam laulātajam apmēri. Izmaiņas skars aptuveni 31 tūkst. personu mēnesī;</w:t>
            </w:r>
          </w:p>
          <w:p w:rsidR="00C17E06"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paaugstināts minimālās invaliditātes pensijas apmērs. III grupas in</w:t>
            </w:r>
            <w:r w:rsidR="003227DB">
              <w:rPr>
                <w:rFonts w:ascii="Times New Roman" w:hAnsi="Times New Roman"/>
                <w:color w:val="auto"/>
                <w:sz w:val="20"/>
              </w:rPr>
              <w:t>validitātes pensijas apmērs būs</w:t>
            </w:r>
            <w:r w:rsidRPr="00862050">
              <w:rPr>
                <w:rFonts w:ascii="Times New Roman" w:hAnsi="Times New Roman"/>
                <w:color w:val="auto"/>
                <w:sz w:val="20"/>
              </w:rPr>
              <w:t xml:space="preserve"> 25% no ienākumu mediānas, bet personām ar invaliditāti kopš bērnības </w:t>
            </w:r>
            <w:r w:rsidR="003227DB" w:rsidRPr="00862050">
              <w:rPr>
                <w:rFonts w:ascii="Times New Roman" w:hAnsi="Times New Roman"/>
                <w:color w:val="auto"/>
                <w:sz w:val="20"/>
              </w:rPr>
              <w:t>–</w:t>
            </w:r>
            <w:r w:rsidRPr="00862050">
              <w:rPr>
                <w:rFonts w:ascii="Times New Roman" w:hAnsi="Times New Roman"/>
                <w:color w:val="auto"/>
                <w:sz w:val="20"/>
              </w:rPr>
              <w:t xml:space="preserve"> 30% no ienākumu mediānas. Savukārt I un II grupas invaliditātes pensijas apmēru noteiks kā 25% no ienākumu mediānas vai personām ar invaliditāti kopš bērnības –30% no ienākumu mediānas, piemērojot koeficientu 1,6 – I grupas invaliditātes gadījumā un koeficientu 1,4 – II grupas invaliditātes gadījumā:</w:t>
            </w:r>
          </w:p>
          <w:p w:rsidR="00931942" w:rsidRPr="00862050" w:rsidRDefault="00931942" w:rsidP="00931942">
            <w:pPr>
              <w:pStyle w:val="ListParagraph"/>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701"/>
              <w:gridCol w:w="1701"/>
            </w:tblGrid>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C17E06" w:rsidRPr="00862050" w:rsidRDefault="00C17E06" w:rsidP="00283E6C">
                  <w:pPr>
                    <w:spacing w:after="0"/>
                    <w:rPr>
                      <w:rFonts w:eastAsia="Calibri"/>
                      <w:sz w:val="20"/>
                    </w:rPr>
                  </w:pPr>
                  <w:r w:rsidRPr="00862050">
                    <w:rPr>
                      <w:sz w:val="20"/>
                      <w:lang w:eastAsia="lv-LV"/>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proofErr w:type="spellStart"/>
                  <w:r w:rsidRPr="00862050">
                    <w:rPr>
                      <w:rFonts w:eastAsia="Calibri"/>
                      <w:i/>
                      <w:iCs/>
                      <w:sz w:val="20"/>
                    </w:rPr>
                    <w:t>Koef</w:t>
                  </w:r>
                  <w:proofErr w:type="spellEnd"/>
                  <w:r w:rsidRPr="00862050">
                    <w:rPr>
                      <w:rFonts w:eastAsia="Calibri"/>
                      <w:i/>
                      <w:iCs/>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bCs/>
                      <w:sz w:val="20"/>
                      <w:lang w:eastAsia="lv-LV"/>
                    </w:rPr>
                    <w:t xml:space="preserve">Esošais apmērs, </w:t>
                  </w:r>
                  <w:proofErr w:type="spellStart"/>
                  <w:r w:rsidR="00DE57E1" w:rsidRPr="00862050">
                    <w:rPr>
                      <w:i/>
                      <w:sz w:val="20"/>
                    </w:rPr>
                    <w:t>euro</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bCs/>
                      <w:sz w:val="20"/>
                      <w:lang w:eastAsia="lv-LV"/>
                    </w:rPr>
                    <w:t xml:space="preserve">Plānotais apmērs, </w:t>
                  </w:r>
                  <w:proofErr w:type="spellStart"/>
                  <w:r w:rsidR="00DE57E1" w:rsidRPr="00862050">
                    <w:rPr>
                      <w:i/>
                      <w:sz w:val="20"/>
                    </w:rPr>
                    <w:t>euro</w:t>
                  </w:r>
                  <w:proofErr w:type="spellEnd"/>
                </w:p>
              </w:tc>
            </w:tr>
            <w:tr w:rsidR="00C17E06" w:rsidRPr="00862050" w:rsidTr="00AF283F">
              <w:trPr>
                <w:trHeight w:val="315"/>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b/>
                      <w:sz w:val="20"/>
                    </w:rPr>
                  </w:pPr>
                  <w:r w:rsidRPr="00862050">
                    <w:rPr>
                      <w:rFonts w:eastAsia="Calibri"/>
                      <w:b/>
                      <w:sz w:val="20"/>
                    </w:rPr>
                    <w:t>Personas ar invaliditāti kopš bērnības</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196,30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260,80</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171,77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228,20</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Bāze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122,69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163</w:t>
                  </w:r>
                </w:p>
              </w:tc>
            </w:tr>
            <w:tr w:rsidR="00C17E06" w:rsidRPr="00862050" w:rsidTr="00AF283F">
              <w:trPr>
                <w:trHeight w:val="227"/>
                <w:jc w:val="center"/>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b/>
                      <w:sz w:val="20"/>
                    </w:rPr>
                  </w:pPr>
                  <w:r w:rsidRPr="00862050">
                    <w:rPr>
                      <w:rFonts w:eastAsia="Calibri"/>
                      <w:b/>
                      <w:sz w:val="20"/>
                    </w:rPr>
                    <w:t>Personas ar invaliditāti</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217,60</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190,40</w:t>
                  </w:r>
                </w:p>
              </w:tc>
            </w:tr>
            <w:tr w:rsidR="00C17E06" w:rsidRPr="00862050" w:rsidTr="00AF283F">
              <w:trPr>
                <w:trHeight w:val="31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III grupa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i/>
                      <w:iCs/>
                      <w:sz w:val="20"/>
                    </w:rPr>
                  </w:pPr>
                  <w:r w:rsidRPr="00862050">
                    <w:rPr>
                      <w:rFonts w:eastAsia="Calibri"/>
                      <w:i/>
                      <w:iCs/>
                      <w:sz w:val="20"/>
                    </w:rPr>
                    <w:t>Bāze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06" w:rsidRPr="00862050" w:rsidRDefault="00C17E06" w:rsidP="00AF283F">
                  <w:pPr>
                    <w:spacing w:after="0"/>
                    <w:ind w:firstLine="0"/>
                    <w:jc w:val="center"/>
                    <w:rPr>
                      <w:rFonts w:eastAsia="Calibri"/>
                      <w:sz w:val="20"/>
                    </w:rPr>
                  </w:pPr>
                  <w:r w:rsidRPr="00862050">
                    <w:rPr>
                      <w:rFonts w:eastAsia="Calibri"/>
                      <w:sz w:val="20"/>
                    </w:rPr>
                    <w:t>136</w:t>
                  </w:r>
                </w:p>
              </w:tc>
            </w:tr>
          </w:tbl>
          <w:p w:rsidR="00931942" w:rsidRDefault="00931942"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lastRenderedPageBreak/>
              <w:t>Palielinot minimālo invaliditātes pensiju apmērus, paaugstināsies pabalstu pārdzīvojušajam laulātajam apmēri invaliditātes pensijas saņēmēja nāves gadījumā. Izmaiņas skars vidēji 45 tūkst. personu mēnesī;</w:t>
            </w:r>
          </w:p>
          <w:p w:rsidR="00C17E06" w:rsidRPr="00862050"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 xml:space="preserve">palielināts atbalsts bērniem apgādnieka nāves gadījumā </w:t>
            </w:r>
            <w:r w:rsidR="003227DB" w:rsidRPr="00862050">
              <w:rPr>
                <w:rFonts w:ascii="Times New Roman" w:hAnsi="Times New Roman"/>
                <w:color w:val="auto"/>
                <w:sz w:val="20"/>
              </w:rPr>
              <w:t>–</w:t>
            </w:r>
            <w:r w:rsidRPr="00862050">
              <w:rPr>
                <w:rFonts w:ascii="Times New Roman" w:hAnsi="Times New Roman"/>
                <w:color w:val="auto"/>
                <w:sz w:val="20"/>
              </w:rPr>
              <w:t xml:space="preserve"> bērni līdz sešu gadu vecumam saņems 136 </w:t>
            </w:r>
            <w:proofErr w:type="spellStart"/>
            <w:r w:rsidR="00695294" w:rsidRPr="00862050">
              <w:rPr>
                <w:rFonts w:ascii="Times New Roman" w:hAnsi="Times New Roman"/>
                <w:i/>
                <w:color w:val="auto"/>
                <w:sz w:val="20"/>
              </w:rPr>
              <w:t>euro</w:t>
            </w:r>
            <w:proofErr w:type="spellEnd"/>
            <w:r w:rsidRPr="00862050">
              <w:rPr>
                <w:rFonts w:ascii="Times New Roman" w:hAnsi="Times New Roman"/>
                <w:color w:val="auto"/>
                <w:sz w:val="20"/>
              </w:rPr>
              <w:t xml:space="preserve"> </w:t>
            </w:r>
            <w:r w:rsidRPr="00862050">
              <w:rPr>
                <w:rFonts w:ascii="Times New Roman" w:eastAsia="MS PGothic" w:hAnsi="Times New Roman"/>
                <w:bCs/>
                <w:color w:val="auto"/>
                <w:kern w:val="24"/>
                <w:sz w:val="20"/>
                <w:lang w:val="lv-LV"/>
              </w:rPr>
              <w:t>(25% no ienākumu mediānas)</w:t>
            </w:r>
            <w:r w:rsidRPr="00862050">
              <w:rPr>
                <w:rFonts w:ascii="Times New Roman" w:hAnsi="Times New Roman"/>
                <w:color w:val="auto"/>
                <w:sz w:val="20"/>
              </w:rPr>
              <w:t xml:space="preserve"> pašreizējo 92,5 </w:t>
            </w:r>
            <w:proofErr w:type="spellStart"/>
            <w:r w:rsidR="00AF283F" w:rsidRPr="00862050">
              <w:rPr>
                <w:rFonts w:ascii="Times New Roman" w:hAnsi="Times New Roman"/>
                <w:i/>
                <w:color w:val="auto"/>
                <w:sz w:val="20"/>
              </w:rPr>
              <w:t>euro</w:t>
            </w:r>
            <w:proofErr w:type="spellEnd"/>
            <w:r w:rsidR="00862050">
              <w:rPr>
                <w:rFonts w:ascii="Times New Roman" w:hAnsi="Times New Roman"/>
                <w:color w:val="auto"/>
                <w:sz w:val="20"/>
              </w:rPr>
              <w:t xml:space="preserve"> vietā </w:t>
            </w:r>
            <w:r w:rsidRPr="00862050">
              <w:rPr>
                <w:rFonts w:ascii="Times New Roman" w:hAnsi="Times New Roman"/>
                <w:color w:val="auto"/>
                <w:sz w:val="20"/>
              </w:rPr>
              <w:t xml:space="preserve">vai 106,72 </w:t>
            </w:r>
            <w:proofErr w:type="spellStart"/>
            <w:r w:rsidR="00AF283F" w:rsidRPr="00862050">
              <w:rPr>
                <w:rFonts w:ascii="Times New Roman" w:hAnsi="Times New Roman"/>
                <w:i/>
                <w:color w:val="auto"/>
                <w:sz w:val="20"/>
              </w:rPr>
              <w:t>euro</w:t>
            </w:r>
            <w:proofErr w:type="spellEnd"/>
            <w:r w:rsidRPr="00862050">
              <w:rPr>
                <w:rFonts w:ascii="Times New Roman" w:hAnsi="Times New Roman"/>
                <w:color w:val="auto"/>
                <w:sz w:val="20"/>
              </w:rPr>
              <w:t xml:space="preserve"> vietā bērniem ar invaliditāti kopš bērnības, savukārt bērni no septiņu gadu vecuma apgādnieka nāves gadījumā saņems 163 </w:t>
            </w:r>
            <w:proofErr w:type="spellStart"/>
            <w:r w:rsidR="00AF283F" w:rsidRPr="00862050">
              <w:rPr>
                <w:rFonts w:ascii="Times New Roman" w:hAnsi="Times New Roman"/>
                <w:i/>
                <w:color w:val="auto"/>
                <w:sz w:val="20"/>
              </w:rPr>
              <w:t>euro</w:t>
            </w:r>
            <w:proofErr w:type="spellEnd"/>
            <w:r w:rsidRPr="00862050">
              <w:rPr>
                <w:rFonts w:ascii="Times New Roman" w:hAnsi="Times New Roman"/>
                <w:color w:val="auto"/>
                <w:sz w:val="20"/>
              </w:rPr>
              <w:t xml:space="preserve"> </w:t>
            </w:r>
            <w:r w:rsidRPr="00862050">
              <w:rPr>
                <w:rFonts w:ascii="Times New Roman" w:eastAsia="MS PGothic" w:hAnsi="Times New Roman"/>
                <w:bCs/>
                <w:color w:val="auto"/>
                <w:kern w:val="24"/>
                <w:sz w:val="20"/>
                <w:lang w:val="lv-LV"/>
              </w:rPr>
              <w:t>(30% no ienākumu mediānas)</w:t>
            </w:r>
            <w:r w:rsidRPr="00862050">
              <w:rPr>
                <w:rFonts w:ascii="Times New Roman" w:hAnsi="Times New Roman"/>
                <w:color w:val="auto"/>
                <w:sz w:val="20"/>
              </w:rPr>
              <w:t xml:space="preserve"> pašreizējo 111 </w:t>
            </w:r>
            <w:proofErr w:type="spellStart"/>
            <w:r w:rsidR="00AF283F" w:rsidRPr="00862050">
              <w:rPr>
                <w:rFonts w:ascii="Times New Roman" w:hAnsi="Times New Roman"/>
                <w:i/>
                <w:color w:val="auto"/>
                <w:sz w:val="20"/>
              </w:rPr>
              <w:t>euro</w:t>
            </w:r>
            <w:proofErr w:type="spellEnd"/>
            <w:r w:rsidRPr="00862050">
              <w:rPr>
                <w:rFonts w:ascii="Times New Roman" w:hAnsi="Times New Roman"/>
                <w:color w:val="auto"/>
                <w:sz w:val="20"/>
              </w:rPr>
              <w:t xml:space="preserve"> vietā;</w:t>
            </w:r>
          </w:p>
          <w:p w:rsidR="00C17E06" w:rsidRPr="00862050" w:rsidRDefault="00C17E06" w:rsidP="00DF7139">
            <w:pPr>
              <w:pStyle w:val="ListParagraph"/>
              <w:numPr>
                <w:ilvl w:val="0"/>
                <w:numId w:val="15"/>
              </w:numPr>
              <w:shd w:val="clear" w:color="auto" w:fill="FFFFFF"/>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 xml:space="preserve">paaugstināts valsts sociālā nodrošinājuma pabalsta apmērs senioriem un cilvēkiem ar invaliditāti: </w:t>
            </w:r>
          </w:p>
          <w:tbl>
            <w:tblPr>
              <w:tblW w:w="8737"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blCellMar>
                <w:left w:w="150" w:type="dxa"/>
                <w:right w:w="150" w:type="dxa"/>
              </w:tblCellMar>
              <w:tblLook w:val="04A0" w:firstRow="1" w:lastRow="0" w:firstColumn="1" w:lastColumn="0" w:noHBand="0" w:noVBand="1"/>
            </w:tblPr>
            <w:tblGrid>
              <w:gridCol w:w="941"/>
              <w:gridCol w:w="1559"/>
              <w:gridCol w:w="1265"/>
              <w:gridCol w:w="1712"/>
              <w:gridCol w:w="3260"/>
            </w:tblGrid>
            <w:tr w:rsidR="00C17E06" w:rsidRPr="00862050" w:rsidTr="00BD1DA6">
              <w:trPr>
                <w:trHeight w:val="560"/>
                <w:jc w:val="center"/>
              </w:trPr>
              <w:tc>
                <w:tcPr>
                  <w:tcW w:w="941"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 </w:t>
                  </w:r>
                </w:p>
              </w:tc>
              <w:tc>
                <w:tcPr>
                  <w:tcW w:w="1559"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proofErr w:type="spellStart"/>
                  <w:r w:rsidRPr="00862050">
                    <w:rPr>
                      <w:sz w:val="20"/>
                      <w:lang w:eastAsia="lv-LV"/>
                    </w:rPr>
                    <w:t>Koef</w:t>
                  </w:r>
                  <w:proofErr w:type="spellEnd"/>
                  <w:r w:rsidRPr="00862050">
                    <w:rPr>
                      <w:sz w:val="20"/>
                      <w:lang w:eastAsia="lv-LV"/>
                    </w:rPr>
                    <w:t>.</w:t>
                  </w:r>
                </w:p>
              </w:tc>
              <w:tc>
                <w:tcPr>
                  <w:tcW w:w="1265"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 xml:space="preserve">Esošais apmērs, </w:t>
                  </w:r>
                  <w:proofErr w:type="spellStart"/>
                  <w:r w:rsidR="00DE57E1" w:rsidRPr="00862050">
                    <w:rPr>
                      <w:i/>
                      <w:sz w:val="20"/>
                    </w:rPr>
                    <w:t>euro</w:t>
                  </w:r>
                  <w:proofErr w:type="spellEnd"/>
                </w:p>
              </w:tc>
              <w:tc>
                <w:tcPr>
                  <w:tcW w:w="1712"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 xml:space="preserve">Plānotais apmērs strādājošiem, </w:t>
                  </w:r>
                  <w:proofErr w:type="spellStart"/>
                  <w:r w:rsidR="00DE57E1" w:rsidRPr="00862050">
                    <w:rPr>
                      <w:i/>
                      <w:sz w:val="20"/>
                    </w:rPr>
                    <w:t>euro</w:t>
                  </w:r>
                  <w:proofErr w:type="spellEnd"/>
                </w:p>
              </w:tc>
              <w:tc>
                <w:tcPr>
                  <w:tcW w:w="3260"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 xml:space="preserve">Plānotais apmērs nestrādājošiem, </w:t>
                  </w:r>
                  <w:proofErr w:type="spellStart"/>
                  <w:r w:rsidR="00DE57E1" w:rsidRPr="00862050">
                    <w:rPr>
                      <w:i/>
                      <w:sz w:val="20"/>
                    </w:rPr>
                    <w:t>euro</w:t>
                  </w:r>
                  <w:proofErr w:type="spellEnd"/>
                  <w:r w:rsidRPr="00862050">
                    <w:rPr>
                      <w:sz w:val="20"/>
                      <w:lang w:eastAsia="lv-LV"/>
                    </w:rPr>
                    <w:t xml:space="preserve"> (+30% piemaksa I gr., +20% II gr.)</w:t>
                  </w:r>
                </w:p>
              </w:tc>
            </w:tr>
            <w:tr w:rsidR="00C17E06" w:rsidRPr="00862050" w:rsidTr="00BD1DA6">
              <w:trPr>
                <w:trHeight w:val="15"/>
                <w:jc w:val="center"/>
              </w:trPr>
              <w:tc>
                <w:tcPr>
                  <w:tcW w:w="8737" w:type="dxa"/>
                  <w:gridSpan w:val="5"/>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b/>
                      <w:sz w:val="20"/>
                      <w:lang w:eastAsia="lv-LV"/>
                    </w:rPr>
                  </w:pPr>
                  <w:r w:rsidRPr="00862050">
                    <w:rPr>
                      <w:b/>
                      <w:sz w:val="20"/>
                      <w:lang w:eastAsia="lv-LV"/>
                    </w:rPr>
                    <w:t> personas ar invaliditāti</w:t>
                  </w:r>
                </w:p>
              </w:tc>
            </w:tr>
            <w:tr w:rsidR="00C17E06" w:rsidRPr="00862050" w:rsidTr="00BD1DA6">
              <w:trPr>
                <w:trHeight w:val="15"/>
                <w:jc w:val="center"/>
              </w:trPr>
              <w:tc>
                <w:tcPr>
                  <w:tcW w:w="941"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 grupa</w:t>
                  </w:r>
                </w:p>
              </w:tc>
              <w:tc>
                <w:tcPr>
                  <w:tcW w:w="1559"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1,3 (2020.g.) 1,4 (ar 2021.g)</w:t>
                  </w:r>
                </w:p>
              </w:tc>
              <w:tc>
                <w:tcPr>
                  <w:tcW w:w="1265"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104</w:t>
                  </w:r>
                </w:p>
              </w:tc>
              <w:tc>
                <w:tcPr>
                  <w:tcW w:w="1712"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152,60 (+48,60)</w:t>
                  </w:r>
                </w:p>
              </w:tc>
              <w:tc>
                <w:tcPr>
                  <w:tcW w:w="3260"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198,38 (+94,38)</w:t>
                  </w:r>
                </w:p>
              </w:tc>
            </w:tr>
            <w:tr w:rsidR="00C17E06" w:rsidRPr="00862050" w:rsidTr="00BD1DA6">
              <w:trPr>
                <w:trHeight w:val="15"/>
                <w:jc w:val="center"/>
              </w:trPr>
              <w:tc>
                <w:tcPr>
                  <w:tcW w:w="941"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II grupa</w:t>
                  </w:r>
                </w:p>
              </w:tc>
              <w:tc>
                <w:tcPr>
                  <w:tcW w:w="1559"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1,2</w:t>
                  </w:r>
                </w:p>
              </w:tc>
              <w:tc>
                <w:tcPr>
                  <w:tcW w:w="1265"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96</w:t>
                  </w:r>
                </w:p>
              </w:tc>
              <w:tc>
                <w:tcPr>
                  <w:tcW w:w="1712"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130,80  (+34,80)</w:t>
                  </w:r>
                </w:p>
              </w:tc>
              <w:tc>
                <w:tcPr>
                  <w:tcW w:w="3260"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156,96  (+60,96)</w:t>
                  </w:r>
                </w:p>
              </w:tc>
            </w:tr>
            <w:tr w:rsidR="00C17E06" w:rsidRPr="00862050" w:rsidTr="00BD1DA6">
              <w:trPr>
                <w:trHeight w:val="15"/>
                <w:jc w:val="center"/>
              </w:trPr>
              <w:tc>
                <w:tcPr>
                  <w:tcW w:w="941"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III grupa</w:t>
                  </w:r>
                </w:p>
              </w:tc>
              <w:tc>
                <w:tcPr>
                  <w:tcW w:w="1559"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Bāze</w:t>
                  </w:r>
                </w:p>
              </w:tc>
              <w:tc>
                <w:tcPr>
                  <w:tcW w:w="1265"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80</w:t>
                  </w:r>
                </w:p>
              </w:tc>
              <w:tc>
                <w:tcPr>
                  <w:tcW w:w="4972" w:type="dxa"/>
                  <w:gridSpan w:val="2"/>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109  (+29)</w:t>
                  </w:r>
                </w:p>
              </w:tc>
            </w:tr>
            <w:tr w:rsidR="00C17E06" w:rsidRPr="00862050" w:rsidTr="00BD1DA6">
              <w:trPr>
                <w:trHeight w:val="15"/>
                <w:jc w:val="center"/>
              </w:trPr>
              <w:tc>
                <w:tcPr>
                  <w:tcW w:w="8737" w:type="dxa"/>
                  <w:gridSpan w:val="5"/>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b/>
                      <w:sz w:val="20"/>
                      <w:lang w:eastAsia="lv-LV"/>
                    </w:rPr>
                  </w:pPr>
                  <w:r w:rsidRPr="00862050">
                    <w:rPr>
                      <w:b/>
                      <w:sz w:val="20"/>
                      <w:lang w:eastAsia="lv-LV"/>
                    </w:rPr>
                    <w:t>personas ar invaliditāti kopš bērnības</w:t>
                  </w:r>
                </w:p>
              </w:tc>
            </w:tr>
            <w:tr w:rsidR="00C17E06" w:rsidRPr="00862050" w:rsidTr="00BD1DA6">
              <w:trPr>
                <w:trHeight w:val="15"/>
                <w:jc w:val="center"/>
              </w:trPr>
              <w:tc>
                <w:tcPr>
                  <w:tcW w:w="941"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 grupa</w:t>
                  </w:r>
                </w:p>
              </w:tc>
              <w:tc>
                <w:tcPr>
                  <w:tcW w:w="1559"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1,3 (2020.g), 1,4 (ar 2021.g)</w:t>
                  </w:r>
                </w:p>
              </w:tc>
              <w:tc>
                <w:tcPr>
                  <w:tcW w:w="1265"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159,50</w:t>
                  </w:r>
                </w:p>
              </w:tc>
              <w:tc>
                <w:tcPr>
                  <w:tcW w:w="1712"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190,40 (+30,90)</w:t>
                  </w:r>
                </w:p>
              </w:tc>
              <w:tc>
                <w:tcPr>
                  <w:tcW w:w="3260"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247,52 (+88,02)</w:t>
                  </w:r>
                </w:p>
              </w:tc>
            </w:tr>
            <w:tr w:rsidR="00C17E06" w:rsidRPr="00862050" w:rsidTr="00BD1DA6">
              <w:trPr>
                <w:trHeight w:val="15"/>
                <w:jc w:val="center"/>
              </w:trPr>
              <w:tc>
                <w:tcPr>
                  <w:tcW w:w="941"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II grupa</w:t>
                  </w:r>
                </w:p>
              </w:tc>
              <w:tc>
                <w:tcPr>
                  <w:tcW w:w="1559"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1,2</w:t>
                  </w:r>
                </w:p>
              </w:tc>
              <w:tc>
                <w:tcPr>
                  <w:tcW w:w="1265"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147,23</w:t>
                  </w:r>
                </w:p>
              </w:tc>
              <w:tc>
                <w:tcPr>
                  <w:tcW w:w="1712"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163,20 (+15,97)</w:t>
                  </w:r>
                </w:p>
              </w:tc>
              <w:tc>
                <w:tcPr>
                  <w:tcW w:w="3260"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195,84 (+48,61)</w:t>
                  </w:r>
                </w:p>
              </w:tc>
            </w:tr>
            <w:tr w:rsidR="00C17E06" w:rsidRPr="00862050" w:rsidTr="00BD1DA6">
              <w:trPr>
                <w:trHeight w:val="15"/>
                <w:jc w:val="center"/>
              </w:trPr>
              <w:tc>
                <w:tcPr>
                  <w:tcW w:w="941"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III grupa</w:t>
                  </w:r>
                </w:p>
              </w:tc>
              <w:tc>
                <w:tcPr>
                  <w:tcW w:w="1559"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rPr>
                      <w:sz w:val="20"/>
                      <w:lang w:eastAsia="lv-LV"/>
                    </w:rPr>
                  </w:pPr>
                  <w:r w:rsidRPr="00862050">
                    <w:rPr>
                      <w:sz w:val="20"/>
                      <w:lang w:eastAsia="lv-LV"/>
                    </w:rPr>
                    <w:t>Bāze</w:t>
                  </w:r>
                </w:p>
              </w:tc>
              <w:tc>
                <w:tcPr>
                  <w:tcW w:w="1265" w:type="dxa"/>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122,69</w:t>
                  </w:r>
                </w:p>
              </w:tc>
              <w:tc>
                <w:tcPr>
                  <w:tcW w:w="4972" w:type="dxa"/>
                  <w:gridSpan w:val="2"/>
                  <w:shd w:val="clear" w:color="auto" w:fill="DBE5F1" w:themeFill="accent1" w:themeFillTint="33"/>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136 (+13,31)</w:t>
                  </w:r>
                </w:p>
              </w:tc>
            </w:tr>
            <w:tr w:rsidR="00C17E06" w:rsidRPr="00862050" w:rsidTr="00BD1DA6">
              <w:trPr>
                <w:trHeight w:val="15"/>
                <w:jc w:val="center"/>
              </w:trPr>
              <w:tc>
                <w:tcPr>
                  <w:tcW w:w="2500" w:type="dxa"/>
                  <w:gridSpan w:val="2"/>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rPr>
                      <w:b/>
                      <w:sz w:val="20"/>
                      <w:lang w:eastAsia="lv-LV"/>
                    </w:rPr>
                  </w:pPr>
                  <w:r w:rsidRPr="00862050">
                    <w:rPr>
                      <w:b/>
                      <w:sz w:val="20"/>
                      <w:lang w:eastAsia="lv-LV"/>
                    </w:rPr>
                    <w:t>Personas pēc pensijas vecuma sasniegšanas</w:t>
                  </w:r>
                </w:p>
              </w:tc>
              <w:tc>
                <w:tcPr>
                  <w:tcW w:w="1265" w:type="dxa"/>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64,03</w:t>
                  </w:r>
                </w:p>
              </w:tc>
              <w:tc>
                <w:tcPr>
                  <w:tcW w:w="4972" w:type="dxa"/>
                  <w:gridSpan w:val="2"/>
                  <w:shd w:val="clear" w:color="auto" w:fill="FFFFFF"/>
                  <w:tcMar>
                    <w:top w:w="90" w:type="dxa"/>
                    <w:left w:w="90" w:type="dxa"/>
                    <w:bottom w:w="90" w:type="dxa"/>
                    <w:right w:w="90" w:type="dxa"/>
                  </w:tcMar>
                  <w:vAlign w:val="center"/>
                  <w:hideMark/>
                </w:tcPr>
                <w:p w:rsidR="00C17E06" w:rsidRPr="00862050" w:rsidRDefault="00C17E06" w:rsidP="00AF283F">
                  <w:pPr>
                    <w:spacing w:after="0"/>
                    <w:ind w:firstLine="0"/>
                    <w:jc w:val="center"/>
                    <w:rPr>
                      <w:sz w:val="20"/>
                      <w:lang w:eastAsia="lv-LV"/>
                    </w:rPr>
                  </w:pPr>
                  <w:r w:rsidRPr="00862050">
                    <w:rPr>
                      <w:sz w:val="20"/>
                      <w:lang w:eastAsia="lv-LV"/>
                    </w:rPr>
                    <w:t>109</w:t>
                  </w:r>
                </w:p>
              </w:tc>
            </w:tr>
          </w:tbl>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 xml:space="preserve">Izmaiņas skars vidēji 20 tūkst. personu mēnesī. </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b/>
                <w:color w:val="auto"/>
                <w:sz w:val="20"/>
              </w:rPr>
            </w:pPr>
            <w:r w:rsidRPr="00862050">
              <w:rPr>
                <w:b/>
                <w:color w:val="auto"/>
                <w:sz w:val="20"/>
              </w:rPr>
              <w:t xml:space="preserve">Papildu nepieciešamais finansējums minimālo atbalsta sliekšņu paaugstināšanai, </w:t>
            </w:r>
            <w:r w:rsidRPr="00862050">
              <w:rPr>
                <w:b/>
                <w:i/>
                <w:color w:val="auto"/>
                <w:sz w:val="20"/>
              </w:rPr>
              <w:t>eiro</w:t>
            </w:r>
          </w:p>
          <w:tbl>
            <w:tblPr>
              <w:tblW w:w="6379"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43"/>
              <w:gridCol w:w="1418"/>
              <w:gridCol w:w="1559"/>
              <w:gridCol w:w="1559"/>
            </w:tblGrid>
            <w:tr w:rsidR="00C17E06" w:rsidRPr="00862050" w:rsidTr="00BD1DA6">
              <w:trPr>
                <w:trHeight w:val="326"/>
                <w:tblHeader/>
                <w:jc w:val="center"/>
              </w:trPr>
              <w:tc>
                <w:tcPr>
                  <w:tcW w:w="1843" w:type="dxa"/>
                  <w:shd w:val="clear" w:color="auto" w:fill="DBE5F1" w:themeFill="accent1" w:themeFillTint="33"/>
                  <w:noWrap/>
                  <w:vAlign w:val="center"/>
                  <w:hideMark/>
                </w:tcPr>
                <w:p w:rsidR="00C17E06" w:rsidRPr="00862050" w:rsidRDefault="00C17E06" w:rsidP="00AF283F">
                  <w:pPr>
                    <w:spacing w:after="0"/>
                    <w:ind w:firstLine="0"/>
                    <w:rPr>
                      <w:rFonts w:eastAsia="Calibri"/>
                      <w:sz w:val="20"/>
                    </w:rPr>
                  </w:pPr>
                </w:p>
              </w:tc>
              <w:tc>
                <w:tcPr>
                  <w:tcW w:w="1418" w:type="dxa"/>
                  <w:shd w:val="clear" w:color="auto" w:fill="DBE5F1" w:themeFill="accent1" w:themeFillTint="33"/>
                  <w:noWrap/>
                  <w:vAlign w:val="center"/>
                  <w:hideMark/>
                </w:tcPr>
                <w:p w:rsidR="00C17E06" w:rsidRPr="00862050" w:rsidRDefault="00C17E06" w:rsidP="00AF283F">
                  <w:pPr>
                    <w:spacing w:after="0"/>
                    <w:ind w:firstLine="0"/>
                    <w:jc w:val="center"/>
                    <w:rPr>
                      <w:sz w:val="20"/>
                      <w:lang w:eastAsia="lv-LV"/>
                    </w:rPr>
                  </w:pPr>
                  <w:r w:rsidRPr="00862050">
                    <w:rPr>
                      <w:sz w:val="20"/>
                      <w:lang w:eastAsia="lv-LV"/>
                    </w:rPr>
                    <w:t>2021</w:t>
                  </w:r>
                </w:p>
              </w:tc>
              <w:tc>
                <w:tcPr>
                  <w:tcW w:w="1559" w:type="dxa"/>
                  <w:shd w:val="clear" w:color="auto" w:fill="DBE5F1" w:themeFill="accent1" w:themeFillTint="33"/>
                  <w:vAlign w:val="center"/>
                  <w:hideMark/>
                </w:tcPr>
                <w:p w:rsidR="00C17E06" w:rsidRPr="00862050" w:rsidRDefault="00C17E06" w:rsidP="00AF283F">
                  <w:pPr>
                    <w:spacing w:after="0"/>
                    <w:ind w:firstLine="0"/>
                    <w:jc w:val="center"/>
                    <w:rPr>
                      <w:sz w:val="20"/>
                      <w:lang w:eastAsia="lv-LV"/>
                    </w:rPr>
                  </w:pPr>
                  <w:r w:rsidRPr="00862050">
                    <w:rPr>
                      <w:sz w:val="20"/>
                      <w:lang w:eastAsia="lv-LV"/>
                    </w:rPr>
                    <w:t>2022</w:t>
                  </w:r>
                </w:p>
              </w:tc>
              <w:tc>
                <w:tcPr>
                  <w:tcW w:w="1559" w:type="dxa"/>
                  <w:shd w:val="clear" w:color="auto" w:fill="DBE5F1" w:themeFill="accent1" w:themeFillTint="33"/>
                  <w:vAlign w:val="center"/>
                  <w:hideMark/>
                </w:tcPr>
                <w:p w:rsidR="00C17E06" w:rsidRPr="00862050" w:rsidRDefault="00C17E06" w:rsidP="00AF283F">
                  <w:pPr>
                    <w:spacing w:after="0"/>
                    <w:ind w:firstLine="0"/>
                    <w:jc w:val="center"/>
                    <w:rPr>
                      <w:sz w:val="20"/>
                      <w:lang w:eastAsia="lv-LV"/>
                    </w:rPr>
                  </w:pPr>
                  <w:r w:rsidRPr="00862050">
                    <w:rPr>
                      <w:sz w:val="20"/>
                      <w:lang w:eastAsia="lv-LV"/>
                    </w:rPr>
                    <w:t>2023</w:t>
                  </w:r>
                </w:p>
              </w:tc>
            </w:tr>
            <w:tr w:rsidR="00C17E06" w:rsidRPr="00862050" w:rsidTr="00BD1DA6">
              <w:trPr>
                <w:trHeight w:val="20"/>
                <w:tblHeader/>
                <w:jc w:val="center"/>
              </w:trPr>
              <w:tc>
                <w:tcPr>
                  <w:tcW w:w="1843" w:type="dxa"/>
                  <w:shd w:val="clear" w:color="auto" w:fill="auto"/>
                  <w:noWrap/>
                  <w:vAlign w:val="center"/>
                </w:tcPr>
                <w:p w:rsidR="00C17E06" w:rsidRPr="00862050" w:rsidRDefault="00C17E06" w:rsidP="00AF283F">
                  <w:pPr>
                    <w:spacing w:after="0"/>
                    <w:ind w:firstLine="0"/>
                    <w:rPr>
                      <w:rFonts w:eastAsia="Calibri"/>
                      <w:sz w:val="20"/>
                    </w:rPr>
                  </w:pPr>
                  <w:r w:rsidRPr="00862050">
                    <w:rPr>
                      <w:rFonts w:eastAsia="Calibri"/>
                      <w:sz w:val="20"/>
                    </w:rPr>
                    <w:t>Pamatbudžets</w:t>
                  </w:r>
                </w:p>
              </w:tc>
              <w:tc>
                <w:tcPr>
                  <w:tcW w:w="1418" w:type="dxa"/>
                  <w:shd w:val="clear" w:color="auto" w:fill="auto"/>
                  <w:noWrap/>
                  <w:vAlign w:val="center"/>
                </w:tcPr>
                <w:p w:rsidR="00C17E06" w:rsidRPr="00862050" w:rsidRDefault="00C17E06" w:rsidP="00AF283F">
                  <w:pPr>
                    <w:spacing w:after="0"/>
                    <w:ind w:firstLine="0"/>
                    <w:jc w:val="center"/>
                    <w:rPr>
                      <w:rFonts w:eastAsia="Calibri"/>
                      <w:sz w:val="20"/>
                    </w:rPr>
                  </w:pPr>
                  <w:r w:rsidRPr="00862050">
                    <w:rPr>
                      <w:rFonts w:eastAsia="Calibri"/>
                      <w:sz w:val="20"/>
                    </w:rPr>
                    <w:t>70</w:t>
                  </w:r>
                  <w:r w:rsidR="00AB2E02">
                    <w:rPr>
                      <w:rFonts w:eastAsia="Calibri"/>
                      <w:sz w:val="20"/>
                    </w:rPr>
                    <w:t> </w:t>
                  </w:r>
                  <w:r w:rsidRPr="00862050">
                    <w:rPr>
                      <w:rFonts w:eastAsia="Calibri"/>
                      <w:sz w:val="20"/>
                    </w:rPr>
                    <w:t>662</w:t>
                  </w:r>
                  <w:r w:rsidR="00AB2E02" w:rsidRPr="00862050">
                    <w:rPr>
                      <w:rFonts w:eastAsia="Calibri"/>
                      <w:sz w:val="20"/>
                    </w:rPr>
                    <w:t> </w:t>
                  </w:r>
                  <w:r w:rsidRPr="00862050">
                    <w:rPr>
                      <w:rFonts w:eastAsia="Calibri"/>
                      <w:sz w:val="20"/>
                    </w:rPr>
                    <w:t>394</w:t>
                  </w:r>
                </w:p>
              </w:tc>
              <w:tc>
                <w:tcPr>
                  <w:tcW w:w="1559" w:type="dxa"/>
                  <w:shd w:val="clear" w:color="auto" w:fill="auto"/>
                  <w:vAlign w:val="center"/>
                </w:tcPr>
                <w:p w:rsidR="00C17E06" w:rsidRPr="00862050" w:rsidRDefault="00C17E06" w:rsidP="00AF283F">
                  <w:pPr>
                    <w:spacing w:after="0"/>
                    <w:ind w:firstLine="0"/>
                    <w:jc w:val="center"/>
                    <w:rPr>
                      <w:rFonts w:eastAsia="Calibri"/>
                      <w:sz w:val="20"/>
                    </w:rPr>
                  </w:pPr>
                  <w:r w:rsidRPr="00862050">
                    <w:rPr>
                      <w:rFonts w:eastAsia="Calibri"/>
                      <w:sz w:val="20"/>
                    </w:rPr>
                    <w:t>70</w:t>
                  </w:r>
                  <w:r w:rsidR="00AB2E02">
                    <w:rPr>
                      <w:rFonts w:eastAsia="Calibri"/>
                      <w:sz w:val="20"/>
                    </w:rPr>
                    <w:t> </w:t>
                  </w:r>
                  <w:r w:rsidRPr="00862050">
                    <w:rPr>
                      <w:rFonts w:eastAsia="Calibri"/>
                      <w:sz w:val="20"/>
                    </w:rPr>
                    <w:t>998</w:t>
                  </w:r>
                  <w:r w:rsidR="00AB2E02" w:rsidRPr="00862050">
                    <w:rPr>
                      <w:rFonts w:eastAsia="Calibri"/>
                      <w:sz w:val="20"/>
                    </w:rPr>
                    <w:t> </w:t>
                  </w:r>
                  <w:r w:rsidRPr="00862050">
                    <w:rPr>
                      <w:rFonts w:eastAsia="Calibri"/>
                      <w:sz w:val="20"/>
                    </w:rPr>
                    <w:t>851</w:t>
                  </w:r>
                </w:p>
              </w:tc>
              <w:tc>
                <w:tcPr>
                  <w:tcW w:w="1559" w:type="dxa"/>
                  <w:shd w:val="clear" w:color="auto" w:fill="auto"/>
                  <w:vAlign w:val="center"/>
                </w:tcPr>
                <w:p w:rsidR="00C17E06" w:rsidRPr="00862050" w:rsidRDefault="00C17E06" w:rsidP="00AF283F">
                  <w:pPr>
                    <w:spacing w:after="0"/>
                    <w:ind w:firstLine="0"/>
                    <w:jc w:val="center"/>
                    <w:rPr>
                      <w:rFonts w:eastAsia="Calibri"/>
                      <w:sz w:val="20"/>
                    </w:rPr>
                  </w:pPr>
                  <w:r w:rsidRPr="00862050">
                    <w:rPr>
                      <w:rFonts w:eastAsia="Calibri"/>
                      <w:sz w:val="20"/>
                    </w:rPr>
                    <w:t>71</w:t>
                  </w:r>
                  <w:r w:rsidR="00AB2E02">
                    <w:rPr>
                      <w:rFonts w:eastAsia="Calibri"/>
                      <w:sz w:val="20"/>
                    </w:rPr>
                    <w:t> </w:t>
                  </w:r>
                  <w:r w:rsidRPr="00862050">
                    <w:rPr>
                      <w:rFonts w:eastAsia="Calibri"/>
                      <w:sz w:val="20"/>
                    </w:rPr>
                    <w:t>014</w:t>
                  </w:r>
                  <w:r w:rsidR="00AB2E02" w:rsidRPr="00862050">
                    <w:rPr>
                      <w:rFonts w:eastAsia="Calibri"/>
                      <w:sz w:val="20"/>
                    </w:rPr>
                    <w:t> </w:t>
                  </w:r>
                  <w:r w:rsidRPr="00862050">
                    <w:rPr>
                      <w:rFonts w:eastAsia="Calibri"/>
                      <w:sz w:val="20"/>
                    </w:rPr>
                    <w:t>751</w:t>
                  </w:r>
                </w:p>
              </w:tc>
            </w:tr>
            <w:tr w:rsidR="00C17E06" w:rsidRPr="00862050" w:rsidTr="00BD1DA6">
              <w:trPr>
                <w:trHeight w:val="20"/>
                <w:tblHeader/>
                <w:jc w:val="center"/>
              </w:trPr>
              <w:tc>
                <w:tcPr>
                  <w:tcW w:w="1843" w:type="dxa"/>
                  <w:shd w:val="clear" w:color="auto" w:fill="auto"/>
                  <w:noWrap/>
                  <w:vAlign w:val="center"/>
                </w:tcPr>
                <w:p w:rsidR="00C17E06" w:rsidRPr="00862050" w:rsidRDefault="00C17E06" w:rsidP="00AF283F">
                  <w:pPr>
                    <w:spacing w:after="0"/>
                    <w:ind w:firstLine="0"/>
                    <w:rPr>
                      <w:rFonts w:eastAsia="Calibri"/>
                      <w:sz w:val="20"/>
                    </w:rPr>
                  </w:pPr>
                  <w:r w:rsidRPr="00862050">
                    <w:rPr>
                      <w:rFonts w:eastAsia="Calibri"/>
                      <w:sz w:val="20"/>
                    </w:rPr>
                    <w:t>Pašvaldību budžets</w:t>
                  </w:r>
                </w:p>
              </w:tc>
              <w:tc>
                <w:tcPr>
                  <w:tcW w:w="1418" w:type="dxa"/>
                  <w:shd w:val="clear" w:color="auto" w:fill="auto"/>
                  <w:noWrap/>
                  <w:vAlign w:val="center"/>
                </w:tcPr>
                <w:p w:rsidR="00C17E06" w:rsidRPr="00862050" w:rsidRDefault="00C17E06" w:rsidP="00AF283F">
                  <w:pPr>
                    <w:spacing w:after="0"/>
                    <w:ind w:firstLine="0"/>
                    <w:jc w:val="center"/>
                    <w:rPr>
                      <w:rFonts w:eastAsia="Calibri"/>
                      <w:sz w:val="20"/>
                    </w:rPr>
                  </w:pPr>
                  <w:r w:rsidRPr="00862050">
                    <w:rPr>
                      <w:rFonts w:eastAsia="Calibri"/>
                      <w:sz w:val="20"/>
                    </w:rPr>
                    <w:t>25</w:t>
                  </w:r>
                  <w:r w:rsidR="00AB2E02">
                    <w:rPr>
                      <w:rFonts w:eastAsia="Calibri"/>
                      <w:sz w:val="20"/>
                    </w:rPr>
                    <w:t> </w:t>
                  </w:r>
                  <w:r w:rsidRPr="00862050">
                    <w:rPr>
                      <w:rFonts w:eastAsia="Calibri"/>
                      <w:sz w:val="20"/>
                    </w:rPr>
                    <w:t>041</w:t>
                  </w:r>
                  <w:r w:rsidR="00AB2E02" w:rsidRPr="00862050">
                    <w:rPr>
                      <w:rFonts w:eastAsia="Calibri"/>
                      <w:sz w:val="20"/>
                    </w:rPr>
                    <w:t> </w:t>
                  </w:r>
                  <w:r w:rsidRPr="00862050">
                    <w:rPr>
                      <w:rFonts w:eastAsia="Calibri"/>
                      <w:sz w:val="20"/>
                    </w:rPr>
                    <w:t>101</w:t>
                  </w:r>
                </w:p>
              </w:tc>
              <w:tc>
                <w:tcPr>
                  <w:tcW w:w="1559" w:type="dxa"/>
                  <w:shd w:val="clear" w:color="auto" w:fill="auto"/>
                  <w:vAlign w:val="center"/>
                </w:tcPr>
                <w:p w:rsidR="00C17E06" w:rsidRPr="00862050" w:rsidRDefault="00C17E06" w:rsidP="00AF283F">
                  <w:pPr>
                    <w:spacing w:after="0"/>
                    <w:ind w:firstLine="0"/>
                    <w:jc w:val="center"/>
                    <w:rPr>
                      <w:rFonts w:eastAsia="Calibri"/>
                      <w:sz w:val="20"/>
                    </w:rPr>
                  </w:pPr>
                  <w:r w:rsidRPr="00862050">
                    <w:rPr>
                      <w:rFonts w:eastAsia="Calibri"/>
                      <w:sz w:val="20"/>
                    </w:rPr>
                    <w:t>23</w:t>
                  </w:r>
                  <w:r w:rsidR="00AB2E02">
                    <w:rPr>
                      <w:rFonts w:eastAsia="Calibri"/>
                      <w:sz w:val="20"/>
                    </w:rPr>
                    <w:t> </w:t>
                  </w:r>
                  <w:r w:rsidRPr="00862050">
                    <w:rPr>
                      <w:rFonts w:eastAsia="Calibri"/>
                      <w:sz w:val="20"/>
                    </w:rPr>
                    <w:t>060</w:t>
                  </w:r>
                  <w:r w:rsidR="00AB2E02" w:rsidRPr="00862050">
                    <w:rPr>
                      <w:rFonts w:eastAsia="Calibri"/>
                      <w:sz w:val="20"/>
                    </w:rPr>
                    <w:t> </w:t>
                  </w:r>
                  <w:r w:rsidRPr="00862050">
                    <w:rPr>
                      <w:rFonts w:eastAsia="Calibri"/>
                      <w:sz w:val="20"/>
                    </w:rPr>
                    <w:t>234</w:t>
                  </w:r>
                </w:p>
              </w:tc>
              <w:tc>
                <w:tcPr>
                  <w:tcW w:w="1559" w:type="dxa"/>
                  <w:shd w:val="clear" w:color="auto" w:fill="auto"/>
                  <w:vAlign w:val="center"/>
                </w:tcPr>
                <w:p w:rsidR="00C17E06" w:rsidRPr="00862050" w:rsidRDefault="00C17E06" w:rsidP="00AF283F">
                  <w:pPr>
                    <w:spacing w:after="0"/>
                    <w:ind w:firstLine="0"/>
                    <w:jc w:val="center"/>
                    <w:rPr>
                      <w:rFonts w:eastAsia="Calibri"/>
                      <w:sz w:val="20"/>
                    </w:rPr>
                  </w:pPr>
                  <w:r w:rsidRPr="00862050">
                    <w:rPr>
                      <w:rFonts w:eastAsia="Calibri"/>
                      <w:sz w:val="20"/>
                    </w:rPr>
                    <w:t>21</w:t>
                  </w:r>
                  <w:r w:rsidR="00AB2E02">
                    <w:rPr>
                      <w:rFonts w:eastAsia="Calibri"/>
                      <w:sz w:val="20"/>
                    </w:rPr>
                    <w:t> </w:t>
                  </w:r>
                  <w:r w:rsidRPr="00862050">
                    <w:rPr>
                      <w:rFonts w:eastAsia="Calibri"/>
                      <w:sz w:val="20"/>
                    </w:rPr>
                    <w:t>175</w:t>
                  </w:r>
                  <w:r w:rsidR="00AB2E02" w:rsidRPr="00862050">
                    <w:rPr>
                      <w:rFonts w:eastAsia="Calibri"/>
                      <w:sz w:val="20"/>
                    </w:rPr>
                    <w:t> </w:t>
                  </w:r>
                  <w:r w:rsidRPr="00862050">
                    <w:rPr>
                      <w:rFonts w:eastAsia="Calibri"/>
                      <w:sz w:val="20"/>
                    </w:rPr>
                    <w:t>496</w:t>
                  </w:r>
                </w:p>
              </w:tc>
            </w:tr>
            <w:tr w:rsidR="00C17E06" w:rsidRPr="00862050" w:rsidTr="00BD1DA6">
              <w:trPr>
                <w:trHeight w:val="20"/>
                <w:tblHeader/>
                <w:jc w:val="center"/>
              </w:trPr>
              <w:tc>
                <w:tcPr>
                  <w:tcW w:w="1843" w:type="dxa"/>
                  <w:shd w:val="clear" w:color="auto" w:fill="DBE5F1" w:themeFill="accent1" w:themeFillTint="33"/>
                  <w:noWrap/>
                  <w:vAlign w:val="center"/>
                </w:tcPr>
                <w:p w:rsidR="00C17E06" w:rsidRPr="00862050" w:rsidRDefault="00C17E06" w:rsidP="00AF283F">
                  <w:pPr>
                    <w:spacing w:after="0"/>
                    <w:ind w:firstLine="0"/>
                    <w:rPr>
                      <w:rFonts w:eastAsia="Calibri"/>
                      <w:b/>
                      <w:sz w:val="20"/>
                    </w:rPr>
                  </w:pPr>
                  <w:r w:rsidRPr="00862050">
                    <w:rPr>
                      <w:rFonts w:eastAsia="Calibri"/>
                      <w:b/>
                      <w:sz w:val="20"/>
                    </w:rPr>
                    <w:t>Kopā</w:t>
                  </w:r>
                </w:p>
              </w:tc>
              <w:tc>
                <w:tcPr>
                  <w:tcW w:w="1418" w:type="dxa"/>
                  <w:shd w:val="clear" w:color="auto" w:fill="DBE5F1" w:themeFill="accent1" w:themeFillTint="33"/>
                  <w:noWrap/>
                  <w:vAlign w:val="center"/>
                </w:tcPr>
                <w:p w:rsidR="00C17E06" w:rsidRPr="00862050" w:rsidRDefault="00C17E06" w:rsidP="00AF283F">
                  <w:pPr>
                    <w:spacing w:after="0"/>
                    <w:ind w:firstLine="0"/>
                    <w:jc w:val="center"/>
                    <w:rPr>
                      <w:rFonts w:eastAsia="Calibri"/>
                      <w:b/>
                      <w:sz w:val="20"/>
                    </w:rPr>
                  </w:pPr>
                  <w:r w:rsidRPr="00862050">
                    <w:rPr>
                      <w:rFonts w:eastAsia="Calibri"/>
                      <w:b/>
                      <w:sz w:val="20"/>
                    </w:rPr>
                    <w:t>95</w:t>
                  </w:r>
                  <w:r w:rsidR="00AB2E02">
                    <w:rPr>
                      <w:rFonts w:eastAsia="Calibri"/>
                      <w:b/>
                      <w:sz w:val="20"/>
                    </w:rPr>
                    <w:t> </w:t>
                  </w:r>
                  <w:r w:rsidRPr="00862050">
                    <w:rPr>
                      <w:rFonts w:eastAsia="Calibri"/>
                      <w:b/>
                      <w:sz w:val="20"/>
                    </w:rPr>
                    <w:t>703</w:t>
                  </w:r>
                  <w:r w:rsidR="00AB2E02" w:rsidRPr="00862050">
                    <w:rPr>
                      <w:rFonts w:eastAsia="Calibri"/>
                      <w:sz w:val="20"/>
                    </w:rPr>
                    <w:t> </w:t>
                  </w:r>
                  <w:r w:rsidRPr="00862050">
                    <w:rPr>
                      <w:rFonts w:eastAsia="Calibri"/>
                      <w:b/>
                      <w:sz w:val="20"/>
                    </w:rPr>
                    <w:t>495</w:t>
                  </w:r>
                </w:p>
              </w:tc>
              <w:tc>
                <w:tcPr>
                  <w:tcW w:w="1559" w:type="dxa"/>
                  <w:shd w:val="clear" w:color="auto" w:fill="DBE5F1" w:themeFill="accent1" w:themeFillTint="33"/>
                  <w:vAlign w:val="center"/>
                </w:tcPr>
                <w:p w:rsidR="00C17E06" w:rsidRPr="00862050" w:rsidRDefault="00C17E06" w:rsidP="00AF283F">
                  <w:pPr>
                    <w:spacing w:after="0"/>
                    <w:ind w:firstLine="0"/>
                    <w:jc w:val="center"/>
                    <w:rPr>
                      <w:rFonts w:eastAsia="Calibri"/>
                      <w:b/>
                      <w:sz w:val="20"/>
                    </w:rPr>
                  </w:pPr>
                  <w:r w:rsidRPr="00862050">
                    <w:rPr>
                      <w:rFonts w:eastAsia="Calibri"/>
                      <w:b/>
                      <w:sz w:val="20"/>
                    </w:rPr>
                    <w:t>94</w:t>
                  </w:r>
                  <w:r w:rsidR="00AB2E02">
                    <w:rPr>
                      <w:rFonts w:eastAsia="Calibri"/>
                      <w:b/>
                      <w:sz w:val="20"/>
                    </w:rPr>
                    <w:t> </w:t>
                  </w:r>
                  <w:r w:rsidRPr="00862050">
                    <w:rPr>
                      <w:rFonts w:eastAsia="Calibri"/>
                      <w:b/>
                      <w:sz w:val="20"/>
                    </w:rPr>
                    <w:t>059</w:t>
                  </w:r>
                  <w:r w:rsidR="00AB2E02" w:rsidRPr="00862050">
                    <w:rPr>
                      <w:rFonts w:eastAsia="Calibri"/>
                      <w:sz w:val="20"/>
                    </w:rPr>
                    <w:t> </w:t>
                  </w:r>
                  <w:r w:rsidRPr="00862050">
                    <w:rPr>
                      <w:rFonts w:eastAsia="Calibri"/>
                      <w:b/>
                      <w:sz w:val="20"/>
                    </w:rPr>
                    <w:t>085</w:t>
                  </w:r>
                </w:p>
              </w:tc>
              <w:tc>
                <w:tcPr>
                  <w:tcW w:w="1559" w:type="dxa"/>
                  <w:shd w:val="clear" w:color="auto" w:fill="DBE5F1" w:themeFill="accent1" w:themeFillTint="33"/>
                  <w:vAlign w:val="center"/>
                </w:tcPr>
                <w:p w:rsidR="00C17E06" w:rsidRPr="00862050" w:rsidRDefault="00C17E06" w:rsidP="00AF283F">
                  <w:pPr>
                    <w:spacing w:after="0"/>
                    <w:ind w:firstLine="0"/>
                    <w:jc w:val="center"/>
                    <w:rPr>
                      <w:rFonts w:eastAsia="Calibri"/>
                      <w:b/>
                      <w:sz w:val="20"/>
                    </w:rPr>
                  </w:pPr>
                  <w:r w:rsidRPr="00862050">
                    <w:rPr>
                      <w:rFonts w:eastAsia="Calibri"/>
                      <w:b/>
                      <w:sz w:val="20"/>
                    </w:rPr>
                    <w:t>92</w:t>
                  </w:r>
                  <w:r w:rsidR="00AB2E02">
                    <w:rPr>
                      <w:rFonts w:eastAsia="Calibri"/>
                      <w:b/>
                      <w:sz w:val="20"/>
                    </w:rPr>
                    <w:t> </w:t>
                  </w:r>
                  <w:r w:rsidRPr="00862050">
                    <w:rPr>
                      <w:rFonts w:eastAsia="Calibri"/>
                      <w:b/>
                      <w:sz w:val="20"/>
                    </w:rPr>
                    <w:t>190</w:t>
                  </w:r>
                  <w:r w:rsidR="00AB2E02" w:rsidRPr="00862050">
                    <w:rPr>
                      <w:rFonts w:eastAsia="Calibri"/>
                      <w:sz w:val="20"/>
                    </w:rPr>
                    <w:t> </w:t>
                  </w:r>
                  <w:r w:rsidRPr="00862050">
                    <w:rPr>
                      <w:rFonts w:eastAsia="Calibri"/>
                      <w:b/>
                      <w:sz w:val="20"/>
                    </w:rPr>
                    <w:t>247</w:t>
                  </w:r>
                </w:p>
              </w:tc>
            </w:tr>
          </w:tbl>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lastRenderedPageBreak/>
              <w:t>Lai sniegtu nepieciešamo atbalstu bāreņiem un bez vecāku gādības palikušiem bērniem, uzsākot patstāvīgu dzīvu, un veicinātu iekļaušanos sabiedrībā un izglītības iegūšanu, plānots palielināt:</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 xml:space="preserve">1) vienreizējo pabalstu patstāvīgas dzīves uzsākšanai, nosakot to 40% apmērā no ienākumu mediānas, t.i. 218 </w:t>
            </w:r>
            <w:proofErr w:type="spellStart"/>
            <w:r w:rsidR="002A7B5C" w:rsidRPr="00862050">
              <w:rPr>
                <w:i/>
                <w:color w:val="auto"/>
                <w:sz w:val="20"/>
              </w:rPr>
              <w:t>euro</w:t>
            </w:r>
            <w:proofErr w:type="spellEnd"/>
            <w:r w:rsidRPr="00862050">
              <w:rPr>
                <w:color w:val="auto"/>
                <w:sz w:val="20"/>
              </w:rPr>
              <w:t xml:space="preserve"> (šobrīd </w:t>
            </w:r>
            <w:r w:rsidR="00E02718" w:rsidRPr="00862050">
              <w:rPr>
                <w:color w:val="auto"/>
                <w:sz w:val="20"/>
              </w:rPr>
              <w:t>–</w:t>
            </w:r>
            <w:r w:rsidRPr="00862050">
              <w:rPr>
                <w:color w:val="auto"/>
                <w:sz w:val="20"/>
              </w:rPr>
              <w:t xml:space="preserve"> 128,06 </w:t>
            </w:r>
            <w:proofErr w:type="spellStart"/>
            <w:r w:rsidR="002A7B5C" w:rsidRPr="00862050">
              <w:rPr>
                <w:i/>
                <w:color w:val="auto"/>
                <w:sz w:val="20"/>
              </w:rPr>
              <w:t>euro</w:t>
            </w:r>
            <w:proofErr w:type="spellEnd"/>
            <w:r w:rsidRPr="00862050">
              <w:rPr>
                <w:color w:val="auto"/>
                <w:sz w:val="20"/>
              </w:rPr>
              <w:t xml:space="preserve">,), savukārt jauniešiem ar invaliditāti kopš bērnības 60% apmērā, t.i. 327 </w:t>
            </w:r>
            <w:proofErr w:type="spellStart"/>
            <w:r w:rsidR="002A7B5C" w:rsidRPr="00862050">
              <w:rPr>
                <w:i/>
                <w:color w:val="auto"/>
                <w:sz w:val="20"/>
              </w:rPr>
              <w:t>euro</w:t>
            </w:r>
            <w:proofErr w:type="spellEnd"/>
            <w:r w:rsidRPr="00862050">
              <w:rPr>
                <w:color w:val="auto"/>
                <w:sz w:val="20"/>
              </w:rPr>
              <w:t xml:space="preserve"> (šobrīd – 245,38 </w:t>
            </w:r>
            <w:proofErr w:type="spellStart"/>
            <w:r w:rsidR="00B45773" w:rsidRPr="00862050">
              <w:rPr>
                <w:i/>
                <w:color w:val="auto"/>
                <w:sz w:val="20"/>
              </w:rPr>
              <w:t>euro</w:t>
            </w:r>
            <w:proofErr w:type="spellEnd"/>
            <w:r w:rsidRPr="00862050">
              <w:rPr>
                <w:color w:val="auto"/>
                <w:sz w:val="20"/>
              </w:rPr>
              <w:t>);</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 xml:space="preserve">2) pabalstu ikmēneša izdevumiem 20% apmērā no ienākumu mediānas, t.i. 109 </w:t>
            </w:r>
            <w:proofErr w:type="spellStart"/>
            <w:r w:rsidR="002A7B5C" w:rsidRPr="00862050">
              <w:rPr>
                <w:i/>
                <w:color w:val="auto"/>
                <w:sz w:val="20"/>
              </w:rPr>
              <w:t>euro</w:t>
            </w:r>
            <w:proofErr w:type="spellEnd"/>
            <w:r w:rsidRPr="00862050">
              <w:rPr>
                <w:color w:val="auto"/>
                <w:sz w:val="20"/>
              </w:rPr>
              <w:t xml:space="preserve"> (šobrīd - 64,03 </w:t>
            </w:r>
            <w:proofErr w:type="spellStart"/>
            <w:r w:rsidR="002A7B5C" w:rsidRPr="00862050">
              <w:rPr>
                <w:i/>
                <w:color w:val="auto"/>
                <w:sz w:val="20"/>
              </w:rPr>
              <w:t>euro</w:t>
            </w:r>
            <w:proofErr w:type="spellEnd"/>
            <w:r w:rsidRPr="00862050">
              <w:rPr>
                <w:color w:val="auto"/>
                <w:sz w:val="20"/>
              </w:rPr>
              <w:t xml:space="preserve">,), savukārt jauniešiem ar invaliditāti kopš bērnības 30% apmērā, t.i. 163 </w:t>
            </w:r>
            <w:proofErr w:type="spellStart"/>
            <w:r w:rsidR="002A7B5C" w:rsidRPr="00862050">
              <w:rPr>
                <w:i/>
                <w:color w:val="auto"/>
                <w:sz w:val="20"/>
              </w:rPr>
              <w:t>euro</w:t>
            </w:r>
            <w:proofErr w:type="spellEnd"/>
            <w:r w:rsidRPr="00862050">
              <w:rPr>
                <w:color w:val="auto"/>
                <w:sz w:val="20"/>
              </w:rPr>
              <w:t xml:space="preserve"> (šobrīd – 122,69 </w:t>
            </w:r>
            <w:proofErr w:type="spellStart"/>
            <w:r w:rsidR="002A7B5C" w:rsidRPr="00862050">
              <w:rPr>
                <w:i/>
                <w:color w:val="auto"/>
                <w:sz w:val="20"/>
              </w:rPr>
              <w:t>euro</w:t>
            </w:r>
            <w:proofErr w:type="spellEnd"/>
            <w:r w:rsidRPr="00862050">
              <w:rPr>
                <w:color w:val="auto"/>
                <w:sz w:val="20"/>
              </w:rPr>
              <w:t>);</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 xml:space="preserve">3) pabalstu sadzīves priekšmetu un mīkstā inventāra iegādei, nosakot to pilnā apmērā  un koriģējot atbilstoši inflācijas pieaugumam, t.i. 820,05 </w:t>
            </w:r>
            <w:proofErr w:type="spellStart"/>
            <w:r w:rsidR="002A7B5C" w:rsidRPr="00862050">
              <w:rPr>
                <w:i/>
                <w:color w:val="auto"/>
                <w:sz w:val="20"/>
              </w:rPr>
              <w:t>euro</w:t>
            </w:r>
            <w:proofErr w:type="spellEnd"/>
            <w:r w:rsidRPr="00862050">
              <w:rPr>
                <w:color w:val="auto"/>
                <w:sz w:val="20"/>
              </w:rPr>
              <w:t xml:space="preserve"> (šobrīd – 249,71 </w:t>
            </w:r>
            <w:proofErr w:type="spellStart"/>
            <w:r w:rsidR="002A7B5C" w:rsidRPr="00862050">
              <w:rPr>
                <w:i/>
                <w:color w:val="auto"/>
                <w:sz w:val="20"/>
              </w:rPr>
              <w:t>euro</w:t>
            </w:r>
            <w:proofErr w:type="spellEnd"/>
            <w:r w:rsidRPr="00862050">
              <w:rPr>
                <w:color w:val="auto"/>
                <w:sz w:val="20"/>
              </w:rPr>
              <w:t xml:space="preserve">). </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Papildu nepieciešamais finansējums pašvaldību budžeta</w:t>
            </w:r>
            <w:r w:rsidR="002A7B5C" w:rsidRPr="00862050">
              <w:rPr>
                <w:color w:val="auto"/>
                <w:sz w:val="20"/>
              </w:rPr>
              <w:t xml:space="preserve"> </w:t>
            </w:r>
            <w:r w:rsidR="00862050" w:rsidRPr="00862050">
              <w:rPr>
                <w:color w:val="auto"/>
                <w:sz w:val="20"/>
              </w:rPr>
              <w:t>–</w:t>
            </w:r>
            <w:r w:rsidRPr="00862050">
              <w:rPr>
                <w:color w:val="auto"/>
                <w:sz w:val="20"/>
              </w:rPr>
              <w:t xml:space="preserve"> 2021.un turpmākajos gados – 1</w:t>
            </w:r>
            <w:r w:rsidR="003227DB">
              <w:rPr>
                <w:color w:val="auto"/>
                <w:sz w:val="20"/>
              </w:rPr>
              <w:t> </w:t>
            </w:r>
            <w:r w:rsidRPr="00862050">
              <w:rPr>
                <w:color w:val="auto"/>
                <w:sz w:val="20"/>
              </w:rPr>
              <w:t>263</w:t>
            </w:r>
            <w:r w:rsidR="003227DB" w:rsidRPr="00862050">
              <w:rPr>
                <w:color w:val="auto"/>
                <w:sz w:val="20"/>
              </w:rPr>
              <w:t> </w:t>
            </w:r>
            <w:r w:rsidRPr="00862050">
              <w:rPr>
                <w:color w:val="auto"/>
                <w:sz w:val="20"/>
              </w:rPr>
              <w:t xml:space="preserve">637 </w:t>
            </w:r>
            <w:proofErr w:type="spellStart"/>
            <w:r w:rsidR="002A7B5C" w:rsidRPr="00862050">
              <w:rPr>
                <w:i/>
                <w:color w:val="auto"/>
                <w:sz w:val="20"/>
              </w:rPr>
              <w:t>euro</w:t>
            </w:r>
            <w:proofErr w:type="spellEnd"/>
            <w:r w:rsidRPr="00862050">
              <w:rPr>
                <w:color w:val="auto"/>
                <w:sz w:val="20"/>
              </w:rPr>
              <w:t>.</w:t>
            </w:r>
          </w:p>
          <w:p w:rsidR="00C17E06" w:rsidRPr="00862050"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862050">
              <w:rPr>
                <w:color w:val="auto"/>
                <w:sz w:val="20"/>
              </w:rPr>
              <w:t>Lai pilnveidotu aktīvās darba tirgus politikas pasākumu klāstu un nodrošinātu bezdarbniekiem efektīvāku atbalstu darba meklēšanā un nodrošinātu mērķētākus atbalsta pasākumus</w:t>
            </w:r>
            <w:r w:rsidR="002A7B5C" w:rsidRPr="00862050">
              <w:rPr>
                <w:color w:val="auto"/>
                <w:sz w:val="20"/>
              </w:rPr>
              <w:t>, 2020.</w:t>
            </w:r>
            <w:r w:rsidRPr="00862050">
              <w:rPr>
                <w:color w:val="auto"/>
                <w:sz w:val="20"/>
              </w:rPr>
              <w:t>gadā tika ieviesti jaun</w:t>
            </w:r>
            <w:r w:rsidR="002A7B5C" w:rsidRPr="00862050">
              <w:rPr>
                <w:color w:val="auto"/>
                <w:sz w:val="20"/>
              </w:rPr>
              <w:t>i aktīvās darba tirgus pasākumi</w:t>
            </w:r>
            <w:r w:rsidRPr="00862050">
              <w:rPr>
                <w:color w:val="auto"/>
                <w:sz w:val="20"/>
              </w:rPr>
              <w:t xml:space="preserve"> </w:t>
            </w:r>
            <w:r w:rsidR="00862050" w:rsidRPr="00862050">
              <w:rPr>
                <w:color w:val="auto"/>
                <w:sz w:val="20"/>
              </w:rPr>
              <w:t>–</w:t>
            </w:r>
            <w:r w:rsidRPr="00862050">
              <w:rPr>
                <w:color w:val="auto"/>
                <w:sz w:val="20"/>
              </w:rPr>
              <w:t xml:space="preserve"> Darbam nepieciešamo iemaņu attīstība augstākās izglītības iestādēs un Algu subsīdijas atbalsta pasākums. Tāpat ir paplašināti jau esošie atbalsta pasākumi </w:t>
            </w:r>
            <w:r w:rsidR="00862050" w:rsidRPr="00862050">
              <w:rPr>
                <w:color w:val="auto"/>
                <w:sz w:val="20"/>
              </w:rPr>
              <w:t>–</w:t>
            </w:r>
            <w:r w:rsidRPr="00862050">
              <w:rPr>
                <w:color w:val="auto"/>
                <w:sz w:val="20"/>
              </w:rPr>
              <w:t xml:space="preserve"> Algoti pagaidu sabiedriskie darbi, apmācību iespējas attālināti, kā arī mācību iespējas tiešsaistes platformās.</w:t>
            </w:r>
          </w:p>
        </w:tc>
      </w:tr>
      <w:tr w:rsidR="007F608E" w:rsidRPr="00FC531D" w:rsidTr="007C292F">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04" w:type="dxa"/>
            <w:vAlign w:val="center"/>
          </w:tcPr>
          <w:p w:rsidR="007F608E" w:rsidRPr="00FC531D" w:rsidRDefault="007F608E" w:rsidP="00283E6C">
            <w:pPr>
              <w:spacing w:after="0"/>
              <w:ind w:left="-567"/>
              <w:jc w:val="center"/>
              <w:rPr>
                <w:color w:val="000000" w:themeColor="text1"/>
                <w:sz w:val="20"/>
              </w:rPr>
            </w:pPr>
            <w:r w:rsidRPr="00FC531D">
              <w:rPr>
                <w:color w:val="000000" w:themeColor="text1"/>
                <w:sz w:val="20"/>
              </w:rPr>
              <w:lastRenderedPageBreak/>
              <w:t>3</w:t>
            </w:r>
          </w:p>
        </w:tc>
        <w:tc>
          <w:tcPr>
            <w:tcW w:w="4961" w:type="dxa"/>
          </w:tcPr>
          <w:p w:rsidR="007F608E" w:rsidRPr="00FC531D" w:rsidRDefault="007F608E" w:rsidP="00283E6C">
            <w:pPr>
              <w:pStyle w:val="ManualNumPar1"/>
              <w:spacing w:after="0"/>
              <w:ind w:left="5" w:firstLine="6"/>
              <w:cnfStyle w:val="000000100000" w:firstRow="0" w:lastRow="0" w:firstColumn="0" w:lastColumn="0" w:oddVBand="0" w:evenVBand="0" w:oddHBand="1" w:evenHBand="0" w:firstRowFirstColumn="0" w:firstRowLastColumn="0" w:lastRowFirstColumn="0" w:lastRowLastColumn="0"/>
              <w:rPr>
                <w:noProof/>
                <w:color w:val="000000" w:themeColor="text1"/>
                <w:sz w:val="20"/>
                <w:szCs w:val="20"/>
              </w:rPr>
            </w:pPr>
            <w:r w:rsidRPr="00FC531D">
              <w:rPr>
                <w:noProof/>
                <w:color w:val="000000" w:themeColor="text1"/>
                <w:sz w:val="20"/>
                <w:szCs w:val="20"/>
              </w:rPr>
              <w:t xml:space="preserve">Nodrošināt likviditātes atbalsta pieejamību uzņēmumiem, jo īpaši mazajiem un vidējiem uzņēmumiem. Pasteidzināt labā sagatavotībās stadijā esošo publisko investīciju projektu īstenošanu un rosināt privātās investīcijas, lai sekmētu ekonomikas atlabšanu. Virzīt investīcijas uz zaļo pārkārtošanos un digitālo pāreju, jo īpaši uz pētniecību un inovāciju, tīru un efektīvu enerģijas ražošanu un izmantošanu, ilgtspējīgu transportu un digitālo infrastruktūru. </w:t>
            </w:r>
          </w:p>
        </w:tc>
        <w:tc>
          <w:tcPr>
            <w:tcW w:w="8931" w:type="dxa"/>
          </w:tcPr>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83E6C">
              <w:rPr>
                <w:color w:val="000000" w:themeColor="text1"/>
                <w:sz w:val="20"/>
              </w:rPr>
              <w:t>Detalizēta informācija par pasākumiem minētajās jomās ir atspoguļota 2020.gada Progresa ziņojumā par Latvijas nacionālās reformu programmas īstenošanu.</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83E6C">
              <w:rPr>
                <w:color w:val="000000" w:themeColor="text1"/>
                <w:sz w:val="20"/>
              </w:rPr>
              <w:t xml:space="preserve">Viens no būtiskākajiem priekšnosacījumiem jaunu tehnoloģiju un inovatīvu produktu un pakalpojumu attīstīšanai un ieviešanai, ir ieguldījumi P&amp;A. Lai veicinātu šādus ieguldījumus Latvijā, tiek īstenotas ERAF </w:t>
            </w:r>
            <w:r w:rsidR="006B22C1">
              <w:rPr>
                <w:color w:val="000000" w:themeColor="text1"/>
                <w:sz w:val="20"/>
              </w:rPr>
              <w:t>SAM</w:t>
            </w:r>
            <w:r w:rsidRPr="00283E6C">
              <w:rPr>
                <w:color w:val="000000" w:themeColor="text1"/>
                <w:sz w:val="20"/>
              </w:rPr>
              <w:t xml:space="preserve"> 1.2.1. programmas: </w:t>
            </w:r>
          </w:p>
          <w:p w:rsidR="007F608E" w:rsidRPr="00283E6C" w:rsidRDefault="007F608E" w:rsidP="00DF7139">
            <w:pPr>
              <w:pStyle w:val="ListParagraph"/>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283E6C">
              <w:rPr>
                <w:rFonts w:ascii="Times New Roman" w:hAnsi="Times New Roman"/>
                <w:i/>
                <w:iCs/>
                <w:color w:val="000000" w:themeColor="text1"/>
                <w:sz w:val="20"/>
              </w:rPr>
              <w:t xml:space="preserve">Kompetences centru programma (1.2.1.1.; 63,1 milj. </w:t>
            </w:r>
            <w:proofErr w:type="spellStart"/>
            <w:r w:rsidR="002A7B5C" w:rsidRPr="00283E6C">
              <w:rPr>
                <w:rFonts w:ascii="Times New Roman" w:hAnsi="Times New Roman"/>
                <w:i/>
                <w:color w:val="auto"/>
                <w:sz w:val="20"/>
              </w:rPr>
              <w:t>e</w:t>
            </w:r>
            <w:r w:rsidR="002A7B5C" w:rsidRPr="00283E6C">
              <w:rPr>
                <w:i/>
                <w:color w:val="auto"/>
                <w:sz w:val="20"/>
              </w:rPr>
              <w:t>u</w:t>
            </w:r>
            <w:r w:rsidR="002A7B5C" w:rsidRPr="00283E6C">
              <w:rPr>
                <w:rFonts w:ascii="Times New Roman" w:hAnsi="Times New Roman"/>
                <w:i/>
                <w:color w:val="auto"/>
                <w:sz w:val="20"/>
              </w:rPr>
              <w:t>ro</w:t>
            </w:r>
            <w:proofErr w:type="spellEnd"/>
            <w:r w:rsidRPr="00283E6C">
              <w:rPr>
                <w:rFonts w:ascii="Times New Roman" w:hAnsi="Times New Roman"/>
                <w:i/>
                <w:iCs/>
                <w:color w:val="000000" w:themeColor="text1"/>
                <w:sz w:val="20"/>
              </w:rPr>
              <w:t xml:space="preserve">) </w:t>
            </w:r>
            <w:r w:rsidRPr="00283E6C">
              <w:rPr>
                <w:rFonts w:ascii="Times New Roman" w:hAnsi="Times New Roman"/>
                <w:color w:val="000000" w:themeColor="text1"/>
                <w:sz w:val="20"/>
              </w:rPr>
              <w:t xml:space="preserve">mērķis ir komersantu konkurētspējas paaugstināšana, veicinot pētniecības un rūpniecības sektora sadarbību, īstenojot projektus, kas attīsta jaunus produktus un tehnoloģijas un ievieš tās ražošanā. Programmas ietvaros līdz 2020. gada jūnijam apstiprināti 324 pētniecības projekti, ieguldīts privātais līdzfinansējums 30,7 milj. </w:t>
            </w:r>
            <w:proofErr w:type="spellStart"/>
            <w:r w:rsidR="00695294" w:rsidRPr="00283E6C">
              <w:rPr>
                <w:rFonts w:ascii="Times New Roman" w:hAnsi="Times New Roman"/>
                <w:i/>
                <w:color w:val="auto"/>
                <w:sz w:val="20"/>
              </w:rPr>
              <w:t>e</w:t>
            </w:r>
            <w:r w:rsidR="00695294" w:rsidRPr="00283E6C">
              <w:rPr>
                <w:i/>
                <w:color w:val="auto"/>
                <w:sz w:val="20"/>
              </w:rPr>
              <w:t>u</w:t>
            </w:r>
            <w:r w:rsidR="00695294" w:rsidRPr="00283E6C">
              <w:rPr>
                <w:rFonts w:ascii="Times New Roman" w:hAnsi="Times New Roman"/>
                <w:i/>
                <w:color w:val="auto"/>
                <w:sz w:val="20"/>
              </w:rPr>
              <w:t>ro</w:t>
            </w:r>
            <w:proofErr w:type="spellEnd"/>
            <w:r w:rsidRPr="00283E6C">
              <w:rPr>
                <w:rFonts w:ascii="Times New Roman" w:hAnsi="Times New Roman"/>
                <w:color w:val="000000" w:themeColor="text1"/>
                <w:sz w:val="20"/>
              </w:rPr>
              <w:t xml:space="preserve"> apmērā. Programmas ietvaros pētniecības projektu īstenošanas ilgums ir līdz 30.06.2022.</w:t>
            </w:r>
          </w:p>
          <w:p w:rsidR="007F608E" w:rsidRPr="00283E6C" w:rsidRDefault="007F608E" w:rsidP="00DF7139">
            <w:pPr>
              <w:pStyle w:val="ListParagraph"/>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283E6C">
              <w:rPr>
                <w:rFonts w:ascii="Times New Roman" w:hAnsi="Times New Roman"/>
                <w:color w:val="000000" w:themeColor="text1"/>
                <w:sz w:val="20"/>
              </w:rPr>
              <w:t xml:space="preserve">Programmas </w:t>
            </w:r>
            <w:r w:rsidRPr="00283E6C">
              <w:rPr>
                <w:rFonts w:ascii="Times New Roman" w:hAnsi="Times New Roman"/>
                <w:i/>
                <w:iCs/>
                <w:color w:val="000000" w:themeColor="text1"/>
                <w:sz w:val="20"/>
              </w:rPr>
              <w:t>Atbalsts jaunu produktu ieviešanai ražošanā</w:t>
            </w:r>
            <w:r w:rsidRPr="00283E6C">
              <w:rPr>
                <w:rFonts w:ascii="Times New Roman" w:hAnsi="Times New Roman"/>
                <w:color w:val="000000" w:themeColor="text1"/>
                <w:sz w:val="20"/>
              </w:rPr>
              <w:t xml:space="preserve"> (1.2.1.4; 60 milj. </w:t>
            </w:r>
            <w:proofErr w:type="spellStart"/>
            <w:r w:rsidR="002A7B5C" w:rsidRPr="00283E6C">
              <w:rPr>
                <w:rFonts w:ascii="Times New Roman" w:hAnsi="Times New Roman"/>
                <w:i/>
                <w:color w:val="auto"/>
                <w:sz w:val="20"/>
              </w:rPr>
              <w:t>e</w:t>
            </w:r>
            <w:r w:rsidR="002A7B5C" w:rsidRPr="00283E6C">
              <w:rPr>
                <w:i/>
                <w:color w:val="auto"/>
                <w:sz w:val="20"/>
              </w:rPr>
              <w:t>u</w:t>
            </w:r>
            <w:r w:rsidR="002A7B5C" w:rsidRPr="00283E6C">
              <w:rPr>
                <w:rFonts w:ascii="Times New Roman" w:hAnsi="Times New Roman"/>
                <w:i/>
                <w:color w:val="auto"/>
                <w:sz w:val="20"/>
              </w:rPr>
              <w:t>ro</w:t>
            </w:r>
            <w:proofErr w:type="spellEnd"/>
            <w:r w:rsidRPr="00283E6C">
              <w:rPr>
                <w:rFonts w:ascii="Times New Roman" w:hAnsi="Times New Roman"/>
                <w:color w:val="000000" w:themeColor="text1"/>
                <w:sz w:val="20"/>
              </w:rPr>
              <w:t>) mērķis ir veicināt komersantu produktivitāti un konkurētspēju, sniedzot atbalstu eksperimentālu ražošanas iekārtu izgatavošanai vai iegādei. Projektu iesniegumu atlases pirmās kārtas ietvaros tika apstiprināti 17 projekti, no kuriem līdz 202</w:t>
            </w:r>
            <w:r w:rsidR="003227DB">
              <w:rPr>
                <w:rFonts w:ascii="Times New Roman" w:hAnsi="Times New Roman"/>
                <w:color w:val="000000" w:themeColor="text1"/>
                <w:sz w:val="20"/>
              </w:rPr>
              <w:t>0.gada 25.</w:t>
            </w:r>
            <w:r w:rsidRPr="00283E6C">
              <w:rPr>
                <w:rFonts w:ascii="Times New Roman" w:hAnsi="Times New Roman"/>
                <w:color w:val="000000" w:themeColor="text1"/>
                <w:sz w:val="20"/>
              </w:rPr>
              <w:t>septembrim bija pabeigti 5 projekti, 8 projektu īstenošana turpinājās, bet 4 projektu īstenošana tika pārtraukta. Savukārt projektu iesniegumu atlases otrās kārtas ietvaros tika atbalstīti 29</w:t>
            </w:r>
            <w:r w:rsidR="003227DB">
              <w:rPr>
                <w:rFonts w:ascii="Times New Roman" w:hAnsi="Times New Roman"/>
                <w:color w:val="000000" w:themeColor="text1"/>
                <w:sz w:val="20"/>
              </w:rPr>
              <w:t xml:space="preserve"> projekti, no kuriem līdz 2020.</w:t>
            </w:r>
            <w:r w:rsidRPr="00283E6C">
              <w:rPr>
                <w:rFonts w:ascii="Times New Roman" w:hAnsi="Times New Roman"/>
                <w:color w:val="000000" w:themeColor="text1"/>
                <w:sz w:val="20"/>
              </w:rPr>
              <w:t>gada 25.septembrim tika pabeigti 6 projekti, 20 projektu īstenošana turpinājās, bet 3 projektu īstenošana tika</w:t>
            </w:r>
            <w:r w:rsidR="003227DB">
              <w:rPr>
                <w:rFonts w:ascii="Times New Roman" w:hAnsi="Times New Roman"/>
                <w:color w:val="000000" w:themeColor="text1"/>
                <w:sz w:val="20"/>
              </w:rPr>
              <w:t xml:space="preserve"> pārtraukta. Plānots līdz 2022.</w:t>
            </w:r>
            <w:r w:rsidRPr="00283E6C">
              <w:rPr>
                <w:rFonts w:ascii="Times New Roman" w:hAnsi="Times New Roman"/>
                <w:color w:val="000000" w:themeColor="text1"/>
                <w:sz w:val="20"/>
              </w:rPr>
              <w:t xml:space="preserve">gadam atbalstīt vismaz 30 uzņēmumus, šo darbību ietvaros piesaistot vismaz 10,5 milj. </w:t>
            </w:r>
            <w:proofErr w:type="spellStart"/>
            <w:r w:rsidR="002A7B5C" w:rsidRPr="00283E6C">
              <w:rPr>
                <w:rFonts w:ascii="Times New Roman" w:hAnsi="Times New Roman"/>
                <w:i/>
                <w:color w:val="auto"/>
                <w:sz w:val="20"/>
              </w:rPr>
              <w:t>e</w:t>
            </w:r>
            <w:r w:rsidR="002A7B5C" w:rsidRPr="00283E6C">
              <w:rPr>
                <w:i/>
                <w:color w:val="auto"/>
                <w:sz w:val="20"/>
              </w:rPr>
              <w:t>u</w:t>
            </w:r>
            <w:r w:rsidR="002A7B5C" w:rsidRPr="00283E6C">
              <w:rPr>
                <w:rFonts w:ascii="Times New Roman" w:hAnsi="Times New Roman"/>
                <w:i/>
                <w:color w:val="auto"/>
                <w:sz w:val="20"/>
              </w:rPr>
              <w:t>ro</w:t>
            </w:r>
            <w:proofErr w:type="spellEnd"/>
            <w:r w:rsidRPr="00283E6C">
              <w:rPr>
                <w:rFonts w:ascii="Times New Roman" w:hAnsi="Times New Roman"/>
                <w:color w:val="000000" w:themeColor="text1"/>
                <w:sz w:val="20"/>
              </w:rPr>
              <w:t xml:space="preserve"> privātā sektora investīcijas P&amp;A aktivitātēm.</w:t>
            </w:r>
          </w:p>
          <w:p w:rsidR="007F608E" w:rsidRPr="00283E6C" w:rsidRDefault="007F608E" w:rsidP="00DF7139">
            <w:pPr>
              <w:pStyle w:val="ListParagraph"/>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283E6C">
              <w:rPr>
                <w:rFonts w:ascii="Times New Roman" w:hAnsi="Times New Roman"/>
                <w:i/>
                <w:iCs/>
                <w:color w:val="000000" w:themeColor="text1"/>
                <w:sz w:val="20"/>
              </w:rPr>
              <w:t xml:space="preserve">Tehnoloģiju </w:t>
            </w:r>
            <w:proofErr w:type="spellStart"/>
            <w:r w:rsidRPr="00283E6C">
              <w:rPr>
                <w:rFonts w:ascii="Times New Roman" w:hAnsi="Times New Roman"/>
                <w:i/>
                <w:iCs/>
                <w:color w:val="000000" w:themeColor="text1"/>
                <w:sz w:val="20"/>
              </w:rPr>
              <w:t>pārneses</w:t>
            </w:r>
            <w:proofErr w:type="spellEnd"/>
            <w:r w:rsidRPr="00283E6C">
              <w:rPr>
                <w:rFonts w:ascii="Times New Roman" w:hAnsi="Times New Roman"/>
                <w:i/>
                <w:iCs/>
                <w:color w:val="000000" w:themeColor="text1"/>
                <w:sz w:val="20"/>
              </w:rPr>
              <w:t xml:space="preserve"> programmas</w:t>
            </w:r>
            <w:r w:rsidRPr="00283E6C">
              <w:rPr>
                <w:rFonts w:ascii="Times New Roman" w:hAnsi="Times New Roman"/>
                <w:color w:val="000000" w:themeColor="text1"/>
                <w:sz w:val="20"/>
              </w:rPr>
              <w:t xml:space="preserve"> (1.2.1.2; 35,3 milj. </w:t>
            </w:r>
            <w:proofErr w:type="spellStart"/>
            <w:r w:rsidR="002A7B5C" w:rsidRPr="00283E6C">
              <w:rPr>
                <w:rFonts w:ascii="Times New Roman" w:hAnsi="Times New Roman"/>
                <w:i/>
                <w:color w:val="auto"/>
                <w:sz w:val="20"/>
              </w:rPr>
              <w:t>e</w:t>
            </w:r>
            <w:r w:rsidR="002A7B5C" w:rsidRPr="00283E6C">
              <w:rPr>
                <w:i/>
                <w:color w:val="auto"/>
                <w:sz w:val="20"/>
              </w:rPr>
              <w:t>u</w:t>
            </w:r>
            <w:r w:rsidR="002A7B5C" w:rsidRPr="00283E6C">
              <w:rPr>
                <w:rFonts w:ascii="Times New Roman" w:hAnsi="Times New Roman"/>
                <w:i/>
                <w:color w:val="auto"/>
                <w:sz w:val="20"/>
              </w:rPr>
              <w:t>ro</w:t>
            </w:r>
            <w:proofErr w:type="spellEnd"/>
            <w:r w:rsidRPr="00283E6C">
              <w:rPr>
                <w:rFonts w:ascii="Times New Roman" w:hAnsi="Times New Roman"/>
                <w:color w:val="000000" w:themeColor="text1"/>
                <w:sz w:val="20"/>
              </w:rPr>
              <w:t xml:space="preserve">) mērķis ir veicināt pētniecības rezultātu </w:t>
            </w:r>
            <w:proofErr w:type="spellStart"/>
            <w:r w:rsidRPr="00283E6C">
              <w:rPr>
                <w:rFonts w:ascii="Times New Roman" w:hAnsi="Times New Roman"/>
                <w:color w:val="000000" w:themeColor="text1"/>
                <w:sz w:val="20"/>
              </w:rPr>
              <w:t>komercializāciju</w:t>
            </w:r>
            <w:proofErr w:type="spellEnd"/>
            <w:r w:rsidRPr="00283E6C">
              <w:rPr>
                <w:rFonts w:ascii="Times New Roman" w:hAnsi="Times New Roman"/>
                <w:color w:val="000000" w:themeColor="text1"/>
                <w:sz w:val="20"/>
              </w:rPr>
              <w:t>, inovatīvu ideju, produktu vai procesu izmantošanu saimnieciskajā darbībā.</w:t>
            </w:r>
            <w:r w:rsidR="00862050">
              <w:rPr>
                <w:rFonts w:ascii="Times New Roman" w:hAnsi="Times New Roman"/>
                <w:color w:val="000000" w:themeColor="text1"/>
                <w:sz w:val="20"/>
              </w:rPr>
              <w:t xml:space="preserve"> Programmas ietvaros līdz 2020.</w:t>
            </w:r>
            <w:r w:rsidRPr="00283E6C">
              <w:rPr>
                <w:rFonts w:ascii="Times New Roman" w:hAnsi="Times New Roman"/>
                <w:color w:val="000000" w:themeColor="text1"/>
                <w:sz w:val="20"/>
              </w:rPr>
              <w:t xml:space="preserve">gada 25.septembrim apstiprināti 100 zinātnisko ideju </w:t>
            </w:r>
            <w:proofErr w:type="spellStart"/>
            <w:r w:rsidRPr="00283E6C">
              <w:rPr>
                <w:rFonts w:ascii="Times New Roman" w:hAnsi="Times New Roman"/>
                <w:color w:val="000000" w:themeColor="text1"/>
                <w:sz w:val="20"/>
              </w:rPr>
              <w:lastRenderedPageBreak/>
              <w:t>komercializācijas</w:t>
            </w:r>
            <w:proofErr w:type="spellEnd"/>
            <w:r w:rsidRPr="00283E6C">
              <w:rPr>
                <w:rFonts w:ascii="Times New Roman" w:hAnsi="Times New Roman"/>
                <w:color w:val="000000" w:themeColor="text1"/>
                <w:sz w:val="20"/>
              </w:rPr>
              <w:t xml:space="preserve"> projekti un noslēgti 144 līgumi ar komersantiem par inovācijas </w:t>
            </w:r>
            <w:proofErr w:type="spellStart"/>
            <w:r w:rsidRPr="00283E6C">
              <w:rPr>
                <w:rFonts w:ascii="Times New Roman" w:hAnsi="Times New Roman"/>
                <w:color w:val="000000" w:themeColor="text1"/>
                <w:sz w:val="20"/>
              </w:rPr>
              <w:t>vaučeru</w:t>
            </w:r>
            <w:proofErr w:type="spellEnd"/>
            <w:r w:rsidRPr="00283E6C">
              <w:rPr>
                <w:rFonts w:ascii="Times New Roman" w:hAnsi="Times New Roman"/>
                <w:color w:val="000000" w:themeColor="text1"/>
                <w:sz w:val="20"/>
              </w:rPr>
              <w:t xml:space="preserve"> atbalsta piešķiršanu.</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83E6C">
              <w:rPr>
                <w:color w:val="000000" w:themeColor="text1"/>
                <w:sz w:val="20"/>
              </w:rPr>
              <w:t>Tāpat plānots Norvēģijas finanšu instrumenta 2014.</w:t>
            </w:r>
            <w:r w:rsidR="00862050" w:rsidRPr="00862050">
              <w:rPr>
                <w:color w:val="auto"/>
                <w:sz w:val="20"/>
              </w:rPr>
              <w:t>–</w:t>
            </w:r>
            <w:r w:rsidRPr="00283E6C">
              <w:rPr>
                <w:color w:val="000000" w:themeColor="text1"/>
                <w:sz w:val="20"/>
              </w:rPr>
              <w:t xml:space="preserve">2021.gada programmas </w:t>
            </w:r>
            <w:r w:rsidRPr="00283E6C">
              <w:rPr>
                <w:i/>
                <w:iCs/>
                <w:color w:val="000000" w:themeColor="text1"/>
                <w:sz w:val="20"/>
              </w:rPr>
              <w:t>Uzņēmējdarbības attīstība, inovācijas un mazie un vidējie uzņēmumi</w:t>
            </w:r>
            <w:r w:rsidRPr="00283E6C">
              <w:rPr>
                <w:color w:val="000000" w:themeColor="text1"/>
                <w:sz w:val="20"/>
              </w:rPr>
              <w:t xml:space="preserve"> (14,8 milj. </w:t>
            </w:r>
            <w:proofErr w:type="spellStart"/>
            <w:r w:rsidR="002A7B5C" w:rsidRPr="00283E6C">
              <w:rPr>
                <w:i/>
                <w:color w:val="auto"/>
                <w:sz w:val="20"/>
              </w:rPr>
              <w:t>euro</w:t>
            </w:r>
            <w:proofErr w:type="spellEnd"/>
            <w:r w:rsidRPr="00283E6C">
              <w:rPr>
                <w:color w:val="000000" w:themeColor="text1"/>
                <w:sz w:val="20"/>
              </w:rPr>
              <w:t xml:space="preserve">) ietvaros uzņēmumiem sniegt atbalstu inovatīvu produktu un tehnoloģiju izstrādei un ieviešanai, kas sniedz ieguldījumu digitālo un IKT risinājumu attīstībā, atbalsta videi draudzīgākus un sabiedrību iekļaujošus risinājumus. Programmas īstenošana tiks </w:t>
            </w:r>
            <w:r w:rsidR="002A7B5C">
              <w:rPr>
                <w:color w:val="000000" w:themeColor="text1"/>
                <w:sz w:val="20"/>
              </w:rPr>
              <w:t>uzsākta 2020.</w:t>
            </w:r>
            <w:r w:rsidRPr="00283E6C">
              <w:rPr>
                <w:color w:val="000000" w:themeColor="text1"/>
                <w:sz w:val="20"/>
              </w:rPr>
              <w:t>gad</w:t>
            </w:r>
            <w:r w:rsidR="002A7B5C">
              <w:rPr>
                <w:color w:val="000000" w:themeColor="text1"/>
                <w:sz w:val="20"/>
              </w:rPr>
              <w:t>a nogalē un īstenota līdz 2024.</w:t>
            </w:r>
            <w:r w:rsidRPr="00283E6C">
              <w:rPr>
                <w:color w:val="000000" w:themeColor="text1"/>
                <w:sz w:val="20"/>
              </w:rPr>
              <w:t>gada beigām.</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 xml:space="preserve">Ar 2020.gada 4.februāra rīkojumu Nr.46 tika apstiprināts </w:t>
            </w:r>
            <w:r w:rsidRPr="00283E6C">
              <w:rPr>
                <w:i/>
                <w:iCs/>
                <w:color w:val="auto"/>
                <w:sz w:val="20"/>
              </w:rPr>
              <w:t>“Latvijas Nacionālais enerģētikas un klimata plāns 2021.</w:t>
            </w:r>
            <w:r w:rsidR="00862050" w:rsidRPr="00862050">
              <w:rPr>
                <w:color w:val="auto"/>
                <w:sz w:val="20"/>
              </w:rPr>
              <w:t>–</w:t>
            </w:r>
            <w:r w:rsidRPr="00283E6C">
              <w:rPr>
                <w:i/>
                <w:iCs/>
                <w:color w:val="auto"/>
                <w:sz w:val="20"/>
              </w:rPr>
              <w:t>2030.gadam”</w:t>
            </w:r>
            <w:r w:rsidR="00E02718">
              <w:rPr>
                <w:rStyle w:val="FootnoteReference"/>
                <w:color w:val="auto"/>
              </w:rPr>
              <w:footnoteReference w:customMarkFollows="1" w:id="6"/>
              <w:t>5</w:t>
            </w:r>
            <w:r w:rsidRPr="00283E6C">
              <w:rPr>
                <w:color w:val="auto"/>
                <w:sz w:val="20"/>
              </w:rPr>
              <w:t xml:space="preserve"> (turpmāk – NEKP), ar kuru ir noteikti atbalsta un investīciju virzieni zaļās pārkārtošanās nodrošināšanai, tīras un efektīvas enerģijas ražošanai un izmantošanai, kā arī ilgtspējīgam transportam. Balstoties uz NEKP tiek izstrādātas ES darbības programmas periodam pēc 2021.gada, kā arī Latvijas Atveseļošanās un Noturības plāns un Taisnīgas pārkārtošanās plāns.</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2019.gadā veicot RIS3 P&amp;A rezultātu monitoringu, kura rezultāti ir apkopoti 2020.gada 10.martā M</w:t>
            </w:r>
            <w:r w:rsidR="00DE57E1">
              <w:rPr>
                <w:color w:val="auto"/>
                <w:sz w:val="20"/>
              </w:rPr>
              <w:t xml:space="preserve">K </w:t>
            </w:r>
            <w:r w:rsidRPr="00283E6C">
              <w:rPr>
                <w:color w:val="auto"/>
                <w:sz w:val="20"/>
              </w:rPr>
              <w:t>apstiprinātajā informatīvajā ziņojumā "Viedās specializācijas stratēģijas monitorings. Otrais ziņojums" tajā analizētie rezultāti par IZM un EM P&amp;A investīciju programmām, tos analizējot RIS3 jomu griezumā mikro detalizācijas līmenī, parāda</w:t>
            </w:r>
            <w:r w:rsidR="002A7B5C">
              <w:rPr>
                <w:color w:val="auto"/>
                <w:sz w:val="20"/>
              </w:rPr>
              <w:t xml:space="preserve"> skaidru nepieciešamību 2021.–</w:t>
            </w:r>
            <w:r w:rsidRPr="00283E6C">
              <w:rPr>
                <w:color w:val="auto"/>
                <w:sz w:val="20"/>
              </w:rPr>
              <w:t>2027.gada P&amp;A investīciju programmās noteikt tematisko pieeju, ņemot vērā katras RIS3 jomas atšķirīgos risināmos izaicinājumus, specifiskās vajadzības un jomas ietvaros esošās tematiskās specializācijas nišas. Šiem ieguldījumiem ir izteikta ietekme un tieši šīs galvenās tematiskās nišas arī potenciāli būs tās, kurām nākamajā plānošanas periodā būs vislielākā sasaiste ar stratēģisko ekosistēmu attīstību.</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83E6C">
              <w:rPr>
                <w:color w:val="auto"/>
                <w:sz w:val="20"/>
              </w:rPr>
              <w:t xml:space="preserve">Šī detalizācija attiecībā par Viedās enerģētikas un </w:t>
            </w:r>
            <w:proofErr w:type="spellStart"/>
            <w:r w:rsidRPr="00283E6C">
              <w:rPr>
                <w:color w:val="auto"/>
                <w:sz w:val="20"/>
              </w:rPr>
              <w:t>Bioekonomikas</w:t>
            </w:r>
            <w:proofErr w:type="spellEnd"/>
            <w:r w:rsidRPr="00283E6C">
              <w:rPr>
                <w:color w:val="auto"/>
                <w:sz w:val="20"/>
              </w:rPr>
              <w:t xml:space="preserve"> jomu ir neizbēgami sasaistīta ar zaļās pārkārtošanās izaicinājumu risināšanu un IKT jomā ar digitālās pārejas un transformācijas veicināšanu. Plānojot 2021.</w:t>
            </w:r>
            <w:r w:rsidR="00862050" w:rsidRPr="00862050">
              <w:rPr>
                <w:color w:val="auto"/>
                <w:sz w:val="20"/>
              </w:rPr>
              <w:t>–</w:t>
            </w:r>
            <w:r w:rsidRPr="00283E6C">
              <w:rPr>
                <w:color w:val="auto"/>
                <w:sz w:val="20"/>
              </w:rPr>
              <w:t>2027.gada ieguldījumus šajās jomās, kuri ir iekļauti apstiprinātajā Nacionālajā attīstības plānā 2021.</w:t>
            </w:r>
            <w:r w:rsidR="00862050" w:rsidRPr="00862050">
              <w:rPr>
                <w:color w:val="auto"/>
                <w:sz w:val="20"/>
              </w:rPr>
              <w:t>–</w:t>
            </w:r>
            <w:r w:rsidRPr="00283E6C">
              <w:rPr>
                <w:color w:val="auto"/>
                <w:sz w:val="20"/>
              </w:rPr>
              <w:t xml:space="preserve">2027.gadam (NAP 2027). Šie jautājumi pētniecības jomā ir saistīti ar sekojošām aktivitātēm, kuras ir iekļautas NAP 2027 2. Prioritāte “Zināšanas un prasmes personības un valsts izaugsmei” </w:t>
            </w:r>
            <w:r w:rsidR="00862050" w:rsidRPr="00862050">
              <w:rPr>
                <w:color w:val="auto"/>
                <w:sz w:val="20"/>
              </w:rPr>
              <w:t>–</w:t>
            </w:r>
            <w:r w:rsidRPr="00283E6C">
              <w:rPr>
                <w:color w:val="auto"/>
                <w:sz w:val="20"/>
              </w:rPr>
              <w:t xml:space="preserve"> Izcilības centru izveide klimat neitralitātes izaicinājumu risināšanai, RIS3 izcilības centri un Zinātni</w:t>
            </w:r>
            <w:r w:rsidR="005036B6">
              <w:rPr>
                <w:color w:val="auto"/>
                <w:sz w:val="20"/>
              </w:rPr>
              <w:t xml:space="preserve">skās darbības </w:t>
            </w:r>
            <w:proofErr w:type="spellStart"/>
            <w:r w:rsidR="005036B6">
              <w:rPr>
                <w:color w:val="auto"/>
                <w:sz w:val="20"/>
              </w:rPr>
              <w:t>digitalizācija</w:t>
            </w:r>
            <w:proofErr w:type="spellEnd"/>
            <w:r w:rsidR="005036B6">
              <w:rPr>
                <w:color w:val="auto"/>
                <w:sz w:val="20"/>
              </w:rPr>
              <w:t xml:space="preserve"> un</w:t>
            </w:r>
            <w:r w:rsidRPr="00283E6C">
              <w:rPr>
                <w:color w:val="auto"/>
                <w:sz w:val="20"/>
              </w:rPr>
              <w:t xml:space="preserve"> dalība Eiropas Atvērtajā zinātnes mākonī, kam arī šajā plānā ir paredzēts atbilstošs finansējums.</w:t>
            </w:r>
          </w:p>
          <w:p w:rsidR="007F608E" w:rsidRPr="00283E6C" w:rsidRDefault="007F608E" w:rsidP="00283E6C">
            <w:pPr>
              <w:spacing w:after="0"/>
              <w:cnfStyle w:val="000000100000" w:firstRow="0" w:lastRow="0" w:firstColumn="0" w:lastColumn="0" w:oddVBand="0" w:evenVBand="0" w:oddHBand="1" w:evenHBand="0" w:firstRowFirstColumn="0" w:firstRowLastColumn="0" w:lastRowFirstColumn="0" w:lastRowLastColumn="0"/>
              <w:rPr>
                <w:sz w:val="20"/>
                <w:highlight w:val="green"/>
              </w:rPr>
            </w:pPr>
            <w:r w:rsidRPr="00283E6C">
              <w:rPr>
                <w:color w:val="auto"/>
                <w:sz w:val="20"/>
              </w:rPr>
              <w:t>Investīcijas uz investīcijas uz zaļo pārkārtošanos un digitālo pāreju caur pētniecību ir arī definētas kā viens no galvenajiem P&amp;A sistēmai izvirzāmajiem uzdevumiem, kas ir definēts IZM sagatavotajā Zinātnes, tehnoloģiju attīstības un inovāciju pamatnostādņu 2021.</w:t>
            </w:r>
            <w:r w:rsidR="00862050" w:rsidRPr="00862050">
              <w:rPr>
                <w:color w:val="auto"/>
                <w:sz w:val="20"/>
              </w:rPr>
              <w:t>–</w:t>
            </w:r>
            <w:r w:rsidRPr="00283E6C">
              <w:rPr>
                <w:color w:val="auto"/>
                <w:sz w:val="20"/>
              </w:rPr>
              <w:t>2027.gadam priekšlikumā, kur ir definēta skaidra nepieciešamība ‘Nodrošināt augsti kvalificētu, profesionālu un prasmju ziņā daudzveidīgu un adaptīvu speciālistu sagatavošanu, jo īpaš</w:t>
            </w:r>
            <w:r w:rsidR="002A7B5C">
              <w:rPr>
                <w:color w:val="auto"/>
                <w:sz w:val="20"/>
              </w:rPr>
              <w:t xml:space="preserve">i </w:t>
            </w:r>
            <w:proofErr w:type="spellStart"/>
            <w:r w:rsidR="002A7B5C">
              <w:rPr>
                <w:color w:val="auto"/>
                <w:sz w:val="20"/>
              </w:rPr>
              <w:t>digitalizācijas</w:t>
            </w:r>
            <w:proofErr w:type="spellEnd"/>
            <w:r w:rsidR="002A7B5C">
              <w:rPr>
                <w:color w:val="auto"/>
                <w:sz w:val="20"/>
              </w:rPr>
              <w:t>, industriālās</w:t>
            </w:r>
            <w:r w:rsidRPr="00283E6C">
              <w:rPr>
                <w:color w:val="auto"/>
                <w:sz w:val="20"/>
              </w:rPr>
              <w:t xml:space="preserve"> transformācijas  un pārejas uz klimat neitrālu ekonomiku kontekstā”. Šīs pamatnostādnes 2020.gada 1.oktobrī ir tikušas pēc sabiedriskās apspriešanas rezultātu apkopošanas izsludinātas Valsts sekretāru sanāksmē.</w:t>
            </w:r>
          </w:p>
        </w:tc>
      </w:tr>
      <w:tr w:rsidR="00C17E06" w:rsidRPr="00FC531D" w:rsidTr="007C292F">
        <w:trPr>
          <w:trHeight w:val="416"/>
        </w:trPr>
        <w:tc>
          <w:tcPr>
            <w:cnfStyle w:val="001000000000" w:firstRow="0" w:lastRow="0" w:firstColumn="1" w:lastColumn="0" w:oddVBand="0" w:evenVBand="0" w:oddHBand="0" w:evenHBand="0" w:firstRowFirstColumn="0" w:firstRowLastColumn="0" w:lastRowFirstColumn="0" w:lastRowLastColumn="0"/>
            <w:tcW w:w="704" w:type="dxa"/>
            <w:vAlign w:val="center"/>
          </w:tcPr>
          <w:p w:rsidR="00C17E06" w:rsidRPr="00FC531D" w:rsidRDefault="00C17E06" w:rsidP="00283E6C">
            <w:pPr>
              <w:spacing w:after="0"/>
              <w:ind w:left="-582"/>
              <w:jc w:val="center"/>
              <w:rPr>
                <w:color w:val="auto"/>
                <w:sz w:val="20"/>
              </w:rPr>
            </w:pPr>
            <w:r w:rsidRPr="00FC531D">
              <w:rPr>
                <w:color w:val="auto"/>
                <w:sz w:val="20"/>
              </w:rPr>
              <w:lastRenderedPageBreak/>
              <w:t>4</w:t>
            </w:r>
          </w:p>
        </w:tc>
        <w:tc>
          <w:tcPr>
            <w:tcW w:w="4961" w:type="dxa"/>
          </w:tcPr>
          <w:p w:rsidR="00C17E06" w:rsidRPr="00FC531D" w:rsidRDefault="00C17E06" w:rsidP="00283E6C">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FC531D">
              <w:rPr>
                <w:noProof/>
                <w:color w:val="000000" w:themeColor="text1"/>
                <w:sz w:val="20"/>
              </w:rPr>
              <w:t>Turpināt darbu pie nelikumīgi iegūtu līdzekļu legalizācijas novēršanas sistēmas pilnveidošanas.</w:t>
            </w:r>
          </w:p>
        </w:tc>
        <w:tc>
          <w:tcPr>
            <w:tcW w:w="8931" w:type="dxa"/>
          </w:tcPr>
          <w:p w:rsidR="007C292F" w:rsidRPr="00283E6C" w:rsidRDefault="007C292F"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83E6C">
              <w:rPr>
                <w:color w:val="auto"/>
                <w:sz w:val="20"/>
              </w:rPr>
              <w:t>Tiks turpināts darbs pie starptautisko organizāciju Latvijas novērtējumos (OECD Kukuļošanas apkarošanas starptautiskajos biznesa darījumos darba grupas Latvijas 3.fāzes novērtējums un MONEYVAL/FATF Latvijas 4.kārtas novērtējums) izteikto rekomendācijas ieviešanas, lai veicinātu noziedzīgi iegūtu līdzekļu legalizācijas novēršanu un efektīvu apkarošanu.</w:t>
            </w:r>
          </w:p>
          <w:p w:rsidR="007C292F" w:rsidRDefault="007C292F"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83E6C">
              <w:rPr>
                <w:color w:val="auto"/>
                <w:sz w:val="20"/>
              </w:rPr>
              <w:t xml:space="preserve">Pasākumu plāna noziedzīgi iegūtu līdzekļu legalizācijas, terorisma un </w:t>
            </w:r>
            <w:proofErr w:type="spellStart"/>
            <w:r w:rsidRPr="00283E6C">
              <w:rPr>
                <w:color w:val="auto"/>
                <w:sz w:val="20"/>
              </w:rPr>
              <w:t>proliferācijas</w:t>
            </w:r>
            <w:proofErr w:type="spellEnd"/>
            <w:r w:rsidRPr="00283E6C">
              <w:rPr>
                <w:color w:val="auto"/>
                <w:sz w:val="20"/>
              </w:rPr>
              <w:t xml:space="preserve"> finansēšanas novēršanai</w:t>
            </w:r>
            <w:r w:rsidR="00862050">
              <w:rPr>
                <w:color w:val="auto"/>
                <w:sz w:val="20"/>
              </w:rPr>
              <w:t xml:space="preserve"> laikposmam</w:t>
            </w:r>
            <w:r w:rsidR="00655AD9">
              <w:rPr>
                <w:color w:val="auto"/>
                <w:sz w:val="20"/>
              </w:rPr>
              <w:t xml:space="preserve"> (</w:t>
            </w:r>
            <w:proofErr w:type="spellStart"/>
            <w:r w:rsidR="00655AD9">
              <w:rPr>
                <w:color w:val="auto"/>
                <w:sz w:val="20"/>
              </w:rPr>
              <w:t>turpāk</w:t>
            </w:r>
            <w:proofErr w:type="spellEnd"/>
            <w:r w:rsidR="00655AD9">
              <w:rPr>
                <w:color w:val="auto"/>
                <w:sz w:val="20"/>
              </w:rPr>
              <w:t xml:space="preserve"> </w:t>
            </w:r>
            <w:r w:rsidR="00655AD9" w:rsidRPr="00283E6C">
              <w:rPr>
                <w:color w:val="auto"/>
                <w:sz w:val="20"/>
              </w:rPr>
              <w:t>–</w:t>
            </w:r>
            <w:r w:rsidR="00655AD9">
              <w:rPr>
                <w:color w:val="auto"/>
                <w:sz w:val="20"/>
              </w:rPr>
              <w:t xml:space="preserve"> </w:t>
            </w:r>
            <w:r w:rsidR="00655AD9" w:rsidRPr="00FD32DC">
              <w:rPr>
                <w:color w:val="auto"/>
                <w:sz w:val="20"/>
              </w:rPr>
              <w:t>NILLTPFN</w:t>
            </w:r>
            <w:r w:rsidR="00655AD9">
              <w:rPr>
                <w:color w:val="auto"/>
                <w:sz w:val="20"/>
              </w:rPr>
              <w:t>)</w:t>
            </w:r>
            <w:r w:rsidR="00862050">
              <w:rPr>
                <w:color w:val="auto"/>
                <w:sz w:val="20"/>
              </w:rPr>
              <w:t xml:space="preserve"> no 2020. līdz 2022.</w:t>
            </w:r>
            <w:r w:rsidRPr="00283E6C">
              <w:rPr>
                <w:color w:val="auto"/>
                <w:sz w:val="20"/>
              </w:rPr>
              <w:t>gadam ietvaros Tieslietu ministrija koordinēs 2., 5. 7. un 8.rīcības virzienos ietverto pasākumu izpildi.</w:t>
            </w:r>
          </w:p>
          <w:p w:rsidR="00FD32DC" w:rsidRPr="00283E6C" w:rsidRDefault="00FD32DC" w:rsidP="00283E6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FD32DC">
              <w:rPr>
                <w:color w:val="auto"/>
                <w:sz w:val="20"/>
              </w:rPr>
              <w:t>Latvijas valdība ir pieņēmusi pasākumu plānu NILLTPFN</w:t>
            </w:r>
            <w:r w:rsidR="005036B6">
              <w:rPr>
                <w:color w:val="auto"/>
                <w:sz w:val="20"/>
              </w:rPr>
              <w:t xml:space="preserve"> laikposmam no 2020. līdz 2022.</w:t>
            </w:r>
            <w:r w:rsidRPr="00FD32DC">
              <w:rPr>
                <w:color w:val="auto"/>
                <w:sz w:val="20"/>
              </w:rPr>
              <w:t xml:space="preserve">gadam. Pasākumu plāna pasākumi ir balstīti uz starptautiskiem, nacionāliem un nozaru riska novērtējumiem, starptautisko organizāciju ieteikumiem un iepriekšējā plāna rezultātiem un tā īstenošanas gaitā gūtajām mācībām. Pasākumu plāna mērķis ir stiprināt Latvijas spējas cīnīties ar NILLTPF, mazināt dažādus riskus, lai veicinātu sabiedrības drošību, palielinātu ekonomiskās vides konkurētspēju un uzlabotu uzticību Latvijas jurisdikcijai. Plāns ir sadalīts 11 darbības jomās, kas ir saskaņotas ar efektivitātes rādītājiem, kurus </w:t>
            </w:r>
            <w:proofErr w:type="spellStart"/>
            <w:r w:rsidRPr="00FD32DC">
              <w:rPr>
                <w:color w:val="auto"/>
                <w:sz w:val="20"/>
              </w:rPr>
              <w:t>Moneyval</w:t>
            </w:r>
            <w:proofErr w:type="spellEnd"/>
            <w:r w:rsidRPr="00FD32DC">
              <w:rPr>
                <w:color w:val="auto"/>
                <w:sz w:val="20"/>
              </w:rPr>
              <w:t xml:space="preserve"> izmantoja piektās novērtēšanas kārtas laikā. Tika ieviesta arī efektīvāka publiskā un privātā sektora partnerība informācijas apmaiņā un finanšu noziegumu apkarošanā.</w:t>
            </w:r>
          </w:p>
          <w:p w:rsidR="00C17E06" w:rsidRPr="00283E6C" w:rsidRDefault="00C17E06" w:rsidP="00722E8F">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83E6C">
              <w:rPr>
                <w:color w:val="auto"/>
                <w:sz w:val="20"/>
              </w:rPr>
              <w:t xml:space="preserve">Atbilstoši plānotajam, tiks stiprināta KNAB kapacitāte gan cilvēkresursu, gan materiālo resursu ziņā, tam 2021. gada budžetā piešķirot finansējumu papildu 9 </w:t>
            </w:r>
            <w:r w:rsidR="00655AD9">
              <w:rPr>
                <w:color w:val="auto"/>
                <w:sz w:val="20"/>
              </w:rPr>
              <w:t>amata vietu izveidei, bet 2022.</w:t>
            </w:r>
            <w:r w:rsidRPr="00283E6C">
              <w:rPr>
                <w:color w:val="auto"/>
                <w:sz w:val="20"/>
              </w:rPr>
              <w:t>gadā – 10 amata vietu izveidei. Papildu amata vietu piešķiršana KNAB ne vien stiprinās iestādes kapacitāti un spēju pilnvērtīgi apstrādāt un izmeklēt pieaugušo pārbaudāmās informācijas apjomu un kriminālprocesu skaitu N</w:t>
            </w:r>
            <w:r w:rsidR="00AB2E02">
              <w:rPr>
                <w:color w:val="auto"/>
                <w:sz w:val="20"/>
              </w:rPr>
              <w:t>ILL jomā (</w:t>
            </w:r>
            <w:proofErr w:type="spellStart"/>
            <w:r w:rsidR="00AB2E02">
              <w:rPr>
                <w:color w:val="auto"/>
                <w:sz w:val="20"/>
              </w:rPr>
              <w:t>MoneyVal</w:t>
            </w:r>
            <w:proofErr w:type="spellEnd"/>
            <w:r w:rsidR="00AB2E02">
              <w:rPr>
                <w:color w:val="auto"/>
                <w:sz w:val="20"/>
              </w:rPr>
              <w:t xml:space="preserve"> 7.1. un 7.2.</w:t>
            </w:r>
            <w:r w:rsidRPr="00283E6C">
              <w:rPr>
                <w:color w:val="auto"/>
                <w:sz w:val="20"/>
              </w:rPr>
              <w:t xml:space="preserve">rekomendācija), bet arī veicinās īpaši sarežģītu, smagu un sevišķi smagu </w:t>
            </w:r>
            <w:proofErr w:type="spellStart"/>
            <w:r w:rsidRPr="00283E6C">
              <w:rPr>
                <w:color w:val="auto"/>
                <w:sz w:val="20"/>
              </w:rPr>
              <w:t>starpreģionāla</w:t>
            </w:r>
            <w:proofErr w:type="spellEnd"/>
            <w:r w:rsidRPr="00283E6C">
              <w:rPr>
                <w:color w:val="auto"/>
                <w:sz w:val="20"/>
              </w:rPr>
              <w:t xml:space="preserve"> un starptautiska rakstura noziegumu – ārvalstu amatpersonu kukuļošanas lietu, kas ir KNAB ekskluzīvajā kompetencē – izmeklēšanu. </w:t>
            </w:r>
            <w:r w:rsidR="00722E8F">
              <w:rPr>
                <w:color w:val="auto"/>
                <w:sz w:val="20"/>
              </w:rPr>
              <w:t>OECD</w:t>
            </w:r>
            <w:r w:rsidRPr="00283E6C">
              <w:rPr>
                <w:color w:val="auto"/>
                <w:sz w:val="20"/>
              </w:rPr>
              <w:t xml:space="preserve"> Kukuļošanas apkarošanas starptautiskajos biznesa darījumos darba grupas 3.fāzes ziņojumā, kas publicēts 2019.gada 10.oktobrī, secināts ka Latvijā tiesībaizsardzības iestādēm, īpaši tām, kuru funkcijās ietilpst cīņa ar korupciju, budžetā izteikti pietrūkst valsts finansējuma gan personāla atbilstošam atalgojumam, gan tehniskajam nodrošinājumam. Tāpēc OECD eksperti savā vērtējumā Latvijai rekomendē veikt noteiktus pasākumus, lai sasniegtu labākus rezultātus cīņā ar ārvalstu amatpersonu kukuļošanu un ar to saistīto noziedzīgi iegūto līdzekļu legalizāciju, t.sk. nodrošinot pietiekošus resursus un ekspertīzi atbildīgajām iestādēm. OECD darba grupas 4 (a) rekomendācijā paredzēts, ka Latvijai jānodrošina KNAB atbilstoši piešķirti resursi kukuļošanas apkarošanai, un ka KNAB ārvalstu amatpersonu kukuļošanas apkarošanai piešķir prioritāru raksturu. Tādējādi papildu amatu vietu izveide veicinās vairāku starptautisko organizāciju, kurām Latvija ir pievienojusies, rekomendāciju ieviešanu.</w:t>
            </w:r>
          </w:p>
        </w:tc>
      </w:tr>
    </w:tbl>
    <w:p w:rsidR="005119CA" w:rsidRPr="00BF5371" w:rsidRDefault="005119CA" w:rsidP="005119CA">
      <w:pPr>
        <w:rPr>
          <w:color w:val="000000" w:themeColor="text1"/>
          <w:sz w:val="22"/>
          <w:highlight w:val="yellow"/>
        </w:rPr>
      </w:pPr>
    </w:p>
    <w:p w:rsidR="00614666" w:rsidRPr="00BF5371" w:rsidRDefault="00614666">
      <w:pPr>
        <w:spacing w:after="0"/>
        <w:ind w:firstLine="0"/>
        <w:jc w:val="left"/>
        <w:rPr>
          <w:b/>
          <w:bCs/>
          <w:color w:val="18185F"/>
          <w:szCs w:val="28"/>
          <w:highlight w:val="yellow"/>
          <w:lang w:eastAsia="x-none"/>
        </w:rPr>
      </w:pPr>
      <w:r w:rsidRPr="00BF5371">
        <w:rPr>
          <w:color w:val="18185F"/>
          <w:highlight w:val="yellow"/>
        </w:rPr>
        <w:br w:type="page"/>
      </w:r>
    </w:p>
    <w:p w:rsidR="005119CA" w:rsidRPr="00E32698" w:rsidRDefault="00F900B2" w:rsidP="00CF6873">
      <w:pPr>
        <w:pStyle w:val="Heading1"/>
        <w:tabs>
          <w:tab w:val="left" w:pos="1276"/>
        </w:tabs>
        <w:spacing w:before="0" w:after="240"/>
        <w:ind w:firstLine="0"/>
        <w:jc w:val="left"/>
        <w:rPr>
          <w:rFonts w:ascii="Times New Roman" w:hAnsi="Times New Roman"/>
          <w:color w:val="18185F"/>
          <w:sz w:val="24"/>
        </w:rPr>
      </w:pPr>
      <w:bookmarkStart w:id="37" w:name="_Toc53388942"/>
      <w:r w:rsidRPr="00E32698">
        <w:rPr>
          <w:rFonts w:ascii="Times New Roman" w:hAnsi="Times New Roman"/>
          <w:color w:val="18185F"/>
          <w:sz w:val="24"/>
          <w:lang w:val="lv-LV"/>
        </w:rPr>
        <w:lastRenderedPageBreak/>
        <w:t>Tabula</w:t>
      </w:r>
      <w:r w:rsidRPr="00E32698">
        <w:rPr>
          <w:rFonts w:ascii="Times New Roman" w:hAnsi="Times New Roman"/>
          <w:color w:val="18185F"/>
          <w:sz w:val="24"/>
        </w:rPr>
        <w:t xml:space="preserve"> </w:t>
      </w:r>
      <w:r w:rsidR="005119CA" w:rsidRPr="00E32698">
        <w:rPr>
          <w:rFonts w:ascii="Times New Roman" w:hAnsi="Times New Roman"/>
          <w:color w:val="18185F"/>
          <w:sz w:val="24"/>
        </w:rPr>
        <w:t>6.b ES Stratēģijas noteiktie mērķi attiecibā uz izaugsmi un darbu</w:t>
      </w:r>
      <w:bookmarkEnd w:id="37"/>
    </w:p>
    <w:tbl>
      <w:tblPr>
        <w:tblStyle w:val="GridTable6Colorful-Accent11"/>
        <w:tblW w:w="14596" w:type="dxa"/>
        <w:tblLayout w:type="fixed"/>
        <w:tblLook w:val="04A0" w:firstRow="1" w:lastRow="0" w:firstColumn="1" w:lastColumn="0" w:noHBand="0" w:noVBand="1"/>
      </w:tblPr>
      <w:tblGrid>
        <w:gridCol w:w="2122"/>
        <w:gridCol w:w="3827"/>
        <w:gridCol w:w="8647"/>
      </w:tblGrid>
      <w:tr w:rsidR="003033B8" w:rsidRPr="00FC531D" w:rsidTr="007C292F">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rsidR="003033B8" w:rsidRPr="00FC531D" w:rsidRDefault="003033B8" w:rsidP="003033B8">
            <w:pPr>
              <w:ind w:firstLine="0"/>
              <w:jc w:val="left"/>
              <w:rPr>
                <w:b w:val="0"/>
                <w:color w:val="auto"/>
                <w:sz w:val="20"/>
              </w:rPr>
            </w:pPr>
            <w:r w:rsidRPr="00FC531D">
              <w:rPr>
                <w:color w:val="auto"/>
                <w:sz w:val="20"/>
              </w:rPr>
              <w:t>Nacionālie 2020 mērķi</w:t>
            </w:r>
          </w:p>
        </w:tc>
        <w:tc>
          <w:tcPr>
            <w:tcW w:w="3827" w:type="dxa"/>
            <w:vAlign w:val="center"/>
          </w:tcPr>
          <w:p w:rsidR="003033B8" w:rsidRPr="00FC531D" w:rsidRDefault="003033B8" w:rsidP="007C292F">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FC531D">
              <w:rPr>
                <w:color w:val="auto"/>
                <w:sz w:val="20"/>
              </w:rPr>
              <w:t>Pasākumi</w:t>
            </w:r>
          </w:p>
        </w:tc>
        <w:tc>
          <w:tcPr>
            <w:tcW w:w="8647" w:type="dxa"/>
            <w:vAlign w:val="center"/>
          </w:tcPr>
          <w:p w:rsidR="003033B8" w:rsidRPr="002A7B5C" w:rsidRDefault="003033B8" w:rsidP="007C292F">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2A7B5C">
              <w:rPr>
                <w:color w:val="auto"/>
                <w:sz w:val="20"/>
              </w:rPr>
              <w:t>Apraksts</w:t>
            </w:r>
          </w:p>
        </w:tc>
      </w:tr>
      <w:tr w:rsidR="003033B8" w:rsidRPr="00FC531D" w:rsidTr="007C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3033B8" w:rsidRPr="00FC531D" w:rsidRDefault="003033B8" w:rsidP="003033B8">
            <w:pPr>
              <w:ind w:firstLine="0"/>
              <w:jc w:val="left"/>
              <w:rPr>
                <w:color w:val="auto"/>
                <w:sz w:val="20"/>
              </w:rPr>
            </w:pPr>
            <w:r w:rsidRPr="00FC531D">
              <w:rPr>
                <w:color w:val="auto"/>
                <w:sz w:val="20"/>
              </w:rPr>
              <w:t>Nodarbinātības līmenis (iedzīvotāji vecumā 20-64 gadi (73,0%)</w:t>
            </w:r>
          </w:p>
        </w:tc>
        <w:tc>
          <w:tcPr>
            <w:tcW w:w="3827" w:type="dxa"/>
          </w:tcPr>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Bezdarbnieku apmācību pasākumu pilnveidošana;</w:t>
            </w:r>
          </w:p>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Atbalsta pasākumu jauniešu bezdarba mazināšanai īstenošana;</w:t>
            </w:r>
          </w:p>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Ilgstošo bezdarbnieku un sociālās palīdzības klientu efektīva atgriešana darba tirgū un atbalsts reģionālajai mobilitātei;</w:t>
            </w:r>
          </w:p>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Gados vecāko iedzīvotāju darbspējas saglabāšana un nodarbinātības sekmēšana;</w:t>
            </w:r>
          </w:p>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 xml:space="preserve">Nodarbinātības dienesta darba </w:t>
            </w:r>
            <w:proofErr w:type="spellStart"/>
            <w:r w:rsidRPr="00FC531D">
              <w:rPr>
                <w:rFonts w:ascii="Times New Roman" w:hAnsi="Times New Roman"/>
                <w:color w:val="auto"/>
                <w:sz w:val="20"/>
              </w:rPr>
              <w:t>efektivizācija</w:t>
            </w:r>
            <w:proofErr w:type="spellEnd"/>
            <w:r w:rsidRPr="00FC531D">
              <w:rPr>
                <w:rFonts w:ascii="Times New Roman" w:hAnsi="Times New Roman"/>
                <w:color w:val="auto"/>
                <w:sz w:val="20"/>
              </w:rPr>
              <w:t>;</w:t>
            </w:r>
          </w:p>
          <w:p w:rsidR="003033B8" w:rsidRPr="00FC531D" w:rsidRDefault="003033B8" w:rsidP="003033B8">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proofErr w:type="spellStart"/>
            <w:r w:rsidRPr="00FC531D">
              <w:rPr>
                <w:rFonts w:ascii="Times New Roman" w:hAnsi="Times New Roman"/>
                <w:color w:val="auto"/>
                <w:sz w:val="20"/>
              </w:rPr>
              <w:t>Pašnodarbinātības</w:t>
            </w:r>
            <w:proofErr w:type="spellEnd"/>
            <w:r w:rsidRPr="00FC531D">
              <w:rPr>
                <w:rFonts w:ascii="Times New Roman" w:hAnsi="Times New Roman"/>
                <w:color w:val="auto"/>
                <w:sz w:val="20"/>
              </w:rPr>
              <w:t xml:space="preserve"> un uzņēmējdarbības sekmēšana.</w:t>
            </w:r>
          </w:p>
        </w:tc>
        <w:tc>
          <w:tcPr>
            <w:tcW w:w="8647" w:type="dxa"/>
          </w:tcPr>
          <w:p w:rsidR="007F608E" w:rsidRPr="00862050" w:rsidRDefault="007F608E" w:rsidP="002A7B5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862050">
              <w:rPr>
                <w:color w:val="auto"/>
                <w:sz w:val="20"/>
              </w:rPr>
              <w:t>Detalizētāka informācija ir atspoguļota 2020.gada Progresa ziņojumā par Latvijas nacionālās reformu programmas īstenošanu.</w:t>
            </w:r>
          </w:p>
          <w:p w:rsidR="00C17E06" w:rsidRPr="00862050" w:rsidRDefault="00C17E06" w:rsidP="002A7B5C">
            <w:pPr>
              <w:spacing w:after="0"/>
              <w:cnfStyle w:val="000000100000" w:firstRow="0" w:lastRow="0" w:firstColumn="0" w:lastColumn="0" w:oddVBand="0" w:evenVBand="0" w:oddHBand="1" w:evenHBand="0" w:firstRowFirstColumn="0" w:firstRowLastColumn="0" w:lastRowFirstColumn="0" w:lastRowLastColumn="0"/>
              <w:rPr>
                <w:sz w:val="20"/>
              </w:rPr>
            </w:pPr>
            <w:r w:rsidRPr="00862050">
              <w:rPr>
                <w:color w:val="auto"/>
                <w:sz w:val="20"/>
              </w:rPr>
              <w:t>Pilnveidota bezdarbnieku apmācību sistēma, stiprinot kvalitātes un uzraudzības kritērijiem, padarot apmācības kuponu sistēmu iekļaujošāku, īpaši attiecībā uz mērķa grupām. Profesionālās apmācības pasākumi tika papildināti ar tādām iespējām kā augstskolu piedāvātie studiju moduļi, tostarp tiešsaistes kursi. Turklāt bezdarbniekiem tagad bez maksas tiek piedāvāti masveida atklātie tiešsaistes kursi, tādējādi nodrošinot iespēju apgūt neformālās izglītības programmas un iegūt zināšanu apliecinošu sertifikātu, izmantojot tiešsaistes platformu mācību kursus.</w:t>
            </w:r>
            <w:r w:rsidRPr="00862050">
              <w:rPr>
                <w:sz w:val="20"/>
              </w:rPr>
              <w:t xml:space="preserve"> </w:t>
            </w:r>
          </w:p>
          <w:p w:rsidR="00C17E06" w:rsidRPr="00862050" w:rsidRDefault="00C17E06" w:rsidP="0048529F">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862050">
              <w:rPr>
                <w:color w:val="auto"/>
                <w:sz w:val="20"/>
              </w:rPr>
              <w:t>Ieviesti jauni aktīvās darba tirgus pasākumi:</w:t>
            </w:r>
          </w:p>
          <w:p w:rsidR="00C17E06" w:rsidRPr="00862050" w:rsidRDefault="00C17E06" w:rsidP="00DF7139">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Darbam nepieciešamo iemaņu attīstība augstākās izglītības iestādēs: pasākuma ietvaros bezdarbnieka statusu ieguvušajiem klātienes studentiem paredzēta iespēja  piedalīties prasmju un iemaņu attīstības pasākumā, kas ļautu studējošajiem studiju laikā attīstīt pētnieciskās, organizatoriskās, IT prasmes, veicot noteiktus uzdevumus savā mācību iestādē, vienlaikus stiprinot  augstākās izglītības iestādes kapacitāti.</w:t>
            </w:r>
          </w:p>
          <w:p w:rsidR="00C17E06" w:rsidRPr="00862050" w:rsidRDefault="00C17E06" w:rsidP="00DF7139">
            <w:pPr>
              <w:pStyle w:val="ListParagraph"/>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862050">
              <w:rPr>
                <w:rFonts w:ascii="Times New Roman" w:hAnsi="Times New Roman"/>
                <w:color w:val="auto"/>
                <w:sz w:val="20"/>
              </w:rPr>
              <w:t xml:space="preserve">Algu subsīdijas atbalsta pasākums: algas līdzfinansējums darba devējam 50% no algas par bezdarbnieka pieņemšanu darbā, atbalsta apmēram nepārsniedzot minimālās mēneša algas apmēru (430 </w:t>
            </w:r>
            <w:proofErr w:type="spellStart"/>
            <w:r w:rsidR="002A7B5C" w:rsidRPr="00862050">
              <w:rPr>
                <w:rFonts w:ascii="Times New Roman" w:hAnsi="Times New Roman"/>
                <w:i/>
                <w:color w:val="auto"/>
                <w:sz w:val="20"/>
              </w:rPr>
              <w:t>euro</w:t>
            </w:r>
            <w:proofErr w:type="spellEnd"/>
            <w:r w:rsidRPr="00862050">
              <w:rPr>
                <w:rFonts w:ascii="Times New Roman" w:hAnsi="Times New Roman"/>
                <w:color w:val="auto"/>
                <w:sz w:val="20"/>
              </w:rPr>
              <w:t>). Darba devējam būs pienākums nodarbināt darbā pieņemto bezdarbnieku vēl vismaz trīs mēnešus pēc algas subsīdijas beigām. Algu subsīdiju atbalsta pasākumā plānots iesaistīt 15</w:t>
            </w:r>
            <w:r w:rsidR="00AB2E02" w:rsidRPr="00862050">
              <w:rPr>
                <w:rFonts w:ascii="Times New Roman" w:eastAsia="Calibri" w:hAnsi="Times New Roman"/>
                <w:sz w:val="20"/>
              </w:rPr>
              <w:t> </w:t>
            </w:r>
            <w:r w:rsidRPr="00862050">
              <w:rPr>
                <w:rFonts w:ascii="Times New Roman" w:hAnsi="Times New Roman"/>
                <w:color w:val="auto"/>
                <w:sz w:val="20"/>
              </w:rPr>
              <w:t>000 bezdarbniekus.</w:t>
            </w:r>
          </w:p>
          <w:p w:rsidR="00C17E06" w:rsidRPr="00862050" w:rsidRDefault="00C17E06" w:rsidP="002A7B5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862050">
              <w:rPr>
                <w:color w:val="auto"/>
                <w:sz w:val="20"/>
              </w:rPr>
              <w:t xml:space="preserve">Lai veicinātu iedzīvotāju ekonomiskās aktivitātes saglabāšanos un iespējas iekļauties darba tirgū </w:t>
            </w:r>
            <w:proofErr w:type="spellStart"/>
            <w:r w:rsidRPr="00862050">
              <w:rPr>
                <w:color w:val="auto"/>
                <w:sz w:val="20"/>
              </w:rPr>
              <w:t>pēckrīzes</w:t>
            </w:r>
            <w:proofErr w:type="spellEnd"/>
            <w:r w:rsidRPr="00862050">
              <w:rPr>
                <w:color w:val="auto"/>
                <w:sz w:val="20"/>
              </w:rPr>
              <w:t xml:space="preserve"> periodā, kā arī ienākumus nabadzības risku mazināšanai, pagarināts termiņš bezdarbā nonākušo iedzīvotāju iesaistei aktīvā darba tirgus pasākumā “Algoti pagaidu sabiedriskie darbi”.</w:t>
            </w:r>
          </w:p>
          <w:p w:rsidR="007F608E" w:rsidRPr="00862050" w:rsidRDefault="007F608E" w:rsidP="002A7B5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862050">
              <w:rPr>
                <w:color w:val="auto"/>
                <w:sz w:val="20"/>
              </w:rPr>
              <w:t xml:space="preserve">Uzņēmējdarbības un darbaspēka prasmju pilnveidei Latvijā, tiek īstenotas ERAF </w:t>
            </w:r>
            <w:r w:rsidR="006B22C1">
              <w:rPr>
                <w:color w:val="auto"/>
                <w:sz w:val="20"/>
              </w:rPr>
              <w:t>SAM</w:t>
            </w:r>
            <w:r w:rsidRPr="00862050">
              <w:rPr>
                <w:color w:val="auto"/>
                <w:sz w:val="20"/>
              </w:rPr>
              <w:t xml:space="preserve"> 1.2.2. programmas:</w:t>
            </w:r>
          </w:p>
          <w:p w:rsidR="003033B8" w:rsidRPr="00862050" w:rsidRDefault="007F608E" w:rsidP="00862050">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862050">
              <w:rPr>
                <w:i/>
                <w:iCs/>
                <w:color w:val="auto"/>
                <w:sz w:val="20"/>
              </w:rPr>
              <w:t xml:space="preserve">Atbalsts nodarbināto apmācībām (1.2.2.1.) un Atbalsts IKT un netehnoloģiskām apmācībām, kā arī apmācībām, lai sekmētu investoru piesaisti (1.2.2.3.), kopā 24,9 milj. </w:t>
            </w:r>
            <w:proofErr w:type="spellStart"/>
            <w:r w:rsidR="00862050">
              <w:rPr>
                <w:i/>
                <w:iCs/>
                <w:color w:val="auto"/>
                <w:sz w:val="20"/>
              </w:rPr>
              <w:t>euro</w:t>
            </w:r>
            <w:proofErr w:type="spellEnd"/>
            <w:r w:rsidRPr="00862050">
              <w:rPr>
                <w:i/>
                <w:iCs/>
                <w:color w:val="auto"/>
                <w:sz w:val="20"/>
              </w:rPr>
              <w:t xml:space="preserve">. </w:t>
            </w:r>
            <w:r w:rsidRPr="00862050">
              <w:rPr>
                <w:color w:val="auto"/>
                <w:sz w:val="20"/>
              </w:rPr>
              <w:t>Apmācību programmas tiek īstenotas pēc komersantu pieprasījuma to nodarbināto prasmju pilnveidei 18 apmācību jomās, ietverot STEM, valodas, kā arī uzņēmējdarbības, IKT prasmes un atbalstu i</w:t>
            </w:r>
            <w:r w:rsidR="00AB2E02">
              <w:rPr>
                <w:color w:val="auto"/>
                <w:sz w:val="20"/>
              </w:rPr>
              <w:t>nvestoru piesaistei. Līdz 2020.</w:t>
            </w:r>
            <w:r w:rsidRPr="00862050">
              <w:rPr>
                <w:color w:val="auto"/>
                <w:sz w:val="20"/>
              </w:rPr>
              <w:t>gada augustam kopumā apmācītas vairāk kā 1</w:t>
            </w:r>
            <w:r w:rsidR="00AB2E02" w:rsidRPr="00862050">
              <w:rPr>
                <w:rFonts w:eastAsia="Calibri"/>
                <w:sz w:val="20"/>
              </w:rPr>
              <w:t> </w:t>
            </w:r>
            <w:r w:rsidRPr="00862050">
              <w:rPr>
                <w:color w:val="auto"/>
                <w:sz w:val="20"/>
              </w:rPr>
              <w:t>969 komersantu vairāk kā 19 383 nodarbinātie (ne-unikālās personas). Programmu īstenošanas ilgums ir līdz 31.12.2022.</w:t>
            </w:r>
          </w:p>
        </w:tc>
      </w:tr>
      <w:tr w:rsidR="00C0638B" w:rsidRPr="00FC531D" w:rsidTr="007C292F">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4F5836">
            <w:pPr>
              <w:ind w:firstLine="0"/>
              <w:jc w:val="left"/>
              <w:rPr>
                <w:color w:val="auto"/>
                <w:sz w:val="20"/>
              </w:rPr>
            </w:pPr>
            <w:r w:rsidRPr="00FC531D">
              <w:rPr>
                <w:color w:val="auto"/>
                <w:sz w:val="20"/>
              </w:rPr>
              <w:t xml:space="preserve">Kopējās </w:t>
            </w:r>
            <w:r w:rsidR="004F5836">
              <w:rPr>
                <w:color w:val="auto"/>
                <w:sz w:val="20"/>
              </w:rPr>
              <w:t>SEG</w:t>
            </w:r>
            <w:r w:rsidRPr="00FC531D">
              <w:rPr>
                <w:color w:val="auto"/>
                <w:sz w:val="20"/>
              </w:rPr>
              <w:t xml:space="preserve"> emisijas (12,2 </w:t>
            </w:r>
            <w:proofErr w:type="spellStart"/>
            <w:r w:rsidRPr="00FC531D">
              <w:rPr>
                <w:color w:val="auto"/>
                <w:sz w:val="20"/>
              </w:rPr>
              <w:t>Mt</w:t>
            </w:r>
            <w:proofErr w:type="spellEnd"/>
            <w:r w:rsidRPr="00FC531D">
              <w:rPr>
                <w:color w:val="auto"/>
                <w:sz w:val="20"/>
              </w:rPr>
              <w:t xml:space="preserve"> CO2)</w:t>
            </w:r>
          </w:p>
        </w:tc>
        <w:tc>
          <w:tcPr>
            <w:tcW w:w="3827" w:type="dxa"/>
          </w:tcPr>
          <w:p w:rsidR="00C0638B" w:rsidRPr="00FC531D" w:rsidRDefault="00C0638B" w:rsidP="00C0638B">
            <w:pPr>
              <w:pStyle w:val="ListParagraph"/>
              <w:numPr>
                <w:ilvl w:val="0"/>
                <w:numId w:val="5"/>
              </w:numPr>
              <w:spacing w:after="0" w:line="240" w:lineRule="auto"/>
              <w:ind w:left="180" w:hanging="2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Ne-ETS nozaru emisiju ierobežošana;</w:t>
            </w:r>
          </w:p>
          <w:p w:rsidR="00C0638B" w:rsidRPr="00FC531D" w:rsidRDefault="00C0638B" w:rsidP="00C0638B">
            <w:pPr>
              <w:pStyle w:val="ListParagraph"/>
              <w:numPr>
                <w:ilvl w:val="0"/>
                <w:numId w:val="5"/>
              </w:numPr>
              <w:spacing w:after="0" w:line="240" w:lineRule="auto"/>
              <w:ind w:left="180" w:hanging="2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Pētniecība, inovācijas, sabiedrības informēšana.</w:t>
            </w:r>
          </w:p>
        </w:tc>
        <w:tc>
          <w:tcPr>
            <w:tcW w:w="8647" w:type="dxa"/>
          </w:tcPr>
          <w:p w:rsidR="00C0638B" w:rsidRPr="002A7B5C" w:rsidRDefault="00C0638B" w:rsidP="002A7B5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1. Latvijas kopējais SEG emisiju apjoms 2005.</w:t>
            </w:r>
            <w:r w:rsidR="00862050" w:rsidRPr="00862050">
              <w:rPr>
                <w:color w:val="auto"/>
                <w:sz w:val="20"/>
              </w:rPr>
              <w:t>–</w:t>
            </w:r>
            <w:r w:rsidR="007543D0">
              <w:rPr>
                <w:color w:val="auto"/>
                <w:sz w:val="20"/>
              </w:rPr>
              <w:t>2018.</w:t>
            </w:r>
            <w:r w:rsidRPr="002A7B5C">
              <w:rPr>
                <w:color w:val="auto"/>
                <w:sz w:val="20"/>
              </w:rPr>
              <w:t>gadā ir p</w:t>
            </w:r>
            <w:r w:rsidR="00862050">
              <w:rPr>
                <w:color w:val="auto"/>
                <w:sz w:val="20"/>
              </w:rPr>
              <w:t>alielinājies par 2,7%, un 2018.</w:t>
            </w:r>
            <w:r w:rsidRPr="002A7B5C">
              <w:rPr>
                <w:color w:val="auto"/>
                <w:sz w:val="20"/>
              </w:rPr>
              <w:t xml:space="preserve">gadā ir 11,7 </w:t>
            </w:r>
            <w:proofErr w:type="spellStart"/>
            <w:r w:rsidRPr="002A7B5C">
              <w:rPr>
                <w:color w:val="auto"/>
                <w:sz w:val="20"/>
              </w:rPr>
              <w:t>Mt</w:t>
            </w:r>
            <w:proofErr w:type="spellEnd"/>
            <w:r w:rsidRPr="002A7B5C">
              <w:rPr>
                <w:color w:val="auto"/>
                <w:sz w:val="20"/>
              </w:rPr>
              <w:t xml:space="preserve"> CO</w:t>
            </w:r>
            <w:r w:rsidRPr="002A7B5C">
              <w:rPr>
                <w:color w:val="auto"/>
                <w:sz w:val="20"/>
                <w:vertAlign w:val="subscript"/>
              </w:rPr>
              <w:t>2</w:t>
            </w:r>
            <w:r w:rsidRPr="002A7B5C">
              <w:rPr>
                <w:color w:val="auto"/>
                <w:sz w:val="20"/>
              </w:rPr>
              <w:t xml:space="preserve"> </w:t>
            </w:r>
            <w:proofErr w:type="spellStart"/>
            <w:r w:rsidRPr="002A7B5C">
              <w:rPr>
                <w:color w:val="auto"/>
                <w:sz w:val="20"/>
              </w:rPr>
              <w:t>ekv</w:t>
            </w:r>
            <w:proofErr w:type="spellEnd"/>
            <w:r w:rsidRPr="002A7B5C">
              <w:rPr>
                <w:color w:val="auto"/>
                <w:sz w:val="20"/>
              </w:rPr>
              <w:t xml:space="preserve">., kas ir par 7,9% mazāks apjoms nekā noteiktais mērķis - 12,2 </w:t>
            </w:r>
            <w:proofErr w:type="spellStart"/>
            <w:r w:rsidRPr="002A7B5C">
              <w:rPr>
                <w:color w:val="auto"/>
                <w:sz w:val="20"/>
              </w:rPr>
              <w:t>Mt</w:t>
            </w:r>
            <w:proofErr w:type="spellEnd"/>
            <w:r w:rsidRPr="002A7B5C">
              <w:rPr>
                <w:color w:val="auto"/>
                <w:sz w:val="20"/>
              </w:rPr>
              <w:t xml:space="preserve"> CO</w:t>
            </w:r>
            <w:r w:rsidRPr="002A7B5C">
              <w:rPr>
                <w:color w:val="auto"/>
                <w:sz w:val="20"/>
                <w:vertAlign w:val="subscript"/>
              </w:rPr>
              <w:t>2</w:t>
            </w:r>
            <w:r w:rsidRPr="002A7B5C">
              <w:rPr>
                <w:color w:val="auto"/>
                <w:sz w:val="20"/>
              </w:rPr>
              <w:t xml:space="preserve"> </w:t>
            </w:r>
            <w:proofErr w:type="spellStart"/>
            <w:r w:rsidRPr="002A7B5C">
              <w:rPr>
                <w:color w:val="auto"/>
                <w:sz w:val="20"/>
              </w:rPr>
              <w:t>ekv</w:t>
            </w:r>
            <w:proofErr w:type="spellEnd"/>
            <w:r w:rsidRPr="002A7B5C">
              <w:rPr>
                <w:color w:val="auto"/>
                <w:sz w:val="20"/>
              </w:rPr>
              <w:t>.</w:t>
            </w:r>
          </w:p>
          <w:p w:rsidR="00C0638B" w:rsidRPr="002A7B5C" w:rsidRDefault="00C0638B" w:rsidP="002A7B5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La</w:t>
            </w:r>
            <w:r w:rsidR="00862050">
              <w:rPr>
                <w:color w:val="auto"/>
                <w:sz w:val="20"/>
              </w:rPr>
              <w:t>tvijai laika periodā līdz 2020.</w:t>
            </w:r>
            <w:r w:rsidRPr="002A7B5C">
              <w:rPr>
                <w:color w:val="auto"/>
                <w:sz w:val="20"/>
              </w:rPr>
              <w:t>gadam pieļauts ne-ETS darbību SEG emisiju pieaugums par 17%, salīdzinot ar Latvijas ne-ETS d</w:t>
            </w:r>
            <w:r w:rsidR="002A7B5C">
              <w:rPr>
                <w:color w:val="auto"/>
                <w:sz w:val="20"/>
              </w:rPr>
              <w:t>arbību SEG emisiju apjomu 2005.</w:t>
            </w:r>
            <w:r w:rsidRPr="002A7B5C">
              <w:rPr>
                <w:color w:val="auto"/>
                <w:sz w:val="20"/>
              </w:rPr>
              <w:t>gadā.</w:t>
            </w:r>
          </w:p>
          <w:p w:rsidR="00C0638B" w:rsidRPr="002A7B5C" w:rsidRDefault="00183235" w:rsidP="002A7B5C">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lastRenderedPageBreak/>
              <w:t>Latvijā 2018.</w:t>
            </w:r>
            <w:r w:rsidR="00C0638B" w:rsidRPr="002A7B5C">
              <w:rPr>
                <w:color w:val="auto"/>
                <w:sz w:val="20"/>
              </w:rPr>
              <w:t>gadā ne-ETS nozaru emisijas ir p</w:t>
            </w:r>
            <w:r w:rsidR="007543D0">
              <w:rPr>
                <w:color w:val="auto"/>
                <w:sz w:val="20"/>
              </w:rPr>
              <w:t>alielinājušās par 6,4% un 2018.</w:t>
            </w:r>
            <w:r w:rsidR="00C0638B" w:rsidRPr="002A7B5C">
              <w:rPr>
                <w:color w:val="auto"/>
                <w:sz w:val="20"/>
              </w:rPr>
              <w:t xml:space="preserve">gadā ES ETS neiekļauto SEG emisiju apjoms bija 9,1 </w:t>
            </w:r>
            <w:proofErr w:type="spellStart"/>
            <w:r w:rsidR="00C0638B" w:rsidRPr="002A7B5C">
              <w:rPr>
                <w:color w:val="auto"/>
                <w:sz w:val="20"/>
              </w:rPr>
              <w:t>Mt</w:t>
            </w:r>
            <w:proofErr w:type="spellEnd"/>
            <w:r w:rsidR="00C0638B" w:rsidRPr="002A7B5C">
              <w:rPr>
                <w:color w:val="auto"/>
                <w:sz w:val="20"/>
              </w:rPr>
              <w:t xml:space="preserve"> CO</w:t>
            </w:r>
            <w:r w:rsidR="00C0638B" w:rsidRPr="002A7B5C">
              <w:rPr>
                <w:color w:val="auto"/>
                <w:sz w:val="20"/>
                <w:vertAlign w:val="subscript"/>
              </w:rPr>
              <w:t>2</w:t>
            </w:r>
            <w:r w:rsidR="00C0638B" w:rsidRPr="002A7B5C">
              <w:rPr>
                <w:color w:val="auto"/>
                <w:sz w:val="20"/>
              </w:rPr>
              <w:t xml:space="preserve"> </w:t>
            </w:r>
            <w:proofErr w:type="spellStart"/>
            <w:r w:rsidR="00C0638B" w:rsidRPr="002A7B5C">
              <w:rPr>
                <w:color w:val="auto"/>
                <w:sz w:val="20"/>
              </w:rPr>
              <w:t>ekv</w:t>
            </w:r>
            <w:proofErr w:type="spellEnd"/>
            <w:r w:rsidR="00C0638B" w:rsidRPr="002A7B5C">
              <w:rPr>
                <w:color w:val="auto"/>
                <w:sz w:val="20"/>
              </w:rPr>
              <w:t>., kas ir par 7% mazāk nekā Latvijai ar Eiropas Parlamenta un Padomes lēmumu Nr. 406/2009/EK noteiktais 2018. gada mērķis.</w:t>
            </w:r>
          </w:p>
          <w:p w:rsidR="00C0638B" w:rsidRPr="002A7B5C" w:rsidRDefault="00C0638B" w:rsidP="002A7B5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Tiek prognozēts, ka Latvija izpildīts SEG emisij</w:t>
            </w:r>
            <w:r w:rsidR="002A7B5C">
              <w:rPr>
                <w:color w:val="auto"/>
                <w:sz w:val="20"/>
              </w:rPr>
              <w:t>u samazināšanas mērķus uz 2020.</w:t>
            </w:r>
            <w:r w:rsidRPr="002A7B5C">
              <w:rPr>
                <w:color w:val="auto"/>
                <w:sz w:val="20"/>
              </w:rPr>
              <w:t>gadu, kas noteikti nacionālajos politikas plānošanas dokumentos un ES tiesību aktos.</w:t>
            </w:r>
          </w:p>
          <w:p w:rsidR="00C0638B" w:rsidRPr="002A7B5C" w:rsidRDefault="00C0638B" w:rsidP="002A7B5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2. Š.g. septembrī sarunu festivāla “Lampa” ietvaros VARAM ministrs piedalījās augsta līmeņa tiešsaistes diskusijā par Zaļo kursu un Ekonomikas atveseļošanās plānu un to, kā Latvija gaidāmās pārmaiņas izmantos ekonomikas izaugsmei un modernizācijai. Tā pat VARAM parlamentārais sekretārs piedalījās diskusijā “Politiķu zaļais grils "Vai solījumi sakrīt ar darbiem?"”. Dalība pasākumā veicināja sabiedrības informētību un zināšanas par klimata politikas aktualitātēm, popularizēja klimata pārmaiņu mazināšanas vajadzību.</w:t>
            </w:r>
          </w:p>
          <w:p w:rsidR="00C0638B" w:rsidRPr="002A7B5C" w:rsidRDefault="00C0638B" w:rsidP="004F5836">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 xml:space="preserve">Tāpat klimata politikas ieviešanas sekmēšanai ir izstrādāti vairāki pētījumi, kā piemēram, “Novērtējums par nodokļu politikas ietekmi uz </w:t>
            </w:r>
            <w:r w:rsidR="004F5836">
              <w:rPr>
                <w:color w:val="auto"/>
                <w:sz w:val="20"/>
              </w:rPr>
              <w:t>SEG</w:t>
            </w:r>
            <w:r w:rsidRPr="002A7B5C">
              <w:rPr>
                <w:color w:val="auto"/>
                <w:sz w:val="20"/>
              </w:rPr>
              <w:t xml:space="preserve"> emisi</w:t>
            </w:r>
            <w:r w:rsidR="002A7B5C">
              <w:rPr>
                <w:color w:val="auto"/>
                <w:sz w:val="20"/>
              </w:rPr>
              <w:t xml:space="preserve">ju mērķu sasniegšanu Latvijā”, </w:t>
            </w:r>
            <w:r w:rsidRPr="002A7B5C">
              <w:rPr>
                <w:color w:val="auto"/>
                <w:sz w:val="20"/>
              </w:rPr>
              <w:t>“Latvijas tautsaimniecības attīstības iespējamo scenāriju līdz 2050.gadam izstrāde atbilstoši E</w:t>
            </w:r>
            <w:r w:rsidR="00495DE6">
              <w:rPr>
                <w:color w:val="auto"/>
                <w:sz w:val="20"/>
              </w:rPr>
              <w:t>S</w:t>
            </w:r>
            <w:r w:rsidRPr="002A7B5C">
              <w:rPr>
                <w:color w:val="auto"/>
                <w:sz w:val="20"/>
              </w:rPr>
              <w:t xml:space="preserve"> ilgtermiņa attīstības redzējumam”.</w:t>
            </w:r>
          </w:p>
        </w:tc>
      </w:tr>
      <w:tr w:rsidR="00C0638B" w:rsidRPr="00FC531D" w:rsidTr="007C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C0638B">
            <w:pPr>
              <w:ind w:firstLine="0"/>
              <w:jc w:val="left"/>
              <w:rPr>
                <w:color w:val="auto"/>
                <w:sz w:val="20"/>
              </w:rPr>
            </w:pPr>
            <w:r w:rsidRPr="00FC531D">
              <w:rPr>
                <w:color w:val="auto"/>
                <w:sz w:val="20"/>
              </w:rPr>
              <w:lastRenderedPageBreak/>
              <w:t xml:space="preserve">Atjaunojamās enerģijas īpatsvars bruto enerģijas </w:t>
            </w:r>
            <w:proofErr w:type="spellStart"/>
            <w:r w:rsidRPr="00FC531D">
              <w:rPr>
                <w:color w:val="auto"/>
                <w:sz w:val="20"/>
              </w:rPr>
              <w:t>galapatēriņā</w:t>
            </w:r>
            <w:proofErr w:type="spellEnd"/>
            <w:r w:rsidRPr="00FC531D">
              <w:rPr>
                <w:color w:val="auto"/>
                <w:sz w:val="20"/>
              </w:rPr>
              <w:t xml:space="preserve"> (40,0%)</w:t>
            </w:r>
          </w:p>
        </w:tc>
        <w:tc>
          <w:tcPr>
            <w:tcW w:w="3827" w:type="dxa"/>
          </w:tcPr>
          <w:p w:rsidR="00C0638B" w:rsidRPr="00FC531D" w:rsidRDefault="00C0638B" w:rsidP="00DF7139">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Tiesiskās bāzes sakārtošana;</w:t>
            </w:r>
          </w:p>
          <w:p w:rsidR="00C0638B" w:rsidRPr="00FC531D" w:rsidRDefault="00C0638B" w:rsidP="00DF7139">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Finanšu resursu pieejamības nodrošināšana atjaunojamās enerģijas ražošanai;</w:t>
            </w:r>
          </w:p>
          <w:p w:rsidR="00C0638B" w:rsidRPr="00FC531D" w:rsidRDefault="00C0638B" w:rsidP="00DF7139">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Pasākumi atjaunojamo energoresursu 10% mērķa sasniegšanai transporta sektorā.</w:t>
            </w:r>
          </w:p>
        </w:tc>
        <w:tc>
          <w:tcPr>
            <w:tcW w:w="8647" w:type="dxa"/>
          </w:tcPr>
          <w:p w:rsidR="00C0638B" w:rsidRPr="002A7B5C" w:rsidRDefault="00C0638B" w:rsidP="00C97981">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Detalizētāka informācija ir atspoguļota 2020.gada Progresa ziņojumā par Latvijas nacionālās reformu programmas īstenošanu.</w:t>
            </w:r>
          </w:p>
          <w:p w:rsidR="00C0638B" w:rsidRPr="002A7B5C" w:rsidRDefault="00C0638B" w:rsidP="00C97981">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 xml:space="preserve">Latvijai šobrīd ir noteikti saistoši kopējās atjaunojamās enerģijas mērķi un pakārtotie </w:t>
            </w:r>
            <w:proofErr w:type="spellStart"/>
            <w:r w:rsidRPr="002A7B5C">
              <w:rPr>
                <w:color w:val="auto"/>
                <w:sz w:val="20"/>
              </w:rPr>
              <w:t>sektorālie</w:t>
            </w:r>
            <w:proofErr w:type="spellEnd"/>
            <w:r w:rsidRPr="002A7B5C">
              <w:rPr>
                <w:color w:val="auto"/>
                <w:sz w:val="20"/>
              </w:rPr>
              <w:t xml:space="preserve"> mērķi atjaunojamās elektroenerģijas, atjaunojamās siltumenerģijas un dzesēšanai izmantotās enerģijas, kā arī atjaunojamās transporta enerģijas jomā 2020.gadam</w:t>
            </w:r>
            <w:r w:rsidR="00D50A39">
              <w:rPr>
                <w:rStyle w:val="FootnoteReference"/>
                <w:color w:val="auto"/>
              </w:rPr>
              <w:footnoteReference w:customMarkFollows="1" w:id="7"/>
              <w:t>6</w:t>
            </w:r>
            <w:r w:rsidRPr="002A7B5C">
              <w:rPr>
                <w:color w:val="auto"/>
                <w:sz w:val="20"/>
              </w:rPr>
              <w:t xml:space="preserve"> un 2030.gadam</w:t>
            </w:r>
            <w:r w:rsidR="00D50A39">
              <w:rPr>
                <w:rStyle w:val="FootnoteReference"/>
                <w:color w:val="auto"/>
              </w:rPr>
              <w:footnoteReference w:customMarkFollows="1" w:id="8"/>
              <w:t>7</w:t>
            </w:r>
            <w:r w:rsidRPr="002A7B5C">
              <w:rPr>
                <w:color w:val="auto"/>
                <w:sz w:val="20"/>
              </w:rPr>
              <w:t>.</w:t>
            </w:r>
          </w:p>
          <w:p w:rsidR="00C0638B" w:rsidRPr="002A7B5C" w:rsidRDefault="00C0638B" w:rsidP="0048529F">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Tiek prognozēts, ka Latvija izpildīs tai saistošo kopējo atjaunojamās enerģijas mērķi 2020.gadā.</w:t>
            </w:r>
          </w:p>
          <w:p w:rsidR="00C0638B" w:rsidRPr="0048529F" w:rsidRDefault="00317C37" w:rsidP="00DF7139">
            <w:pPr>
              <w:pStyle w:val="ListParagraph"/>
              <w:numPr>
                <w:ilvl w:val="0"/>
                <w:numId w:val="20"/>
              </w:numPr>
              <w:spacing w:after="0" w:line="240" w:lineRule="auto"/>
              <w:ind w:left="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0"/>
              </w:rPr>
            </w:pPr>
            <w:r>
              <w:rPr>
                <w:rFonts w:ascii="Times New Roman" w:hAnsi="Times New Roman"/>
                <w:color w:val="000000" w:themeColor="text1"/>
                <w:sz w:val="20"/>
              </w:rPr>
              <w:t>2020.gada 31.</w:t>
            </w:r>
            <w:r w:rsidR="00C0638B" w:rsidRPr="0048529F">
              <w:rPr>
                <w:rFonts w:ascii="Times New Roman" w:hAnsi="Times New Roman"/>
                <w:color w:val="000000" w:themeColor="text1"/>
                <w:sz w:val="20"/>
              </w:rPr>
              <w:t>janvārī Saeima pieņēma grozījumus Elektroenerģijas tirgus liku</w:t>
            </w:r>
            <w:r>
              <w:rPr>
                <w:rFonts w:ascii="Times New Roman" w:hAnsi="Times New Roman"/>
                <w:color w:val="000000" w:themeColor="text1"/>
                <w:sz w:val="20"/>
              </w:rPr>
              <w:t>mā (stājās spēkā 2020.gada 15.</w:t>
            </w:r>
            <w:r w:rsidR="00C0638B" w:rsidRPr="0048529F">
              <w:rPr>
                <w:rFonts w:ascii="Times New Roman" w:hAnsi="Times New Roman"/>
                <w:color w:val="000000" w:themeColor="text1"/>
                <w:sz w:val="20"/>
              </w:rPr>
              <w:t>februārī), kas paredz vairākus atbalsta sistēmas uzlabojumus elektroenerģijas ražotājiem, kas darbojas obligātā iepirkuma ietvaros. Lai izpildītu Elektroenerģijas tirgus likumā paredzēto E</w:t>
            </w:r>
            <w:r w:rsidR="006A4D6F">
              <w:rPr>
                <w:rFonts w:ascii="Times New Roman" w:hAnsi="Times New Roman"/>
                <w:color w:val="000000" w:themeColor="text1"/>
                <w:sz w:val="20"/>
                <w:lang w:val="lv-LV"/>
              </w:rPr>
              <w:t xml:space="preserve">M </w:t>
            </w:r>
            <w:r w:rsidR="00C0638B" w:rsidRPr="0048529F">
              <w:rPr>
                <w:rFonts w:ascii="Times New Roman" w:hAnsi="Times New Roman"/>
                <w:color w:val="000000" w:themeColor="text1"/>
                <w:sz w:val="20"/>
              </w:rPr>
              <w:t>turpina strādāt pie grozījumiem saistītajos M</w:t>
            </w:r>
            <w:r w:rsidR="00E470F5">
              <w:rPr>
                <w:rFonts w:ascii="Times New Roman" w:hAnsi="Times New Roman"/>
                <w:color w:val="000000" w:themeColor="text1"/>
                <w:sz w:val="20"/>
                <w:lang w:val="lv-LV"/>
              </w:rPr>
              <w:t xml:space="preserve">K </w:t>
            </w:r>
            <w:r w:rsidR="00C0638B" w:rsidRPr="0048529F">
              <w:rPr>
                <w:rFonts w:ascii="Times New Roman" w:hAnsi="Times New Roman"/>
                <w:color w:val="000000" w:themeColor="text1"/>
                <w:sz w:val="20"/>
              </w:rPr>
              <w:t>noteikumos.</w:t>
            </w:r>
            <w:r w:rsidR="0048529F">
              <w:rPr>
                <w:rFonts w:ascii="Times New Roman" w:hAnsi="Times New Roman"/>
                <w:color w:val="000000" w:themeColor="text1"/>
                <w:sz w:val="20"/>
                <w:lang w:val="lv-LV"/>
              </w:rPr>
              <w:t xml:space="preserve"> </w:t>
            </w:r>
            <w:r w:rsidR="00C0638B" w:rsidRPr="0048529F">
              <w:rPr>
                <w:rFonts w:ascii="Times New Roman" w:hAnsi="Times New Roman"/>
                <w:color w:val="000000" w:themeColor="text1"/>
                <w:sz w:val="20"/>
              </w:rPr>
              <w:t>E</w:t>
            </w:r>
            <w:r w:rsidR="00E470F5">
              <w:rPr>
                <w:rFonts w:ascii="Times New Roman" w:hAnsi="Times New Roman"/>
                <w:color w:val="000000" w:themeColor="text1"/>
                <w:sz w:val="20"/>
                <w:lang w:val="lv-LV"/>
              </w:rPr>
              <w:t xml:space="preserve">M </w:t>
            </w:r>
            <w:r w:rsidR="00C0638B" w:rsidRPr="0048529F">
              <w:rPr>
                <w:rFonts w:ascii="Times New Roman" w:hAnsi="Times New Roman"/>
                <w:color w:val="000000" w:themeColor="text1"/>
                <w:sz w:val="20"/>
              </w:rPr>
              <w:t>ir izstrādājusi un 2020.</w:t>
            </w:r>
            <w:r w:rsidRPr="00862050">
              <w:rPr>
                <w:rFonts w:ascii="Times New Roman" w:hAnsi="Times New Roman"/>
                <w:color w:val="auto"/>
                <w:sz w:val="20"/>
              </w:rPr>
              <w:t>–</w:t>
            </w:r>
            <w:r w:rsidR="00C0638B" w:rsidRPr="0048529F">
              <w:rPr>
                <w:rFonts w:ascii="Times New Roman" w:hAnsi="Times New Roman"/>
                <w:color w:val="000000" w:themeColor="text1"/>
                <w:sz w:val="20"/>
              </w:rPr>
              <w:t xml:space="preserve">2021.gadā virza apstiprināšanai grozījumus Enerģētikas likumā, lai cita starpā tajā nosakot nosacījumus attiecībā uz atjaunojamo enerģiju, </w:t>
            </w:r>
            <w:proofErr w:type="spellStart"/>
            <w:r w:rsidR="00C0638B" w:rsidRPr="0048529F">
              <w:rPr>
                <w:rFonts w:ascii="Times New Roman" w:hAnsi="Times New Roman"/>
                <w:color w:val="000000" w:themeColor="text1"/>
                <w:sz w:val="20"/>
              </w:rPr>
              <w:t>energokopienām</w:t>
            </w:r>
            <w:proofErr w:type="spellEnd"/>
            <w:r w:rsidR="00C0638B" w:rsidRPr="0048529F">
              <w:rPr>
                <w:rFonts w:ascii="Times New Roman" w:hAnsi="Times New Roman"/>
                <w:color w:val="000000" w:themeColor="text1"/>
                <w:sz w:val="20"/>
              </w:rPr>
              <w:t xml:space="preserve">, enerģijas izcelsmes apliecinājumiem, sniegto atbalstu finansiālo stāvokli. </w:t>
            </w:r>
          </w:p>
          <w:p w:rsidR="00C0638B" w:rsidRPr="0048529F" w:rsidRDefault="00C0638B" w:rsidP="00DF7139">
            <w:pPr>
              <w:pStyle w:val="ListParagraph"/>
              <w:numPr>
                <w:ilvl w:val="0"/>
                <w:numId w:val="20"/>
              </w:numPr>
              <w:spacing w:after="0" w:line="240" w:lineRule="auto"/>
              <w:ind w:left="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48529F">
              <w:rPr>
                <w:rFonts w:ascii="Times New Roman" w:hAnsi="Times New Roman"/>
                <w:color w:val="000000" w:themeColor="text1"/>
                <w:sz w:val="20"/>
              </w:rPr>
              <w:t>Saistībā ar finanšu resursu pieejamības nodrošināšanu atjaunojamās enerģijas ražošanai E</w:t>
            </w:r>
            <w:r w:rsidR="006A4D6F">
              <w:rPr>
                <w:rFonts w:ascii="Times New Roman" w:hAnsi="Times New Roman"/>
                <w:color w:val="000000" w:themeColor="text1"/>
                <w:sz w:val="20"/>
                <w:lang w:val="lv-LV"/>
              </w:rPr>
              <w:t xml:space="preserve">M </w:t>
            </w:r>
            <w:r w:rsidRPr="0048529F">
              <w:rPr>
                <w:rFonts w:ascii="Times New Roman" w:hAnsi="Times New Roman"/>
                <w:color w:val="000000" w:themeColor="text1"/>
                <w:sz w:val="20"/>
              </w:rPr>
              <w:t>ir atbildīga par ES fondu 4.3.1. SAM “Veicināt energoefektivitāti un vietējo AER izmantošanu centralizētajā siltumapgādē” īstenošanu. Šīs atbalsta programmas ietvaros atbalsts tiek sniegts centralizētās siltumapgādes sistēmas komersantiem atbalstot pāreju uz atjaunojamiem energoresursiem, kā arī uzlabojot energoefektivitāti siltum</w:t>
            </w:r>
            <w:r w:rsidR="00FF0F68">
              <w:rPr>
                <w:rFonts w:ascii="Times New Roman" w:hAnsi="Times New Roman"/>
                <w:color w:val="000000" w:themeColor="text1"/>
                <w:sz w:val="20"/>
                <w:lang w:val="en-US"/>
              </w:rPr>
              <w:t xml:space="preserve"> </w:t>
            </w:r>
            <w:r w:rsidRPr="0048529F">
              <w:rPr>
                <w:rFonts w:ascii="Times New Roman" w:hAnsi="Times New Roman"/>
                <w:color w:val="000000" w:themeColor="text1"/>
                <w:sz w:val="20"/>
              </w:rPr>
              <w:t>avotos, kur jau šobrīd tiek izmantoti atjaunojamie energoresursi. Tāpat E</w:t>
            </w:r>
            <w:r w:rsidR="006A4D6F">
              <w:rPr>
                <w:rFonts w:ascii="Times New Roman" w:hAnsi="Times New Roman"/>
                <w:color w:val="000000" w:themeColor="text1"/>
                <w:sz w:val="20"/>
                <w:lang w:val="lv-LV"/>
              </w:rPr>
              <w:t xml:space="preserve">M </w:t>
            </w:r>
            <w:r w:rsidRPr="0048529F">
              <w:rPr>
                <w:rFonts w:ascii="Times New Roman" w:hAnsi="Times New Roman"/>
                <w:color w:val="000000" w:themeColor="text1"/>
                <w:sz w:val="20"/>
              </w:rPr>
              <w:t xml:space="preserve">ir atbildīga par ES fondu 4.1.1. SAM “Veicināt efektīvu </w:t>
            </w:r>
            <w:r w:rsidRPr="0048529F">
              <w:rPr>
                <w:rFonts w:ascii="Times New Roman" w:hAnsi="Times New Roman"/>
                <w:color w:val="000000" w:themeColor="text1"/>
                <w:sz w:val="20"/>
              </w:rPr>
              <w:lastRenderedPageBreak/>
              <w:t>energoresursu izmantošanu, enerģijas patēriņa samazināšanu un pāreju uz AER apstrādes rūpniecības nozarē” īstenošanu. Šīs atbalsta programmas ietvaros tiek sniegts atbalsts rūpnieciskās ražošanas komersantiem pārejai uz atjaunojamiem energoresursiem, kā arī to ražošanā izmantoto rūpnieciskās ražošanas un sadedzināšanas iekārtu energoefektivitātes uzlabošanai, tādējādi sniedzot ieguldījumu valsts primārās enerģijas patēriņa samazinājumā un valsts obligātā mērķa – kumulatīvo enerģijas ietaupījumu mērķis enerģijas gala</w:t>
            </w:r>
            <w:r w:rsidR="00C97981" w:rsidRPr="0048529F">
              <w:rPr>
                <w:rFonts w:ascii="Times New Roman" w:hAnsi="Times New Roman"/>
                <w:color w:val="000000" w:themeColor="text1"/>
                <w:sz w:val="20"/>
              </w:rPr>
              <w:t xml:space="preserve"> </w:t>
            </w:r>
            <w:r w:rsidRPr="0048529F">
              <w:rPr>
                <w:rFonts w:ascii="Times New Roman" w:hAnsi="Times New Roman"/>
                <w:color w:val="000000" w:themeColor="text1"/>
                <w:sz w:val="20"/>
              </w:rPr>
              <w:t>patēriņā, izpildē.</w:t>
            </w:r>
          </w:p>
          <w:p w:rsidR="0048529F" w:rsidRDefault="00C0638B" w:rsidP="00DF7139">
            <w:pPr>
              <w:pStyle w:val="ListParagraph"/>
              <w:numPr>
                <w:ilvl w:val="0"/>
                <w:numId w:val="20"/>
              </w:numPr>
              <w:spacing w:after="0" w:line="240" w:lineRule="auto"/>
              <w:ind w:left="425"/>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48529F">
              <w:rPr>
                <w:rFonts w:ascii="Times New Roman" w:hAnsi="Times New Roman"/>
                <w:color w:val="000000" w:themeColor="text1"/>
                <w:sz w:val="20"/>
              </w:rPr>
              <w:t>2018.gadā atjaunojamās transporta enerģijas īpatsvars kopējā transporta enerģijas gala</w:t>
            </w:r>
            <w:r w:rsidR="00C97981" w:rsidRPr="0048529F">
              <w:rPr>
                <w:rFonts w:ascii="Times New Roman" w:hAnsi="Times New Roman"/>
                <w:color w:val="000000" w:themeColor="text1"/>
                <w:sz w:val="20"/>
              </w:rPr>
              <w:t xml:space="preserve"> </w:t>
            </w:r>
            <w:r w:rsidRPr="0048529F">
              <w:rPr>
                <w:rFonts w:ascii="Times New Roman" w:hAnsi="Times New Roman"/>
                <w:color w:val="000000" w:themeColor="text1"/>
                <w:sz w:val="20"/>
              </w:rPr>
              <w:t>patēriņā sasniedza 4,7% un 2019.gadā tas varētu sasniegt 5%.</w:t>
            </w:r>
            <w:r w:rsidR="0048529F" w:rsidRPr="0048529F">
              <w:rPr>
                <w:rFonts w:ascii="Times New Roman" w:hAnsi="Times New Roman"/>
                <w:color w:val="000000" w:themeColor="text1"/>
                <w:sz w:val="20"/>
                <w:lang w:val="lv-LV"/>
              </w:rPr>
              <w:t xml:space="preserve"> </w:t>
            </w:r>
            <w:r w:rsidRPr="0048529F">
              <w:rPr>
                <w:rFonts w:ascii="Times New Roman" w:hAnsi="Times New Roman"/>
                <w:color w:val="000000" w:themeColor="text1"/>
                <w:sz w:val="20"/>
              </w:rPr>
              <w:t>2020.gada atjaunojamās transporta enerģijas īpatsvaru palielinās 2019.gada 10.decembra noteikumi Nr.640 “Gr</w:t>
            </w:r>
            <w:r w:rsidR="00E470F5">
              <w:rPr>
                <w:rFonts w:ascii="Times New Roman" w:hAnsi="Times New Roman"/>
                <w:color w:val="000000" w:themeColor="text1"/>
                <w:sz w:val="20"/>
              </w:rPr>
              <w:t>ozījumi M</w:t>
            </w:r>
            <w:r w:rsidR="00E470F5">
              <w:rPr>
                <w:rFonts w:ascii="Times New Roman" w:hAnsi="Times New Roman"/>
                <w:color w:val="000000" w:themeColor="text1"/>
                <w:sz w:val="20"/>
                <w:lang w:val="lv-LV"/>
              </w:rPr>
              <w:t xml:space="preserve">K </w:t>
            </w:r>
            <w:r w:rsidR="00E470F5">
              <w:rPr>
                <w:rFonts w:ascii="Times New Roman" w:hAnsi="Times New Roman"/>
                <w:color w:val="000000" w:themeColor="text1"/>
                <w:sz w:val="20"/>
              </w:rPr>
              <w:t>2000.</w:t>
            </w:r>
            <w:r w:rsidRPr="0048529F">
              <w:rPr>
                <w:rFonts w:ascii="Times New Roman" w:hAnsi="Times New Roman"/>
                <w:color w:val="000000" w:themeColor="text1"/>
                <w:sz w:val="20"/>
              </w:rPr>
              <w:t>gada 2</w:t>
            </w:r>
            <w:r w:rsidR="00E470F5">
              <w:rPr>
                <w:rFonts w:ascii="Times New Roman" w:hAnsi="Times New Roman"/>
                <w:color w:val="000000" w:themeColor="text1"/>
                <w:sz w:val="20"/>
              </w:rPr>
              <w:t>6.</w:t>
            </w:r>
            <w:r w:rsidR="003B2E08">
              <w:rPr>
                <w:rFonts w:ascii="Times New Roman" w:hAnsi="Times New Roman"/>
                <w:color w:val="000000" w:themeColor="text1"/>
                <w:sz w:val="20"/>
              </w:rPr>
              <w:t>septembra noteikumos Nr.</w:t>
            </w:r>
            <w:r w:rsidRPr="0048529F">
              <w:rPr>
                <w:rFonts w:ascii="Times New Roman" w:hAnsi="Times New Roman"/>
                <w:color w:val="000000" w:themeColor="text1"/>
                <w:sz w:val="20"/>
              </w:rPr>
              <w:t>332 "Noteikumi par benzīna un dīzeļdegvielas atbilstības novērtēšanu", kas paredz palielināt minimālo biodegvielas piejaukumu dīzeļdegvielai no 4,5% uz 6,5% (arktisko dīzeļdegvielu bez biodegvielas piejaukuma var tirgot tikai zi</w:t>
            </w:r>
            <w:r w:rsidR="00E470F5">
              <w:rPr>
                <w:rFonts w:ascii="Times New Roman" w:hAnsi="Times New Roman"/>
                <w:color w:val="000000" w:themeColor="text1"/>
                <w:sz w:val="20"/>
              </w:rPr>
              <w:t>emas periodā) un 95.</w:t>
            </w:r>
            <w:r w:rsidRPr="0048529F">
              <w:rPr>
                <w:rFonts w:ascii="Times New Roman" w:hAnsi="Times New Roman"/>
                <w:color w:val="000000" w:themeColor="text1"/>
                <w:sz w:val="20"/>
              </w:rPr>
              <w:t>markas benzīnam no 4,5% uz 9,5%. Būtiski uzlabojot statistikas datu apkopojumu par gala</w:t>
            </w:r>
            <w:r w:rsidR="00C97981" w:rsidRPr="0048529F">
              <w:rPr>
                <w:rFonts w:ascii="Times New Roman" w:hAnsi="Times New Roman"/>
                <w:color w:val="000000" w:themeColor="text1"/>
                <w:sz w:val="20"/>
              </w:rPr>
              <w:t xml:space="preserve"> </w:t>
            </w:r>
            <w:r w:rsidRPr="0048529F">
              <w:rPr>
                <w:rFonts w:ascii="Times New Roman" w:hAnsi="Times New Roman"/>
                <w:color w:val="000000" w:themeColor="text1"/>
                <w:sz w:val="20"/>
              </w:rPr>
              <w:t>patēriņā transportā izmantoto elektroenerģijas apjomu, tika nodrošināts, ka 2019.gada dati par elektroenerģijas izmantojumu transportā uzrāda &gt;50% pieaugumu salīdzinot ar 2018.gada datiem.</w:t>
            </w:r>
            <w:r w:rsidR="0048529F" w:rsidRPr="0048529F">
              <w:rPr>
                <w:rFonts w:ascii="Times New Roman" w:hAnsi="Times New Roman"/>
                <w:color w:val="000000" w:themeColor="text1"/>
                <w:sz w:val="20"/>
              </w:rPr>
              <w:t xml:space="preserve"> </w:t>
            </w:r>
          </w:p>
          <w:p w:rsidR="00C0638B" w:rsidRPr="0048529F" w:rsidRDefault="00C0638B" w:rsidP="006A4D6F">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48529F">
              <w:rPr>
                <w:color w:val="000000" w:themeColor="text1"/>
                <w:sz w:val="20"/>
              </w:rPr>
              <w:t>Lai vēl vairāk veicinātu atjaunojamās enerģijas izmantošanas transportā pieaugumu E</w:t>
            </w:r>
            <w:r w:rsidR="006A4D6F">
              <w:rPr>
                <w:color w:val="000000" w:themeColor="text1"/>
                <w:sz w:val="20"/>
              </w:rPr>
              <w:t xml:space="preserve">M </w:t>
            </w:r>
            <w:r w:rsidRPr="0048529F">
              <w:rPr>
                <w:color w:val="000000" w:themeColor="text1"/>
                <w:sz w:val="20"/>
              </w:rPr>
              <w:t>ir izstrādājusi un 2020.</w:t>
            </w:r>
            <w:r w:rsidR="00FF0F68" w:rsidRPr="0048529F">
              <w:rPr>
                <w:color w:val="000000" w:themeColor="text1"/>
                <w:sz w:val="20"/>
              </w:rPr>
              <w:t>–</w:t>
            </w:r>
            <w:r w:rsidRPr="0048529F">
              <w:rPr>
                <w:color w:val="000000" w:themeColor="text1"/>
                <w:sz w:val="20"/>
              </w:rPr>
              <w:t>2021.gadā virza apstiprināšanai likumprojektu “Transporta enerģijas likums”, paredzot izveidot uz degvielas piegādātājiem attiecināmā atjaunojamās enerģijas pienākuma mehānismu (līdzdalības mehānismu), nosakot konkrētus degvielas piegādātājiem saistošus atjaunojamās transporta enerģijas realizācijas gala</w:t>
            </w:r>
            <w:r w:rsidR="00C97981" w:rsidRPr="0048529F">
              <w:rPr>
                <w:color w:val="000000" w:themeColor="text1"/>
                <w:sz w:val="20"/>
              </w:rPr>
              <w:t xml:space="preserve"> </w:t>
            </w:r>
            <w:r w:rsidRPr="0048529F">
              <w:rPr>
                <w:color w:val="000000" w:themeColor="text1"/>
                <w:sz w:val="20"/>
              </w:rPr>
              <w:t>patēriņam transportā mērķus.</w:t>
            </w:r>
          </w:p>
        </w:tc>
      </w:tr>
      <w:tr w:rsidR="00C0638B" w:rsidRPr="00FC531D" w:rsidTr="007C292F">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C0638B">
            <w:pPr>
              <w:ind w:firstLine="0"/>
              <w:jc w:val="left"/>
              <w:rPr>
                <w:color w:val="auto"/>
                <w:sz w:val="20"/>
              </w:rPr>
            </w:pPr>
            <w:r w:rsidRPr="00FC531D">
              <w:rPr>
                <w:color w:val="auto"/>
                <w:sz w:val="20"/>
              </w:rPr>
              <w:lastRenderedPageBreak/>
              <w:t xml:space="preserve">Energoefektivitāte - enerģijas ietaupījums pret 2008.gadu (0,670 </w:t>
            </w:r>
            <w:proofErr w:type="spellStart"/>
            <w:r w:rsidRPr="00FC531D">
              <w:rPr>
                <w:color w:val="auto"/>
                <w:sz w:val="20"/>
              </w:rPr>
              <w:t>Mtoe</w:t>
            </w:r>
            <w:proofErr w:type="spellEnd"/>
            <w:r w:rsidRPr="00FC531D">
              <w:rPr>
                <w:color w:val="auto"/>
                <w:sz w:val="20"/>
              </w:rPr>
              <w:t>)</w:t>
            </w:r>
          </w:p>
        </w:tc>
        <w:tc>
          <w:tcPr>
            <w:tcW w:w="3827" w:type="dxa"/>
          </w:tcPr>
          <w:p w:rsidR="00C0638B" w:rsidRPr="00FC531D" w:rsidRDefault="00C0638B" w:rsidP="00DF7139">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Energoefektivitātes paaugstināšana mājokļos un rūpnieciskajā ražošanā;</w:t>
            </w:r>
          </w:p>
          <w:p w:rsidR="00C0638B" w:rsidRPr="00FC531D" w:rsidRDefault="00C0638B" w:rsidP="00DF7139">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Energoefektivitātes paaugstināšana sabiedriskajās ēkās;</w:t>
            </w:r>
          </w:p>
          <w:p w:rsidR="00C0638B" w:rsidRPr="00FC531D" w:rsidRDefault="00C0638B" w:rsidP="00DF7139">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Efektīvas apgaismojuma infrastruktūras ieviešana pašvaldību publiskajās teritorijās;</w:t>
            </w:r>
          </w:p>
          <w:p w:rsidR="00C0638B" w:rsidRPr="00FC531D" w:rsidRDefault="00C0638B" w:rsidP="00DF7139">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Energoefektivitātes paaugstināšana siltumenerģijas ražošanā;</w:t>
            </w:r>
          </w:p>
          <w:p w:rsidR="00C0638B" w:rsidRPr="00FC531D" w:rsidRDefault="00C0638B" w:rsidP="00DF7139">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Atbalsts energoietilpīgiem komersantiem.</w:t>
            </w:r>
          </w:p>
        </w:tc>
        <w:tc>
          <w:tcPr>
            <w:tcW w:w="8647" w:type="dxa"/>
          </w:tcPr>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Detalizētāka informācija ir atspoguļota 2020.gada Progresa ziņojumā par Latvijas nacionālās reformu programmas īstenošanu.</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E</w:t>
            </w:r>
            <w:r w:rsidR="006A4D6F">
              <w:rPr>
                <w:color w:val="auto"/>
                <w:sz w:val="20"/>
              </w:rPr>
              <w:t xml:space="preserve">M </w:t>
            </w:r>
            <w:r w:rsidRPr="00C97981">
              <w:rPr>
                <w:color w:val="auto"/>
                <w:sz w:val="20"/>
              </w:rPr>
              <w:t xml:space="preserve">2020.gadā veiks elektroenerģijas izmaksu un valsts atbalsta mehānisma ietekmes novērtējumu uz energoietilpīgu apstrādes rūpniecības nozaru uzņēmumiem un valsts atbalsta mehānisma </w:t>
            </w:r>
            <w:proofErr w:type="spellStart"/>
            <w:r w:rsidRPr="00C97981">
              <w:rPr>
                <w:color w:val="auto"/>
                <w:sz w:val="20"/>
              </w:rPr>
              <w:t>izvērtējums</w:t>
            </w:r>
            <w:proofErr w:type="spellEnd"/>
            <w:r w:rsidRPr="00C97981">
              <w:rPr>
                <w:color w:val="auto"/>
                <w:sz w:val="20"/>
              </w:rPr>
              <w:t>, kā arī izvērtēs valsts atbalsta energoietilpīgiem apstrādes uzņēmumiem efektivitāti un turpināšanu pēc 2020.gada.</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1. Ar 2020.gada 30.jūnija M</w:t>
            </w:r>
            <w:r w:rsidR="0001481E">
              <w:rPr>
                <w:color w:val="auto"/>
                <w:sz w:val="20"/>
              </w:rPr>
              <w:t xml:space="preserve">K </w:t>
            </w:r>
            <w:r w:rsidRPr="00C97981">
              <w:rPr>
                <w:color w:val="auto"/>
                <w:sz w:val="20"/>
              </w:rPr>
              <w:t>noteikumiem Nr.426 “Grozījumi M</w:t>
            </w:r>
            <w:r w:rsidR="0001481E">
              <w:rPr>
                <w:color w:val="auto"/>
                <w:sz w:val="20"/>
              </w:rPr>
              <w:t xml:space="preserve">K </w:t>
            </w:r>
            <w:r w:rsidRPr="00C97981">
              <w:rPr>
                <w:color w:val="auto"/>
                <w:sz w:val="20"/>
              </w:rPr>
              <w:t xml:space="preserve">2016.gada 15.marta noteikumos Nr. 160 “Darbības programmas “Izaugsme un nodarbinātība” 4.2.1. specifiskā mērķa “Veicināt energoefektivitātes paaugstināšanu valsts un dzīvojamās ēkās 4.2.1.1. </w:t>
            </w:r>
            <w:r w:rsidR="006B22C1">
              <w:rPr>
                <w:color w:val="auto"/>
                <w:sz w:val="20"/>
              </w:rPr>
              <w:t>SAM</w:t>
            </w:r>
            <w:r w:rsidRPr="00C97981">
              <w:rPr>
                <w:color w:val="auto"/>
                <w:sz w:val="20"/>
              </w:rPr>
              <w:t xml:space="preserve"> pasākuma “Veicināt energoefektivitātes paaugstināšanu dzīvojamās ēkās” īstenošanas noteikumi”, ar kuriem programmai ir piešķirts papildu finansējums 35 miljonu </w:t>
            </w:r>
            <w:proofErr w:type="spellStart"/>
            <w:r w:rsidR="00695294" w:rsidRPr="00283E6C">
              <w:rPr>
                <w:i/>
                <w:color w:val="auto"/>
                <w:sz w:val="20"/>
              </w:rPr>
              <w:t>euro</w:t>
            </w:r>
            <w:proofErr w:type="spellEnd"/>
            <w:r w:rsidRPr="00C97981">
              <w:rPr>
                <w:color w:val="auto"/>
                <w:sz w:val="20"/>
              </w:rPr>
              <w:t xml:space="preserve"> apmērā, lai būtu iespēja atbalstīt vairāk jau iesniegtos projektus, attiecīgi paaugstinātu energoefektivitāti daudzīvokļu mājās”. </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Ir izstrādāta jauna atbalsta programma, lai veicinātu energoefektivitātes paaugstināšanu un AER izmantošanas veicināšanu privātmājās. Programmu regulē M</w:t>
            </w:r>
            <w:r w:rsidR="00E470F5">
              <w:rPr>
                <w:color w:val="auto"/>
                <w:sz w:val="20"/>
              </w:rPr>
              <w:t xml:space="preserve">K </w:t>
            </w:r>
            <w:r w:rsidRPr="00C97981">
              <w:rPr>
                <w:color w:val="auto"/>
                <w:sz w:val="20"/>
              </w:rPr>
              <w:t>20</w:t>
            </w:r>
            <w:r w:rsidR="00FF0F68">
              <w:rPr>
                <w:color w:val="auto"/>
                <w:sz w:val="20"/>
              </w:rPr>
              <w:t>20.gada 28.jūlija noteikumi Nr.</w:t>
            </w:r>
            <w:r w:rsidRPr="00C97981">
              <w:rPr>
                <w:color w:val="auto"/>
                <w:sz w:val="20"/>
              </w:rPr>
              <w:t xml:space="preserve">473 “Noteikumi par atbalsta programmu dzīvojamo māju energoefektivitātes paaugstināšanai”. Programma tiek finansēta no valsts budžeta un </w:t>
            </w:r>
            <w:r w:rsidRPr="00C97981">
              <w:rPr>
                <w:color w:val="auto"/>
                <w:spacing w:val="2"/>
                <w:sz w:val="20"/>
                <w:shd w:val="clear" w:color="auto" w:fill="FEFEFE"/>
              </w:rPr>
              <w:t>A</w:t>
            </w:r>
            <w:r w:rsidR="006A4499">
              <w:rPr>
                <w:color w:val="auto"/>
                <w:spacing w:val="2"/>
                <w:sz w:val="20"/>
                <w:shd w:val="clear" w:color="auto" w:fill="FEFEFE"/>
              </w:rPr>
              <w:t>LTUM</w:t>
            </w:r>
            <w:r w:rsidRPr="00C97981">
              <w:rPr>
                <w:color w:val="auto"/>
                <w:spacing w:val="2"/>
                <w:sz w:val="20"/>
                <w:shd w:val="clear" w:color="auto" w:fill="FEFEFE"/>
              </w:rPr>
              <w:t xml:space="preserve"> </w:t>
            </w:r>
            <w:r w:rsidRPr="00C97981">
              <w:rPr>
                <w:color w:val="auto"/>
                <w:sz w:val="20"/>
              </w:rPr>
              <w:t>nesadalītās peļņas.</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bCs/>
                <w:color w:val="auto"/>
                <w:sz w:val="20"/>
              </w:rPr>
            </w:pPr>
            <w:r w:rsidRPr="00C97981">
              <w:rPr>
                <w:color w:val="auto"/>
                <w:sz w:val="20"/>
              </w:rPr>
              <w:t>Ņemot vērā C</w:t>
            </w:r>
            <w:r w:rsidR="00183235">
              <w:rPr>
                <w:color w:val="auto"/>
                <w:sz w:val="20"/>
              </w:rPr>
              <w:t>ovid-</w:t>
            </w:r>
            <w:r w:rsidRPr="00C97981">
              <w:rPr>
                <w:color w:val="auto"/>
                <w:sz w:val="20"/>
              </w:rPr>
              <w:t>19 radītās sekas un lai mazinātu to ietekmi, pamatojoties uz M</w:t>
            </w:r>
            <w:r w:rsidR="0001481E">
              <w:rPr>
                <w:color w:val="auto"/>
                <w:sz w:val="20"/>
              </w:rPr>
              <w:t xml:space="preserve">K </w:t>
            </w:r>
            <w:r w:rsidRPr="00C97981">
              <w:rPr>
                <w:color w:val="auto"/>
                <w:sz w:val="20"/>
              </w:rPr>
              <w:t xml:space="preserve">2020.gada 19.maija protokolu Nr. Nr. 34 33§ (TA-882) </w:t>
            </w:r>
            <w:r w:rsidRPr="00C97981">
              <w:rPr>
                <w:color w:val="auto"/>
                <w:sz w:val="20"/>
                <w:shd w:val="clear" w:color="auto" w:fill="FFFFFF"/>
              </w:rPr>
              <w:t xml:space="preserve">4.2.1.2. pasākuma "Veicināt energoefektivitātes paaugstināšanu valsts ēkās" ir samazināts programmas finansējums </w:t>
            </w:r>
            <w:r w:rsidRPr="00C97981">
              <w:rPr>
                <w:bCs/>
                <w:color w:val="auto"/>
                <w:sz w:val="20"/>
              </w:rPr>
              <w:t xml:space="preserve">no 115 127 027 </w:t>
            </w:r>
            <w:proofErr w:type="spellStart"/>
            <w:r w:rsidR="00695294" w:rsidRPr="00283E6C">
              <w:rPr>
                <w:i/>
                <w:color w:val="auto"/>
                <w:sz w:val="20"/>
              </w:rPr>
              <w:t>euro</w:t>
            </w:r>
            <w:proofErr w:type="spellEnd"/>
            <w:r w:rsidRPr="00C97981">
              <w:rPr>
                <w:bCs/>
                <w:color w:val="auto"/>
                <w:sz w:val="20"/>
              </w:rPr>
              <w:t xml:space="preserve"> uz 109 832 909 </w:t>
            </w:r>
            <w:proofErr w:type="spellStart"/>
            <w:r w:rsidR="00695294" w:rsidRPr="00283E6C">
              <w:rPr>
                <w:i/>
                <w:color w:val="auto"/>
                <w:sz w:val="20"/>
              </w:rPr>
              <w:lastRenderedPageBreak/>
              <w:t>euro</w:t>
            </w:r>
            <w:proofErr w:type="spellEnd"/>
            <w:r w:rsidRPr="00C97981">
              <w:rPr>
                <w:bCs/>
                <w:color w:val="auto"/>
                <w:sz w:val="20"/>
              </w:rPr>
              <w:t>, pamatojoties uz M</w:t>
            </w:r>
            <w:r w:rsidR="0001481E">
              <w:rPr>
                <w:bCs/>
                <w:color w:val="auto"/>
                <w:sz w:val="20"/>
              </w:rPr>
              <w:t xml:space="preserve">K </w:t>
            </w:r>
            <w:r w:rsidRPr="00C97981">
              <w:rPr>
                <w:bCs/>
                <w:color w:val="auto"/>
                <w:sz w:val="20"/>
              </w:rPr>
              <w:t>2020</w:t>
            </w:r>
            <w:r w:rsidR="00183235">
              <w:rPr>
                <w:bCs/>
                <w:color w:val="auto"/>
                <w:sz w:val="20"/>
              </w:rPr>
              <w:t>.gada 28.jūlija noteikumiem Nr.</w:t>
            </w:r>
            <w:r w:rsidRPr="00C97981">
              <w:rPr>
                <w:bCs/>
                <w:color w:val="auto"/>
                <w:sz w:val="20"/>
              </w:rPr>
              <w:t>483 “Grozījumi M</w:t>
            </w:r>
            <w:r w:rsidR="00E470F5">
              <w:rPr>
                <w:bCs/>
                <w:color w:val="auto"/>
                <w:sz w:val="20"/>
              </w:rPr>
              <w:t xml:space="preserve">K </w:t>
            </w:r>
            <w:r w:rsidRPr="00C97981">
              <w:rPr>
                <w:bCs/>
                <w:color w:val="auto"/>
                <w:sz w:val="20"/>
              </w:rPr>
              <w:t>201</w:t>
            </w:r>
            <w:r w:rsidR="00183235">
              <w:rPr>
                <w:bCs/>
                <w:color w:val="auto"/>
                <w:sz w:val="20"/>
              </w:rPr>
              <w:t>6.gada 9.augusta noteikumos Nr.</w:t>
            </w:r>
            <w:r w:rsidRPr="00C97981">
              <w:rPr>
                <w:bCs/>
                <w:color w:val="auto"/>
                <w:sz w:val="20"/>
              </w:rPr>
              <w:t xml:space="preserve">534 “Darbības programmas “Izaugsme un nodarbinātība 4.2.1. </w:t>
            </w:r>
            <w:r w:rsidR="006B22C1">
              <w:rPr>
                <w:bCs/>
                <w:color w:val="auto"/>
                <w:sz w:val="20"/>
              </w:rPr>
              <w:t>SAM</w:t>
            </w:r>
            <w:r w:rsidRPr="00C97981">
              <w:rPr>
                <w:bCs/>
                <w:color w:val="auto"/>
                <w:sz w:val="20"/>
              </w:rPr>
              <w:t xml:space="preserve"> “Veicināt energoefektivitātes paaugstināšanu valsts un dzīvojamās ēkas” 4.2.1.2. pasākuma “Veicināt energoefektivitātes paaugstināšanu valsts ēkās” pirmās projektu iesniegumu atlases kārtas īstenošanas noteikumi”.</w:t>
            </w:r>
          </w:p>
          <w:p w:rsidR="00C0638B" w:rsidRPr="00C97981" w:rsidRDefault="0001481E"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2. 2020.</w:t>
            </w:r>
            <w:r w:rsidR="00C0638B" w:rsidRPr="00C97981">
              <w:rPr>
                <w:color w:val="auto"/>
                <w:sz w:val="20"/>
              </w:rPr>
              <w:t xml:space="preserve">gadā </w:t>
            </w:r>
            <w:r w:rsidR="00C20C92">
              <w:rPr>
                <w:color w:val="auto"/>
                <w:sz w:val="20"/>
              </w:rPr>
              <w:t>EKII</w:t>
            </w:r>
            <w:r w:rsidR="00C0638B" w:rsidRPr="00C97981">
              <w:rPr>
                <w:color w:val="auto"/>
                <w:sz w:val="20"/>
              </w:rPr>
              <w:t xml:space="preserve"> projektu konkursa "</w:t>
            </w:r>
            <w:r w:rsidR="004F5836">
              <w:rPr>
                <w:color w:val="auto"/>
                <w:sz w:val="20"/>
              </w:rPr>
              <w:t>SEG</w:t>
            </w:r>
            <w:r w:rsidR="00C0638B" w:rsidRPr="00C97981">
              <w:rPr>
                <w:color w:val="auto"/>
                <w:sz w:val="20"/>
              </w:rPr>
              <w:t xml:space="preserve"> emisiju samazināšana</w:t>
            </w:r>
            <w:r>
              <w:rPr>
                <w:color w:val="auto"/>
                <w:sz w:val="20"/>
              </w:rPr>
              <w:t xml:space="preserve"> – </w:t>
            </w:r>
            <w:r w:rsidR="00C0638B" w:rsidRPr="00C97981">
              <w:rPr>
                <w:color w:val="auto"/>
                <w:sz w:val="20"/>
              </w:rPr>
              <w:t>zema enerģijas patēriņa ēkas" ietvaros ir pabeigta 5 projektu īstenošana un šī konkur</w:t>
            </w:r>
            <w:r>
              <w:rPr>
                <w:color w:val="auto"/>
                <w:sz w:val="20"/>
              </w:rPr>
              <w:t>sa ietvaros līdz 2020.gada 30.</w:t>
            </w:r>
            <w:r w:rsidR="00C0638B" w:rsidRPr="00C97981">
              <w:rPr>
                <w:color w:val="auto"/>
                <w:sz w:val="20"/>
              </w:rPr>
              <w:t>augustam projektiem ir izmaksāts finansējums 2</w:t>
            </w:r>
            <w:r w:rsidR="000C24B6" w:rsidRPr="00C97981">
              <w:rPr>
                <w:color w:val="auto"/>
                <w:sz w:val="20"/>
              </w:rPr>
              <w:t> </w:t>
            </w:r>
            <w:r w:rsidR="00C0638B" w:rsidRPr="00C97981">
              <w:rPr>
                <w:color w:val="auto"/>
                <w:sz w:val="20"/>
              </w:rPr>
              <w:t xml:space="preserve">636 289 </w:t>
            </w:r>
            <w:proofErr w:type="spellStart"/>
            <w:r w:rsidR="00C0638B" w:rsidRPr="00C97981">
              <w:rPr>
                <w:i/>
                <w:color w:val="auto"/>
                <w:sz w:val="20"/>
              </w:rPr>
              <w:t>euro</w:t>
            </w:r>
            <w:proofErr w:type="spellEnd"/>
            <w:r w:rsidR="00C0638B" w:rsidRPr="00C97981">
              <w:rPr>
                <w:color w:val="auto"/>
                <w:sz w:val="20"/>
              </w:rPr>
              <w:t xml:space="preserve"> apmērā. Savukārt EKII projektu konkursa "</w:t>
            </w:r>
            <w:r w:rsidR="004F5836">
              <w:rPr>
                <w:color w:val="auto"/>
                <w:sz w:val="20"/>
              </w:rPr>
              <w:t xml:space="preserve">SEG </w:t>
            </w:r>
            <w:r w:rsidR="00C0638B" w:rsidRPr="00C97981">
              <w:rPr>
                <w:color w:val="auto"/>
                <w:sz w:val="20"/>
              </w:rPr>
              <w:t>emisiju samazināšana valsts nozīmes aizsargājamos arhitektūras pieminekļos" ietvaros turpinās 3 projektu īstenošana un šī konkursa ietvar</w:t>
            </w:r>
            <w:r>
              <w:rPr>
                <w:color w:val="auto"/>
                <w:sz w:val="20"/>
              </w:rPr>
              <w:t>os līdz 2020.gada 30.augustam</w:t>
            </w:r>
            <w:r w:rsidR="00C0638B" w:rsidRPr="00C97981">
              <w:rPr>
                <w:color w:val="auto"/>
                <w:sz w:val="20"/>
              </w:rPr>
              <w:t xml:space="preserve"> projekti</w:t>
            </w:r>
            <w:r>
              <w:rPr>
                <w:color w:val="auto"/>
                <w:sz w:val="20"/>
              </w:rPr>
              <w:t>em ir izmaksāts finansējums 251</w:t>
            </w:r>
            <w:r w:rsidRPr="00C97981">
              <w:rPr>
                <w:color w:val="auto"/>
                <w:sz w:val="20"/>
              </w:rPr>
              <w:t> </w:t>
            </w:r>
            <w:r w:rsidR="00C0638B" w:rsidRPr="00C97981">
              <w:rPr>
                <w:color w:val="auto"/>
                <w:sz w:val="20"/>
              </w:rPr>
              <w:t xml:space="preserve">871 </w:t>
            </w:r>
            <w:proofErr w:type="spellStart"/>
            <w:r w:rsidR="00C0638B" w:rsidRPr="00C97981">
              <w:rPr>
                <w:i/>
                <w:color w:val="auto"/>
                <w:sz w:val="20"/>
              </w:rPr>
              <w:t>euro</w:t>
            </w:r>
            <w:proofErr w:type="spellEnd"/>
            <w:r w:rsidR="00C0638B" w:rsidRPr="00C97981">
              <w:rPr>
                <w:color w:val="auto"/>
                <w:sz w:val="20"/>
              </w:rPr>
              <w:t xml:space="preserve"> apmērā.</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Abu iepriekš minēto konkursu ietvaros kopējais plānotais oglekļa dioksīda (CO2) emisiju samazinājums būs ap 989 tonnas.</w:t>
            </w:r>
          </w:p>
          <w:p w:rsidR="00C0638B" w:rsidRPr="00C97981" w:rsidRDefault="0001481E"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Tāpat 2020.</w:t>
            </w:r>
            <w:r w:rsidR="00C0638B" w:rsidRPr="00C97981">
              <w:rPr>
                <w:color w:val="auto"/>
                <w:sz w:val="20"/>
              </w:rPr>
              <w:t>gadā turpinās 2 projektu īstenošana  EKII projektu konkursa “</w:t>
            </w:r>
            <w:r w:rsidR="004F5836">
              <w:rPr>
                <w:color w:val="auto"/>
                <w:sz w:val="20"/>
              </w:rPr>
              <w:t>SEG</w:t>
            </w:r>
            <w:r w:rsidR="00C0638B" w:rsidRPr="00C97981">
              <w:rPr>
                <w:color w:val="auto"/>
                <w:sz w:val="20"/>
              </w:rPr>
              <w:t xml:space="preserve"> emisiju samazināšana, attīstot enerģētiski pašpietiekamu ēku būvniecību” ietvaros. </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3. 2020.gadā turpinās EKII projektu konkursa “</w:t>
            </w:r>
            <w:r w:rsidR="004F5836">
              <w:rPr>
                <w:color w:val="auto"/>
                <w:sz w:val="20"/>
              </w:rPr>
              <w:t>SEG</w:t>
            </w:r>
            <w:r w:rsidRPr="00C97981">
              <w:rPr>
                <w:color w:val="auto"/>
                <w:sz w:val="20"/>
              </w:rPr>
              <w:t xml:space="preserve"> emisiju samazināšana ar viedajām pilsētvides tehnoloģijām” īstenošana, kura ietvaros trīs projektu īstenošana jau ir noslēgusies un šī konkursa ietvar</w:t>
            </w:r>
            <w:r w:rsidR="0001481E">
              <w:rPr>
                <w:color w:val="auto"/>
                <w:sz w:val="20"/>
              </w:rPr>
              <w:t>os līdz 2020.gada 30.augustam</w:t>
            </w:r>
            <w:r w:rsidRPr="00C97981">
              <w:rPr>
                <w:color w:val="auto"/>
                <w:sz w:val="20"/>
              </w:rPr>
              <w:t xml:space="preserve"> projektiem ir izmaksāts finansējums 629</w:t>
            </w:r>
            <w:r w:rsidR="0001481E" w:rsidRPr="00C97981">
              <w:rPr>
                <w:color w:val="auto"/>
                <w:sz w:val="20"/>
              </w:rPr>
              <w:t> </w:t>
            </w:r>
            <w:r w:rsidRPr="00C97981">
              <w:rPr>
                <w:color w:val="auto"/>
                <w:sz w:val="20"/>
              </w:rPr>
              <w:t xml:space="preserve">477 </w:t>
            </w:r>
            <w:proofErr w:type="spellStart"/>
            <w:r w:rsidRPr="00C97981">
              <w:rPr>
                <w:i/>
                <w:color w:val="auto"/>
                <w:sz w:val="20"/>
              </w:rPr>
              <w:t>euro</w:t>
            </w:r>
            <w:proofErr w:type="spellEnd"/>
            <w:r w:rsidRPr="00C97981">
              <w:rPr>
                <w:i/>
                <w:color w:val="auto"/>
                <w:sz w:val="20"/>
              </w:rPr>
              <w:t xml:space="preserve"> </w:t>
            </w:r>
            <w:r w:rsidRPr="00C97981">
              <w:rPr>
                <w:color w:val="auto"/>
                <w:sz w:val="20"/>
              </w:rPr>
              <w:t>apmērā.</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Konkursa ietvaros plānotais oglekļa dioksīda (CO2) emisiju samazinājums būs ap 598 tonnas.</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4. E</w:t>
            </w:r>
            <w:r w:rsidR="006A4D6F">
              <w:rPr>
                <w:color w:val="auto"/>
                <w:sz w:val="20"/>
              </w:rPr>
              <w:t xml:space="preserve">M </w:t>
            </w:r>
            <w:r w:rsidRPr="00C97981">
              <w:rPr>
                <w:color w:val="auto"/>
                <w:sz w:val="20"/>
              </w:rPr>
              <w:t>ir izstrādājusi un 2020.</w:t>
            </w:r>
            <w:r w:rsidR="003B2E08" w:rsidRPr="00862050">
              <w:rPr>
                <w:color w:val="auto"/>
                <w:sz w:val="20"/>
              </w:rPr>
              <w:t>–</w:t>
            </w:r>
            <w:r w:rsidRPr="00C97981">
              <w:rPr>
                <w:color w:val="auto"/>
                <w:sz w:val="20"/>
              </w:rPr>
              <w:t xml:space="preserve">2021.gadā virza apstiprināšanai Grozījumus Energoefektivitātes likumā, lai pārņemtu Eiropas parlamenta un Padomes </w:t>
            </w:r>
            <w:r w:rsidR="003B2E08">
              <w:rPr>
                <w:color w:val="auto"/>
                <w:sz w:val="20"/>
              </w:rPr>
              <w:t>Direktīvu (ES) 2018/2002 (2018.gada 11.</w:t>
            </w:r>
            <w:r w:rsidRPr="00C97981">
              <w:rPr>
                <w:color w:val="auto"/>
                <w:sz w:val="20"/>
              </w:rPr>
              <w:t>decembris), ar ko groza Direktīvu 2012/27/ES par energoefektivitāti.</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2020.</w:t>
            </w:r>
            <w:r w:rsidR="003B2E08" w:rsidRPr="00862050">
              <w:rPr>
                <w:color w:val="auto"/>
                <w:sz w:val="20"/>
              </w:rPr>
              <w:t>–</w:t>
            </w:r>
            <w:r w:rsidRPr="00C97981">
              <w:rPr>
                <w:color w:val="auto"/>
                <w:sz w:val="20"/>
              </w:rPr>
              <w:t>2021. gadā plānots pētīt energoefektivitātes pienākuma shēmas paplašināšanas iespējas.</w:t>
            </w:r>
          </w:p>
          <w:p w:rsidR="00C0638B" w:rsidRPr="00C97981" w:rsidRDefault="00C0638B" w:rsidP="00C97981">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E</w:t>
            </w:r>
            <w:r w:rsidR="006A4D6F">
              <w:rPr>
                <w:color w:val="auto"/>
                <w:sz w:val="20"/>
              </w:rPr>
              <w:t xml:space="preserve">M </w:t>
            </w:r>
            <w:r w:rsidRPr="00C97981">
              <w:rPr>
                <w:color w:val="auto"/>
                <w:sz w:val="20"/>
              </w:rPr>
              <w:t xml:space="preserve">paredzētās izmaiņas Enerģētikas likumā paredz svītrot Lokālo siltumapgādi, tādejādi valstī būtu Centralizētā siltumapgāde un individuālā siltumapgāde. Mērķis ir veicināt siltumapgādes tīklu un katlu </w:t>
            </w:r>
            <w:proofErr w:type="spellStart"/>
            <w:r w:rsidRPr="00C97981">
              <w:rPr>
                <w:color w:val="auto"/>
                <w:sz w:val="20"/>
              </w:rPr>
              <w:t>efektivizāciju</w:t>
            </w:r>
            <w:proofErr w:type="spellEnd"/>
            <w:r w:rsidRPr="00C97981">
              <w:rPr>
                <w:color w:val="auto"/>
                <w:sz w:val="20"/>
              </w:rPr>
              <w:t xml:space="preserve">. Esošais regulējums neparedz prasības par efektivitāti Lokālajā siltumapgādē. Atsevišķi komersanti, kas sniedz Lokālo siltumapgādes pakalpojumus, pēc būtības atbilst centralizētās siltumapgādes uzņēmuma statusam. </w:t>
            </w:r>
          </w:p>
          <w:p w:rsidR="00C0638B" w:rsidRPr="00C97981" w:rsidRDefault="00C0638B" w:rsidP="00C0638B">
            <w:pPr>
              <w:spacing w:after="60"/>
              <w:cnfStyle w:val="000000000000" w:firstRow="0" w:lastRow="0" w:firstColumn="0" w:lastColumn="0" w:oddVBand="0" w:evenVBand="0" w:oddHBand="0" w:evenHBand="0" w:firstRowFirstColumn="0" w:firstRowLastColumn="0" w:lastRowFirstColumn="0" w:lastRowLastColumn="0"/>
              <w:rPr>
                <w:color w:val="auto"/>
                <w:sz w:val="20"/>
              </w:rPr>
            </w:pPr>
            <w:r w:rsidRPr="00C97981">
              <w:rPr>
                <w:color w:val="auto"/>
                <w:sz w:val="20"/>
              </w:rPr>
              <w:t xml:space="preserve">Noteikt, ka pašvaldība savas administratīvās teritorijas vai tās daļas ietvaros, ir tiesīga saistošajos noteikumos noteikt siltumapgādes risinājumu veidus, tostarp noteikt pienākumu pieslēgties centrālajai siltumapgādes sistēmai, kur tas ir ekonomiski un tehniski pamatoti, vai izmantot citu AER vai </w:t>
            </w:r>
            <w:proofErr w:type="spellStart"/>
            <w:r w:rsidRPr="00C97981">
              <w:rPr>
                <w:color w:val="auto"/>
                <w:sz w:val="20"/>
              </w:rPr>
              <w:t>bezemisiju</w:t>
            </w:r>
            <w:proofErr w:type="spellEnd"/>
            <w:r w:rsidRPr="00C97981">
              <w:rPr>
                <w:color w:val="auto"/>
                <w:sz w:val="20"/>
              </w:rPr>
              <w:t xml:space="preserve"> siltumapgādes tehnoloģiju/avotu. Mērķis ir panākt efektīgāku (cenas, pakalpojuma kvalitātes un izmešu neitrālāku) CSA izmantošanu. Kā arī samazināt līdz minimumam individuālo dzīvokļu </w:t>
            </w:r>
            <w:proofErr w:type="spellStart"/>
            <w:r w:rsidRPr="00C97981">
              <w:rPr>
                <w:color w:val="auto"/>
                <w:sz w:val="20"/>
              </w:rPr>
              <w:t>atslēgumu</w:t>
            </w:r>
            <w:proofErr w:type="spellEnd"/>
            <w:r w:rsidRPr="00C97981">
              <w:rPr>
                <w:color w:val="auto"/>
                <w:sz w:val="20"/>
              </w:rPr>
              <w:t xml:space="preserve"> skaitu no CSA (izņemot gadījumos, kur tas ir ekonomiski pamatoti).</w:t>
            </w:r>
          </w:p>
        </w:tc>
      </w:tr>
      <w:tr w:rsidR="00C0638B" w:rsidRPr="00FC531D" w:rsidTr="007C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C0638B">
            <w:pPr>
              <w:ind w:firstLine="0"/>
              <w:jc w:val="left"/>
              <w:rPr>
                <w:color w:val="auto"/>
                <w:sz w:val="20"/>
              </w:rPr>
            </w:pPr>
            <w:r w:rsidRPr="00FC531D">
              <w:rPr>
                <w:color w:val="auto"/>
                <w:sz w:val="20"/>
              </w:rPr>
              <w:lastRenderedPageBreak/>
              <w:t>Skolu nepabeigušo iedzīvotāju īpatsvars 18-24 gadu vecumā (13,4% (10,0%))</w:t>
            </w:r>
          </w:p>
        </w:tc>
        <w:tc>
          <w:tcPr>
            <w:tcW w:w="3827" w:type="dxa"/>
          </w:tcPr>
          <w:p w:rsidR="00C0638B" w:rsidRPr="00FC531D" w:rsidRDefault="00C0638B" w:rsidP="00DF7139">
            <w:pPr>
              <w:pStyle w:val="ListParagraph"/>
              <w:numPr>
                <w:ilvl w:val="0"/>
                <w:numId w:val="8"/>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Pamata un vidējās izglītības pieejamības nodrošināšana;</w:t>
            </w:r>
          </w:p>
          <w:p w:rsidR="00C0638B" w:rsidRPr="00FC531D" w:rsidRDefault="00C0638B" w:rsidP="00DF7139">
            <w:pPr>
              <w:pStyle w:val="ListParagraph"/>
              <w:numPr>
                <w:ilvl w:val="0"/>
                <w:numId w:val="8"/>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Modernu mācību metožu ieviešana;</w:t>
            </w:r>
          </w:p>
          <w:p w:rsidR="00C0638B" w:rsidRPr="00FC531D" w:rsidRDefault="00C0638B" w:rsidP="00DF7139">
            <w:pPr>
              <w:pStyle w:val="ListParagraph"/>
              <w:numPr>
                <w:ilvl w:val="0"/>
                <w:numId w:val="8"/>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Strukturālo izmaiņu īstenošana profesionālajā izglītībā;</w:t>
            </w:r>
          </w:p>
          <w:p w:rsidR="00C0638B" w:rsidRPr="00FC531D" w:rsidRDefault="00C0638B" w:rsidP="00DF7139">
            <w:pPr>
              <w:pStyle w:val="ListParagraph"/>
              <w:numPr>
                <w:ilvl w:val="0"/>
                <w:numId w:val="8"/>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lastRenderedPageBreak/>
              <w:t xml:space="preserve">Profesionālās izglītības satura reformas īstenošana </w:t>
            </w:r>
          </w:p>
          <w:p w:rsidR="00C0638B" w:rsidRPr="00FC531D" w:rsidRDefault="00C0638B" w:rsidP="00DF7139">
            <w:pPr>
              <w:pStyle w:val="ListParagraph"/>
              <w:numPr>
                <w:ilvl w:val="0"/>
                <w:numId w:val="8"/>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Sadarbības ar sociālajiem partneriem profesionālās izglītības pilnveidošanai un attīstībai stiprināšana nozaru kontekstā.</w:t>
            </w:r>
          </w:p>
        </w:tc>
        <w:tc>
          <w:tcPr>
            <w:tcW w:w="8647" w:type="dxa"/>
          </w:tcPr>
          <w:p w:rsidR="00C0638B" w:rsidRPr="002A7B5C" w:rsidRDefault="00C0638B" w:rsidP="0001481E">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auto"/>
                <w:sz w:val="20"/>
              </w:rPr>
              <w:lastRenderedPageBreak/>
              <w:t>1.</w:t>
            </w:r>
            <w:r w:rsidR="0001481E">
              <w:rPr>
                <w:color w:val="auto"/>
                <w:sz w:val="20"/>
              </w:rPr>
              <w:t xml:space="preserve"> </w:t>
            </w:r>
            <w:r w:rsidRPr="002A7B5C">
              <w:rPr>
                <w:color w:val="auto"/>
                <w:sz w:val="20"/>
              </w:rPr>
              <w:t xml:space="preserve">IZM no 2019.gada augusta līdz 2020.gada martam ir organizējusi tikšanās ar visu 119 Latvijas pašvaldību pārstāvjiem, lai meklētu labākos risinājumus izglītības iestāžu tīkla tālākai attīstībai. Lai nodrošinātu iespēju ikvienam skolēnam iegūt kvalitatīvu izglītību neatkarīgi no dzīves vietas, tiek turpināts darbs pie vispārējās izglītības iestāžu tīkla sakārtošanas. IZM ir izstrādājusi piedāvājumu, kas paredz noteikt minimālo pieļaujamo izglītojamo skaitu vispārējās vidējās izglītības iestāžu vidējās izglītības </w:t>
            </w:r>
            <w:r w:rsidRPr="002A7B5C">
              <w:rPr>
                <w:color w:val="auto"/>
                <w:sz w:val="20"/>
              </w:rPr>
              <w:lastRenderedPageBreak/>
              <w:t>pakāpē (10. – 12.klašu grupā) atbilstoši Latvijas teritoriālaj</w:t>
            </w:r>
            <w:r w:rsidR="00F36006">
              <w:rPr>
                <w:color w:val="auto"/>
                <w:sz w:val="20"/>
              </w:rPr>
              <w:t>am iedalījumam, ievērojot 2021.</w:t>
            </w:r>
            <w:r w:rsidRPr="002A7B5C">
              <w:rPr>
                <w:color w:val="auto"/>
                <w:sz w:val="20"/>
              </w:rPr>
              <w:t xml:space="preserve">gadā plānoto administratīvi teritoriālo reformu. </w:t>
            </w:r>
          </w:p>
          <w:p w:rsidR="00C0638B" w:rsidRPr="002A7B5C" w:rsidRDefault="00C0638B" w:rsidP="0001481E">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000000"/>
                <w:sz w:val="20"/>
              </w:rPr>
              <w:t>2.</w:t>
            </w:r>
            <w:r w:rsidR="0001481E">
              <w:rPr>
                <w:color w:val="000000"/>
                <w:sz w:val="20"/>
              </w:rPr>
              <w:t xml:space="preserve"> </w:t>
            </w:r>
            <w:r w:rsidRPr="002A7B5C">
              <w:rPr>
                <w:color w:val="000000"/>
                <w:sz w:val="20"/>
              </w:rPr>
              <w:t xml:space="preserve">2020.gada 1.septebrī tika uzsākta pilnveidotā mācību satura ieviešana pamatizglītības posma 1., 4. un 7.klasē un vidējās izglītības 10.klasē. Mācību saturs izstrādāts 8.3.1.SAM “Attīstīt kompetenču pieejā balstītu vispārējās izglītības saturu” 8.3.1.1.pasākuma “Kompetenču pieejā balstīta vispārējās izglītības satura aprobācija un ieviešana” projektā “Kompetenču pieeja mācību saturā”. Gatavojoties pilnveidotā mācību satura ieviešanai,  nodrošināti semināri un </w:t>
            </w:r>
            <w:proofErr w:type="spellStart"/>
            <w:r w:rsidRPr="002A7B5C">
              <w:rPr>
                <w:color w:val="000000"/>
                <w:sz w:val="20"/>
              </w:rPr>
              <w:t>vebināri</w:t>
            </w:r>
            <w:proofErr w:type="spellEnd"/>
            <w:r w:rsidRPr="002A7B5C">
              <w:rPr>
                <w:color w:val="000000"/>
                <w:sz w:val="20"/>
              </w:rPr>
              <w:t xml:space="preserve"> visu mācību jomu pedagogiem par jaunā satura īstenošanas jautājumiem. </w:t>
            </w:r>
            <w:proofErr w:type="spellStart"/>
            <w:r w:rsidRPr="002A7B5C">
              <w:rPr>
                <w:color w:val="000000"/>
                <w:sz w:val="20"/>
              </w:rPr>
              <w:t>Vebināri</w:t>
            </w:r>
            <w:proofErr w:type="spellEnd"/>
            <w:r w:rsidRPr="002A7B5C">
              <w:rPr>
                <w:color w:val="000000"/>
                <w:sz w:val="20"/>
              </w:rPr>
              <w:t xml:space="preserve"> skolotājiem ir pieejami projekta </w:t>
            </w:r>
            <w:proofErr w:type="spellStart"/>
            <w:r w:rsidRPr="002A7B5C">
              <w:rPr>
                <w:color w:val="000000"/>
                <w:sz w:val="20"/>
              </w:rPr>
              <w:t>YouTube</w:t>
            </w:r>
            <w:proofErr w:type="spellEnd"/>
            <w:r w:rsidRPr="002A7B5C">
              <w:rPr>
                <w:color w:val="000000"/>
                <w:sz w:val="20"/>
              </w:rPr>
              <w:t xml:space="preserve"> kanālā.</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000000"/>
                <w:sz w:val="20"/>
              </w:rPr>
              <w:t xml:space="preserve">Uzsākta pārbaudes darbu uzdevumu izstrāde atbilstoši pilnveidotajam mācību saturam, to plānots pabeigt 2021.gadā. </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000000"/>
                <w:sz w:val="20"/>
              </w:rPr>
              <w:t>Šogad plānots uzsākt atbalsta materiālu pedagogiem “Tava klase” filmēšanu un apraidi, kā arī veidot mācību platformu pedagogiem “Virtuālā klase”, izmantojot brīvpieejas tiešsaistes rīkus.</w:t>
            </w:r>
          </w:p>
          <w:p w:rsidR="0001481E" w:rsidRDefault="00C0638B" w:rsidP="0001481E">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000000"/>
                <w:sz w:val="20"/>
              </w:rPr>
              <w:t xml:space="preserve">ES struktūrfondu </w:t>
            </w:r>
            <w:r w:rsidR="006B22C1">
              <w:rPr>
                <w:color w:val="000000"/>
                <w:sz w:val="20"/>
              </w:rPr>
              <w:t>SAM</w:t>
            </w:r>
            <w:r w:rsidRPr="002A7B5C">
              <w:rPr>
                <w:color w:val="000000"/>
                <w:sz w:val="20"/>
              </w:rPr>
              <w:t xml:space="preserve"> 8.3.2. „Palielināt atbalstu vispārējās izglītības iestādēm izglītojamo individuālo kompetenču attīstībai” 8.3.2.2. pasākuma „Atbalsts izglītojamo individuālo kompetenču attīstībai” ietvaros ir noslēgti sadarbības līgumi ar 116 pašvaldībām, 358 vispārējās izglītības iestādes kopš 2017.gada īsteno atbalsta pasākumus skolēnu kompetenču attīstībai. Šie atbalsta pasākumi paredz dažādot gan mācību procesā, gan </w:t>
            </w:r>
            <w:proofErr w:type="spellStart"/>
            <w:r w:rsidRPr="002A7B5C">
              <w:rPr>
                <w:color w:val="000000"/>
                <w:sz w:val="20"/>
              </w:rPr>
              <w:t>ārpusstundu</w:t>
            </w:r>
            <w:proofErr w:type="spellEnd"/>
            <w:r w:rsidRPr="002A7B5C">
              <w:rPr>
                <w:color w:val="000000"/>
                <w:sz w:val="20"/>
              </w:rPr>
              <w:t xml:space="preserve"> darbā izmantotās mācību metodes, tādējādi dodot iespēju gan skolēniem ar mācību grūtībām, gan skolēniem ar augstiem sasniegumiem uzlabot savu sniegumu mācībās. Kopumā gandrīz 7</w:t>
            </w:r>
            <w:r w:rsidR="00F36006" w:rsidRPr="00C97981">
              <w:rPr>
                <w:color w:val="auto"/>
                <w:sz w:val="20"/>
              </w:rPr>
              <w:t> </w:t>
            </w:r>
            <w:r w:rsidRPr="002A7B5C">
              <w:rPr>
                <w:color w:val="000000"/>
                <w:sz w:val="20"/>
              </w:rPr>
              <w:t>000 pedagogu ir iesaistīti atbalsta pasākumu īstenošanā. Pasākuma ietvaros ir nodrošināta pedagogu profesionālās kompetences pilnveides kursi gan STEM jomas pedagogiem (robotika, elektronika, programmēšana, vide/ķīmija), gan arī darbā ar skolēnu uzvedības problēmām, lasītprasmes pilnveidi, kā arī pedagogi ir apguvuši specifiskus diagnosticēšanas rīkus, lai agrīni spētu diagnosticēt skolēnu vajadzības. Lai mērķtiecīgi dažādotu mācību procesu pasākuma ietvaros vairāk nekā 100 izglītības iestādes pakāpeniski tiek aprīkotas ar mācību materiāliem inovatīvu interešu izglītības programmu īstenošanai (robotikas komplekti</w:t>
            </w:r>
            <w:r w:rsidR="0001481E">
              <w:rPr>
                <w:color w:val="000000"/>
                <w:sz w:val="20"/>
              </w:rPr>
              <w:t xml:space="preserve">, fizikas sensori). </w:t>
            </w:r>
          </w:p>
          <w:p w:rsidR="00C0638B" w:rsidRPr="0001481E" w:rsidRDefault="00C0638B" w:rsidP="0001481E">
            <w:pPr>
              <w:spacing w:after="0"/>
              <w:cnfStyle w:val="000000100000" w:firstRow="0" w:lastRow="0" w:firstColumn="0" w:lastColumn="0" w:oddVBand="0" w:evenVBand="0" w:oddHBand="1" w:evenHBand="0" w:firstRowFirstColumn="0" w:firstRowLastColumn="0" w:lastRowFirstColumn="0" w:lastRowLastColumn="0"/>
              <w:rPr>
                <w:color w:val="000000"/>
                <w:sz w:val="20"/>
              </w:rPr>
            </w:pPr>
            <w:r w:rsidRPr="002A7B5C">
              <w:rPr>
                <w:color w:val="auto"/>
                <w:sz w:val="20"/>
              </w:rPr>
              <w:t>3. Turpināt profesionālās izglītības satura reformu, uzsākta modulāro izglītības programmu ieviešana, veicināta darba vidē balstītu mācību pieejas ieviešana profesionālajā izglītībā, veikti pasākumi profesionālās izglītības iestāžu iesaistes pieaugušo izglītībā palielināšanai. Turpināt profesionālās izglītības politikas veidošanu un nodrošināšanu sadarbībā ar darba devējiem un sociālajiem partneriem īstenot satura un strukturālās reformas, kā arī plānojot izglītojamo uzņemšanu profesionālās izglītības programmās. Turpināt profesionālās izglītības strukturālās izmaiņas t.sk. tīkla optimizāciju kā arī tādējādi nodrošinot profesionālās izglītības pieejamību un profesionālās izglītības programmu īstenošanas kvalitāti un izmaksu efektivitāti, attīstot profesionālās izglītības kompetenču centru metodisko darbu, t.sk. nodrošinot finanšu līdzekļu efektīvāku izmantošanu. Nodrošināt atbalstu nozaru metodiskajiem centriem (vadošajiem PIKC) programmu paraugu izstrādē, mācību metodisko materiālu izstrādē (t.sk. digitālie mācību materiāli, e-mācību saturs), kā arī atbalsta sniegšanai citām profesionālās izglītības iestādēm un to pedagogiem, kuri īsteno tās pašas programmas. Turpināt profesionālās izglītības programmu finansēšanas pilnveidi, nodrošinot profesionālās izglītības programmu pilnvērtīgai īstenošanai nepieciešamo bāzes finansējumu.</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lastRenderedPageBreak/>
              <w:t xml:space="preserve">4. Profesionālās izglītības satura reforma tuvojas noslēgumam, ieviešot kompetencēs balstītu pieeju un izglītības programmu </w:t>
            </w:r>
            <w:proofErr w:type="spellStart"/>
            <w:r w:rsidRPr="002A7B5C">
              <w:rPr>
                <w:color w:val="auto"/>
                <w:sz w:val="20"/>
              </w:rPr>
              <w:t>modularizāciju</w:t>
            </w:r>
            <w:proofErr w:type="spellEnd"/>
            <w:r w:rsidRPr="002A7B5C">
              <w:rPr>
                <w:color w:val="auto"/>
                <w:sz w:val="20"/>
              </w:rPr>
              <w:t xml:space="preserve"> elastīgam izglītības piedāvājumam mūžizglītības kontekstā.  </w:t>
            </w:r>
          </w:p>
          <w:p w:rsidR="00C0638B" w:rsidRPr="0056448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 xml:space="preserve">5. Sadarbībā ar sociālajiem partneriem un nozaru ekspertu padomēm tiek īstenotas Nozaru kvalifikāciju struktūrā ietvertās pieejas, optimizējot programmu piedāvājumu, pēctecību atbilstoši Latvijas kvalifikāciju </w:t>
            </w:r>
            <w:r w:rsidR="0056448C" w:rsidRPr="002A7B5C">
              <w:rPr>
                <w:color w:val="auto"/>
                <w:sz w:val="20"/>
              </w:rPr>
              <w:t>ietvar struktūrai</w:t>
            </w:r>
            <w:r w:rsidRPr="002A7B5C">
              <w:rPr>
                <w:color w:val="auto"/>
                <w:sz w:val="20"/>
              </w:rPr>
              <w:t xml:space="preserve"> un atbilstību darba tirgus prasībām. Jaunas pieejas izglītības iestāžu un nozaru sadarbībā un mērķtiecīgs  metodiskais darbs veicinās profesionālā izglītības iestāžu izcilību un konkurētspēju, vienlaikus nodrošinot iekļaujošas pieejas līdzsvarotai un ilgtspējīgai reģionālajai attīstībai. Sekmīgi turpinās darba v</w:t>
            </w:r>
            <w:r w:rsidR="0056448C">
              <w:rPr>
                <w:color w:val="auto"/>
                <w:sz w:val="20"/>
              </w:rPr>
              <w:t>idē balstītu mācību īstenošana.</w:t>
            </w:r>
          </w:p>
        </w:tc>
      </w:tr>
      <w:tr w:rsidR="00C0638B" w:rsidRPr="00FC531D" w:rsidTr="007C292F">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C0638B">
            <w:pPr>
              <w:ind w:firstLine="0"/>
              <w:jc w:val="left"/>
              <w:rPr>
                <w:color w:val="auto"/>
                <w:sz w:val="20"/>
              </w:rPr>
            </w:pPr>
            <w:r w:rsidRPr="00FC531D">
              <w:rPr>
                <w:color w:val="auto"/>
                <w:sz w:val="20"/>
              </w:rPr>
              <w:lastRenderedPageBreak/>
              <w:t>Augstākā izglītība (iedzīvotāju īpatsvars 30-34 gadu vecumā ar augstāko izglītību (34-36%)</w:t>
            </w:r>
          </w:p>
        </w:tc>
        <w:tc>
          <w:tcPr>
            <w:tcW w:w="3827" w:type="dxa"/>
          </w:tcPr>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Augstākās izglītības modernizācija – jauna augstākās izglītības finansēšanas modeļa ieviešana;</w:t>
            </w:r>
          </w:p>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Augstākās izglītības institūciju materiāli tehniskās bāzes modernizēšana un resursu izmantošanas efektivitātes paaugstināšana;</w:t>
            </w:r>
          </w:p>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Augstākās izglītības vienlīdzīgas pieejamības nodrošināšana;</w:t>
            </w:r>
          </w:p>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Nacionālās kvalitātes nodrošināšanas institūcijas izveide;</w:t>
            </w:r>
          </w:p>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Studiju programmu fragmentācijas mazināšanās, resursu koplietošana;</w:t>
            </w:r>
          </w:p>
          <w:p w:rsidR="00C0638B" w:rsidRPr="00FC531D" w:rsidRDefault="00C0638B" w:rsidP="00C0638B">
            <w:pPr>
              <w:pStyle w:val="ListParagraph"/>
              <w:numPr>
                <w:ilvl w:val="0"/>
                <w:numId w:val="3"/>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Ārvalstu studentu piesaistīšana.</w:t>
            </w:r>
          </w:p>
        </w:tc>
        <w:tc>
          <w:tcPr>
            <w:tcW w:w="8647" w:type="dxa"/>
          </w:tcPr>
          <w:p w:rsidR="00C0638B" w:rsidRPr="002A7B5C" w:rsidRDefault="0001481E" w:rsidP="0001481E">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1. IZM</w:t>
            </w:r>
            <w:r w:rsidR="00C0638B" w:rsidRPr="002A7B5C">
              <w:rPr>
                <w:color w:val="auto"/>
                <w:sz w:val="20"/>
              </w:rPr>
              <w:t xml:space="preserve"> plāno pārskatīt finansēšanas modeli un aktualizēt tā komponentus: I pīlārā atjaunot finansējuma piešķiršanas principus un piedāvāt aktuālus studiju vietas izmaksu posteņus; II pīlārā ieviest jaunus kvalitātes kritērijus, ieskaitot absolventu nodarbinātības rādītājus.</w:t>
            </w:r>
          </w:p>
          <w:p w:rsidR="00C0638B" w:rsidRPr="002A7B5C" w:rsidRDefault="00C0638B" w:rsidP="0001481E">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 xml:space="preserve">2. Lai nodrošinātu mūsdienīgu studiju un pētniecības vidi STEM, t.sk. medicīnas un radošo industriju studiju programmu īstenošanai, vienlaikus nodrošinātu teritoriāli koncentrētu studiju telpu izveidi un veicinātu augstākās izglītības atbilstību tautsaimniecības attīstības un darba tirgus vajadzībām, ar ES fondu atbalstu tiek attīstīta teritoriāli koncentrēta studiju un zinātniskā darba infrastruktūra. 8.1.1. </w:t>
            </w:r>
            <w:r w:rsidR="006B22C1">
              <w:rPr>
                <w:color w:val="auto"/>
                <w:sz w:val="20"/>
              </w:rPr>
              <w:t>SAM</w:t>
            </w:r>
            <w:r w:rsidRPr="002A7B5C">
              <w:rPr>
                <w:color w:val="auto"/>
                <w:sz w:val="20"/>
              </w:rPr>
              <w:t xml:space="preserve"> “Palielināt modernizēto STEM, tai skaitā medicīnas un radošās industrijas, studiju programmu skaitu” ietvaros (kopējais finansējums 44,7 milj. </w:t>
            </w:r>
            <w:proofErr w:type="spellStart"/>
            <w:r w:rsidRPr="0001481E">
              <w:rPr>
                <w:i/>
                <w:color w:val="auto"/>
                <w:sz w:val="20"/>
              </w:rPr>
              <w:t>euro</w:t>
            </w:r>
            <w:proofErr w:type="spellEnd"/>
            <w:r w:rsidRPr="002A7B5C">
              <w:rPr>
                <w:color w:val="auto"/>
                <w:sz w:val="20"/>
              </w:rPr>
              <w:t xml:space="preserve">) tiek uzlabota augstskolu infrastruktūra, iegādātas iekārtas, modernizēta studiju vide. </w:t>
            </w:r>
          </w:p>
          <w:p w:rsidR="00C0638B" w:rsidRPr="002A7B5C" w:rsidRDefault="00C0638B"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Ņemot vērā to, ka 2019.gada nogalē MK atbalstīja ES fondu snieguma rezerves finansējuma piešķiršanu īstenošanā esošajiem 8.1.1.SAM un 8.1.4.SAM projektiem, kā arī pabeigto projektu snieguma rezerves finansējuma un finansējuma atlikumu novirzīšanu jaunam finansējuma saņēmējam 8.1.1.SAM ietvaros – L</w:t>
            </w:r>
            <w:r w:rsidR="00880330">
              <w:rPr>
                <w:color w:val="auto"/>
                <w:sz w:val="20"/>
              </w:rPr>
              <w:t>atvijas Jūras akadēmijai, 2020.</w:t>
            </w:r>
            <w:r w:rsidRPr="002A7B5C">
              <w:rPr>
                <w:color w:val="auto"/>
                <w:sz w:val="20"/>
              </w:rPr>
              <w:t>gada beigās plānots uzsākt īstenot jaunu projektu.</w:t>
            </w:r>
          </w:p>
          <w:p w:rsidR="00C0638B" w:rsidRPr="002A7B5C" w:rsidRDefault="0056448C"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3.No 2020. gada</w:t>
            </w:r>
            <w:r w:rsidR="00C0638B" w:rsidRPr="002A7B5C">
              <w:rPr>
                <w:color w:val="auto"/>
                <w:sz w:val="20"/>
              </w:rPr>
              <w:t xml:space="preserve"> augusta ir ieviests jaunais studiju un studējošo kreditēšanas modelis, kas paredz atvieglotus valsts garantētā kredīta saņemšanas nosacījumus (vienkāršotas procedūras studiju un studējošā kredīta noformēšanai un saņemšanai, iespēja saņemt kredītu bez otrā galvotāja, at</w:t>
            </w:r>
            <w:r w:rsidR="0001481E">
              <w:rPr>
                <w:color w:val="auto"/>
                <w:sz w:val="20"/>
              </w:rPr>
              <w:t>celti studiju kredīta griesti).</w:t>
            </w:r>
            <w:r w:rsidR="00C0638B" w:rsidRPr="002A7B5C">
              <w:rPr>
                <w:color w:val="auto"/>
                <w:sz w:val="20"/>
              </w:rPr>
              <w:t xml:space="preserve"> Jaunais modelis paredz kredītu piešķiršanu </w:t>
            </w:r>
            <w:r w:rsidR="006A4499" w:rsidRPr="00C97981">
              <w:rPr>
                <w:color w:val="auto"/>
                <w:spacing w:val="2"/>
                <w:sz w:val="20"/>
                <w:shd w:val="clear" w:color="auto" w:fill="FEFEFE"/>
              </w:rPr>
              <w:t>A</w:t>
            </w:r>
            <w:r w:rsidR="006A4499">
              <w:rPr>
                <w:color w:val="auto"/>
                <w:spacing w:val="2"/>
                <w:sz w:val="20"/>
                <w:shd w:val="clear" w:color="auto" w:fill="FEFEFE"/>
              </w:rPr>
              <w:t>LTUM</w:t>
            </w:r>
            <w:r w:rsidR="006A4499" w:rsidRPr="002A7B5C">
              <w:rPr>
                <w:color w:val="auto"/>
                <w:sz w:val="20"/>
              </w:rPr>
              <w:t xml:space="preserve"> </w:t>
            </w:r>
            <w:r w:rsidR="00C0638B" w:rsidRPr="002A7B5C">
              <w:rPr>
                <w:color w:val="auto"/>
                <w:sz w:val="20"/>
              </w:rPr>
              <w:t>portfeļa garantijas instrumenta veidā. Studējošie aktīvi piesakās un izmanto šo iespēju.</w:t>
            </w:r>
          </w:p>
          <w:p w:rsidR="00C0638B" w:rsidRPr="002A7B5C" w:rsidRDefault="0001481E"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Ar 2019.gada 1.</w:t>
            </w:r>
            <w:r w:rsidR="00C0638B" w:rsidRPr="002A7B5C">
              <w:rPr>
                <w:color w:val="auto"/>
                <w:sz w:val="20"/>
              </w:rPr>
              <w:t xml:space="preserve">septembri valsts apmaksāts asistents (pārvietošanas atbalstam) ir pieejams arī augstskolu un koledžu studentiem ar invaliditāti. </w:t>
            </w:r>
          </w:p>
          <w:p w:rsidR="00C0638B" w:rsidRPr="002A7B5C" w:rsidRDefault="00C0638B"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 xml:space="preserve">Lai mazinātu studējošo atbiruma risku, ņemot vērā Covid-19 radīto sociālekonomisko krīzi, 2020./2021. mācību gadā studentiem minimālās mēneša stipendijas apmērs tiek palielināts no 99,60 </w:t>
            </w:r>
            <w:proofErr w:type="spellStart"/>
            <w:r w:rsidR="0056448C" w:rsidRPr="00283E6C">
              <w:rPr>
                <w:i/>
                <w:color w:val="auto"/>
                <w:sz w:val="20"/>
              </w:rPr>
              <w:t>euro</w:t>
            </w:r>
            <w:proofErr w:type="spellEnd"/>
            <w:r w:rsidRPr="002A7B5C">
              <w:rPr>
                <w:color w:val="auto"/>
                <w:sz w:val="20"/>
              </w:rPr>
              <w:t xml:space="preserve"> uz 200 </w:t>
            </w:r>
            <w:proofErr w:type="spellStart"/>
            <w:r w:rsidR="0056448C" w:rsidRPr="00283E6C">
              <w:rPr>
                <w:i/>
                <w:color w:val="auto"/>
                <w:sz w:val="20"/>
              </w:rPr>
              <w:t>euro</w:t>
            </w:r>
            <w:proofErr w:type="spellEnd"/>
            <w:r w:rsidRPr="002A7B5C">
              <w:rPr>
                <w:color w:val="auto"/>
                <w:sz w:val="20"/>
              </w:rPr>
              <w:t>. Palielināts arī kopējais stipendiju skaits – plānots, ka paaugstinātās stipendijas papildus varēs saņemt vēl aptuveni 743 studenti.</w:t>
            </w:r>
          </w:p>
          <w:p w:rsidR="00C0638B" w:rsidRPr="002A7B5C" w:rsidRDefault="00C0638B"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 xml:space="preserve">Vienlaikus vienlīdzīgas pieejamības nodrošināšana augstākajā izglītībā arī turpmāk ir viena no ministrijām prioritātēm un darbs šajā jautājumā tiek turpināts. </w:t>
            </w:r>
          </w:p>
          <w:p w:rsidR="00C0638B" w:rsidRPr="002A7B5C" w:rsidRDefault="00C0638B"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2A7B5C">
              <w:rPr>
                <w:color w:val="auto"/>
                <w:sz w:val="20"/>
              </w:rPr>
              <w:t>4.</w:t>
            </w:r>
            <w:r w:rsidR="0001481E">
              <w:rPr>
                <w:color w:val="auto"/>
                <w:sz w:val="20"/>
              </w:rPr>
              <w:t xml:space="preserve"> </w:t>
            </w:r>
            <w:r w:rsidRPr="002A7B5C">
              <w:rPr>
                <w:color w:val="auto"/>
                <w:sz w:val="20"/>
              </w:rPr>
              <w:t xml:space="preserve">Latvijā darbojas Augstākās izglītības kvalitātes aģentūra (AIKA), kas ir Akadēmiskās informācijas centra departaments, kura kompetencē ir augstākās izglītības iestāžu, studiju virzienu akreditācijas un studiju programmu licencēšanas organizēšana, kā arī citi ar augstākās izglītības kvalitātes nodrošināšanu saistītie uzdevumi. Saskaņā ar Latvijas normatīvajiem aktiem AIKA ir atzīta augstākās </w:t>
            </w:r>
            <w:r w:rsidRPr="002A7B5C">
              <w:rPr>
                <w:color w:val="auto"/>
                <w:sz w:val="20"/>
              </w:rPr>
              <w:lastRenderedPageBreak/>
              <w:t xml:space="preserve">izglītības kvalitātes nodrošināšanas institūcija, kas izveidota ar mērķi pilnveidot Latvijas augstākās izglītības ārējās kvalitātes nodrošināšanas sistēmu, kas darbotos atbilstoši Standartiem un vadlīnijām kvalitātes nodrošināšanai Eiropas augstākās izglītības telpā un veicinātu Latvijas augstākās izglītības kvalitāti, atpazīstamību un starptautisku atzīšanu. AIKA ir arī pilntiesīgs Eiropas augstākās izglītības kvalitātes nodrošināšanas asociācijas (ENQA) biedrs.  </w:t>
            </w:r>
          </w:p>
          <w:p w:rsidR="00C0638B" w:rsidRPr="002A7B5C" w:rsidRDefault="0056448C" w:rsidP="0056448C">
            <w:pPr>
              <w:spacing w:after="0"/>
              <w:cnfStyle w:val="000000000000" w:firstRow="0" w:lastRow="0" w:firstColumn="0" w:lastColumn="0" w:oddVBand="0" w:evenVBand="0" w:oddHBand="0" w:evenHBand="0" w:firstRowFirstColumn="0" w:firstRowLastColumn="0" w:lastRowFirstColumn="0" w:lastRowLastColumn="0"/>
              <w:rPr>
                <w:color w:val="auto"/>
                <w:sz w:val="20"/>
              </w:rPr>
            </w:pPr>
            <w:r>
              <w:rPr>
                <w:color w:val="auto"/>
                <w:sz w:val="20"/>
              </w:rPr>
              <w:t>5</w:t>
            </w:r>
            <w:r w:rsidR="00C0638B" w:rsidRPr="002A7B5C">
              <w:rPr>
                <w:color w:val="auto"/>
                <w:sz w:val="20"/>
              </w:rPr>
              <w:t>.</w:t>
            </w:r>
            <w:r>
              <w:rPr>
                <w:color w:val="auto"/>
                <w:sz w:val="20"/>
              </w:rPr>
              <w:t xml:space="preserve"> </w:t>
            </w:r>
            <w:r w:rsidR="00C0638B" w:rsidRPr="002A7B5C">
              <w:rPr>
                <w:color w:val="auto"/>
                <w:sz w:val="20"/>
              </w:rPr>
              <w:t xml:space="preserve">8.2.1. </w:t>
            </w:r>
            <w:r w:rsidR="006B22C1">
              <w:rPr>
                <w:color w:val="auto"/>
                <w:sz w:val="20"/>
              </w:rPr>
              <w:t>SAM</w:t>
            </w:r>
            <w:r w:rsidR="00C0638B" w:rsidRPr="002A7B5C">
              <w:rPr>
                <w:color w:val="auto"/>
                <w:sz w:val="20"/>
              </w:rPr>
              <w:t xml:space="preserve"> “Samazināt studiju programmu fragmentāciju un stiprināt resursu koplietošanu” ietvaros turpinājās augstskolu projektu īstenošana. Pirmās kārtas ietvaros, īstenojot pedagogu izglītības restartu, ir izstrādātas 22 jaunas pedagoģijas studiju programmas un apakšprogrammas, un 1 kopīga doktorantūras studiju programma “Izglītības zinātnes”. Š.g. rudens semestrī jaunajās pedagoģijas studiju programmās uzņemšana jau notika Latvijas Universitātē, Daugavpils Universitātē un Rēzeknes Tehnoloģiju akadēmijā. Lielu atsaucību guva darba vidē balstītā 2.līmeņa profesionālā augstākās izglītības studiju programma “Skolotājs”, kurā uzņemšana notika sadarbībā ar nodibinājumu “Iespējamā misija” (projekts “</w:t>
            </w:r>
            <w:proofErr w:type="spellStart"/>
            <w:r w:rsidR="00C0638B" w:rsidRPr="002A7B5C">
              <w:rPr>
                <w:color w:val="auto"/>
                <w:sz w:val="20"/>
              </w:rPr>
              <w:t>Mācītspēks</w:t>
            </w:r>
            <w:proofErr w:type="spellEnd"/>
            <w:r w:rsidR="00C0638B" w:rsidRPr="002A7B5C">
              <w:rPr>
                <w:color w:val="auto"/>
                <w:sz w:val="20"/>
              </w:rPr>
              <w:t>”), veidojot konkursu 6 pretendenti uz 1 studiju vietu. Līdz nākamā gada rudens semestrim plānota uzņemšana arī Jāzepa Vītola Latvijas Mūzikas akadēmijā un Latvijas Sporta pedagoģijas akadēmijas jaunajās pedagoģijas studiju programmās. Vienlaikus projektu ietvaros līdz 2023.gadam plānota 49 veco pedagoģijas studiju programmu slēgšana (līdz šim slēgtas 2 programmas). Otrās kārtas ietvaros plānota 60 studiju programmu ES valodās un 7 kopīgo doktora studiju programmu izstrāde (no tām 24 programmas ir jau licencētas), vienlaikus līdz 2023.gadam slēdzot 168 studiju programmas (līdz šim slēgtas 29 programmas).</w:t>
            </w:r>
          </w:p>
          <w:p w:rsidR="00C0638B" w:rsidRPr="002A7B5C" w:rsidRDefault="00C0638B" w:rsidP="0056448C">
            <w:pPr>
              <w:spacing w:after="0"/>
              <w:cnfStyle w:val="000000000000" w:firstRow="0" w:lastRow="0" w:firstColumn="0" w:lastColumn="0" w:oddVBand="0" w:evenVBand="0" w:oddHBand="0" w:evenHBand="0" w:firstRowFirstColumn="0" w:firstRowLastColumn="0" w:lastRowFirstColumn="0" w:lastRowLastColumn="0"/>
              <w:rPr>
                <w:color w:val="auto"/>
                <w:sz w:val="20"/>
                <w:highlight w:val="green"/>
              </w:rPr>
            </w:pPr>
            <w:r w:rsidRPr="002A7B5C">
              <w:rPr>
                <w:color w:val="auto"/>
                <w:sz w:val="20"/>
              </w:rPr>
              <w:t xml:space="preserve">6. Ārvalstu studējošo skaitam kopš 2005. </w:t>
            </w:r>
            <w:r w:rsidR="00880330">
              <w:rPr>
                <w:color w:val="auto"/>
                <w:sz w:val="20"/>
              </w:rPr>
              <w:t>gada ir tendence pieaugt. 2019.</w:t>
            </w:r>
            <w:r w:rsidRPr="002A7B5C">
              <w:rPr>
                <w:color w:val="auto"/>
                <w:sz w:val="20"/>
              </w:rPr>
              <w:t>gadā, ieskaitot apmaiņas programmās studējošos, Latvijas augstākās izglītības iestādēs studēja 11 tūkst. ārvalstu studenti, kas ir 14% no studējošo kopskaita. Vienlaikus, Covid-19 izplatības ierobežojumu dēļ ir paredzams, ka ārvalstu stud</w:t>
            </w:r>
            <w:r w:rsidR="00880330">
              <w:rPr>
                <w:color w:val="auto"/>
                <w:sz w:val="20"/>
              </w:rPr>
              <w:t>entu skaits Latvijā 2020./2021.</w:t>
            </w:r>
            <w:r w:rsidRPr="002A7B5C">
              <w:rPr>
                <w:color w:val="auto"/>
                <w:sz w:val="20"/>
              </w:rPr>
              <w:t>akad. g. varētu samazināties vai arī pieaugums nebūs tik straujš, kā iepriekšējos gados.</w:t>
            </w:r>
          </w:p>
        </w:tc>
      </w:tr>
      <w:tr w:rsidR="00C0638B" w:rsidRPr="00FC531D" w:rsidTr="007C29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C0638B" w:rsidRPr="00FC531D" w:rsidRDefault="00C0638B" w:rsidP="00C0638B">
            <w:pPr>
              <w:ind w:firstLine="0"/>
              <w:jc w:val="left"/>
              <w:rPr>
                <w:color w:val="auto"/>
                <w:sz w:val="20"/>
              </w:rPr>
            </w:pPr>
            <w:r w:rsidRPr="00FC531D">
              <w:rPr>
                <w:color w:val="auto"/>
                <w:sz w:val="20"/>
              </w:rPr>
              <w:lastRenderedPageBreak/>
              <w:t>Nabadzības riskam pakļauto un/vai zemas darba intensitātes mājsaimniecībās dzīvojošo personu īpatsvars (21,0%)</w:t>
            </w:r>
          </w:p>
        </w:tc>
        <w:tc>
          <w:tcPr>
            <w:tcW w:w="3827" w:type="dxa"/>
          </w:tcPr>
          <w:p w:rsidR="00C0638B" w:rsidRPr="00FC531D" w:rsidRDefault="00C0638B" w:rsidP="00C0638B">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Ienākumu nevienlīdzības samazināšana;</w:t>
            </w:r>
          </w:p>
          <w:p w:rsidR="00C0638B" w:rsidRPr="00FC531D" w:rsidRDefault="00C0638B" w:rsidP="00C0638B">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Nabadzības un sociālās atstumtības riskam pakļauto personu līdzdalības darba tirgū veicināšana;</w:t>
            </w:r>
          </w:p>
          <w:p w:rsidR="00C0638B" w:rsidRPr="00FC531D" w:rsidRDefault="00C0638B" w:rsidP="00C0638B">
            <w:pPr>
              <w:pStyle w:val="ListParagraph"/>
              <w:numPr>
                <w:ilvl w:val="0"/>
                <w:numId w:val="4"/>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FC531D">
              <w:rPr>
                <w:rFonts w:ascii="Times New Roman" w:hAnsi="Times New Roman"/>
                <w:color w:val="auto"/>
                <w:sz w:val="20"/>
              </w:rPr>
              <w:t>Diskriminācijas draudu un stereotipu mazināšana, kā arī pilsoniskās līdzdalības veicināšana.</w:t>
            </w:r>
          </w:p>
        </w:tc>
        <w:tc>
          <w:tcPr>
            <w:tcW w:w="8647" w:type="dxa"/>
          </w:tcPr>
          <w:p w:rsidR="00C0638B" w:rsidRPr="002A7B5C" w:rsidRDefault="00C0638B" w:rsidP="00C0638B">
            <w:pPr>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Lai ar nodokļu politiku turpinātu mazināt ienākumu nevienlīdzību strādājošajiem, M</w:t>
            </w:r>
            <w:r w:rsidR="00E470F5">
              <w:rPr>
                <w:color w:val="auto"/>
                <w:sz w:val="20"/>
              </w:rPr>
              <w:t>K</w:t>
            </w:r>
            <w:r w:rsidRPr="002A7B5C">
              <w:rPr>
                <w:color w:val="auto"/>
                <w:sz w:val="20"/>
              </w:rPr>
              <w:t xml:space="preserve"> kopā ar likumprojektu "Par vidēja termiņa budžeta ietvaru 2021., 2022. un 2023.gadam" un likumprojektu "Par valsts budžetu 2021.gadam" tiek iesniegti normatīvo aktu grozījumi, kas paredz sekojošas nodokļu izmaiņas no 2021.gada: </w:t>
            </w:r>
          </w:p>
          <w:p w:rsidR="00C0638B" w:rsidRPr="002A7B5C" w:rsidRDefault="00C0638B" w:rsidP="00DF7139">
            <w:pPr>
              <w:pStyle w:val="ListParagraph"/>
              <w:numPr>
                <w:ilvl w:val="0"/>
                <w:numId w:val="14"/>
              </w:numPr>
              <w:spacing w:after="0" w:line="240" w:lineRule="auto"/>
              <w:ind w:left="603"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A7B5C">
              <w:rPr>
                <w:rFonts w:ascii="Times New Roman" w:hAnsi="Times New Roman"/>
                <w:color w:val="auto"/>
                <w:sz w:val="20"/>
              </w:rPr>
              <w:t xml:space="preserve">samazināt </w:t>
            </w:r>
            <w:r w:rsidR="002726B3" w:rsidRPr="002726B3">
              <w:rPr>
                <w:rFonts w:ascii="Times New Roman" w:hAnsi="Times New Roman"/>
                <w:color w:val="auto"/>
                <w:sz w:val="20"/>
              </w:rPr>
              <w:t>VSAOI</w:t>
            </w:r>
            <w:r w:rsidRPr="002A7B5C">
              <w:rPr>
                <w:rFonts w:ascii="Times New Roman" w:hAnsi="Times New Roman"/>
                <w:color w:val="auto"/>
                <w:sz w:val="20"/>
              </w:rPr>
              <w:t xml:space="preserve"> likmi par vienu procentpunktu, tai skaitā darba devēja likmi par 0,5% (no 24,09% uz 23,59%) un darba </w:t>
            </w:r>
            <w:r w:rsidR="0056448C">
              <w:rPr>
                <w:rFonts w:ascii="Times New Roman" w:hAnsi="Times New Roman"/>
                <w:color w:val="auto"/>
                <w:sz w:val="20"/>
              </w:rPr>
              <w:t>ņēmēja likmi par 0,5% (no11% uz</w:t>
            </w:r>
            <w:r w:rsidRPr="002A7B5C">
              <w:rPr>
                <w:rFonts w:ascii="Times New Roman" w:hAnsi="Times New Roman"/>
                <w:color w:val="auto"/>
                <w:sz w:val="20"/>
              </w:rPr>
              <w:t xml:space="preserve"> 10,5%);</w:t>
            </w:r>
          </w:p>
          <w:p w:rsidR="00C0638B" w:rsidRPr="002A7B5C" w:rsidRDefault="00C0638B" w:rsidP="00DF7139">
            <w:pPr>
              <w:pStyle w:val="ListParagraph"/>
              <w:numPr>
                <w:ilvl w:val="0"/>
                <w:numId w:val="14"/>
              </w:numPr>
              <w:spacing w:after="0" w:line="240" w:lineRule="auto"/>
              <w:ind w:left="603" w:hanging="426"/>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2A7B5C">
              <w:rPr>
                <w:rFonts w:ascii="Times New Roman" w:hAnsi="Times New Roman"/>
                <w:color w:val="auto"/>
                <w:sz w:val="20"/>
              </w:rPr>
              <w:t>palielināt ienākuma slieksni no 1 200 uz 1</w:t>
            </w:r>
            <w:r w:rsidR="00880330" w:rsidRPr="002A7B5C">
              <w:rPr>
                <w:rFonts w:ascii="Times New Roman" w:hAnsi="Times New Roman"/>
                <w:color w:val="auto"/>
                <w:sz w:val="20"/>
              </w:rPr>
              <w:t> </w:t>
            </w:r>
            <w:r w:rsidRPr="002A7B5C">
              <w:rPr>
                <w:rFonts w:ascii="Times New Roman" w:hAnsi="Times New Roman"/>
                <w:color w:val="auto"/>
                <w:sz w:val="20"/>
              </w:rPr>
              <w:t xml:space="preserve">800 </w:t>
            </w:r>
            <w:proofErr w:type="spellStart"/>
            <w:r w:rsidRPr="002A7B5C">
              <w:rPr>
                <w:rFonts w:ascii="Times New Roman" w:hAnsi="Times New Roman"/>
                <w:i/>
                <w:color w:val="auto"/>
                <w:sz w:val="20"/>
              </w:rPr>
              <w:t>euro</w:t>
            </w:r>
            <w:proofErr w:type="spellEnd"/>
            <w:r w:rsidRPr="002A7B5C">
              <w:rPr>
                <w:rFonts w:ascii="Times New Roman" w:hAnsi="Times New Roman"/>
                <w:color w:val="auto"/>
                <w:sz w:val="20"/>
              </w:rPr>
              <w:t xml:space="preserve"> mēnesī, līdz kuram tiek piemērots ar iedzīvotāju ienākuma nodokli diferencētais neapliekamais minimums;</w:t>
            </w:r>
          </w:p>
          <w:p w:rsidR="00C0638B" w:rsidRPr="002A7B5C" w:rsidRDefault="00C0638B" w:rsidP="00E470F5">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 xml:space="preserve">samazināt iedzīvotāju ienākuma nodokļa likmi no 31,4% uz 31%, kuru piemēro ienākumiem, kas pārsniedz 62 800 </w:t>
            </w:r>
            <w:proofErr w:type="spellStart"/>
            <w:r w:rsidRPr="002A7B5C">
              <w:rPr>
                <w:i/>
                <w:color w:val="auto"/>
                <w:sz w:val="20"/>
              </w:rPr>
              <w:t>euro</w:t>
            </w:r>
            <w:proofErr w:type="spellEnd"/>
            <w:r w:rsidRPr="002A7B5C">
              <w:rPr>
                <w:color w:val="auto"/>
                <w:sz w:val="20"/>
              </w:rPr>
              <w:t xml:space="preserve"> gadā.</w:t>
            </w:r>
          </w:p>
          <w:p w:rsidR="00C0638B" w:rsidRPr="002A7B5C" w:rsidRDefault="00E470F5" w:rsidP="00E470F5">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No 2021.</w:t>
            </w:r>
            <w:r w:rsidR="00C0638B" w:rsidRPr="002A7B5C">
              <w:rPr>
                <w:color w:val="auto"/>
                <w:sz w:val="20"/>
              </w:rPr>
              <w:t xml:space="preserve">gada jūlija tiks dubultots pabalsts aizbildnim par bērna uzturēšanu (215 </w:t>
            </w:r>
            <w:proofErr w:type="spellStart"/>
            <w:r w:rsidR="0056448C" w:rsidRPr="00283E6C">
              <w:rPr>
                <w:i/>
                <w:color w:val="auto"/>
                <w:sz w:val="20"/>
              </w:rPr>
              <w:t>euro</w:t>
            </w:r>
            <w:proofErr w:type="spellEnd"/>
            <w:r w:rsidR="00C0638B" w:rsidRPr="002A7B5C">
              <w:rPr>
                <w:color w:val="auto"/>
                <w:sz w:val="20"/>
              </w:rPr>
              <w:t xml:space="preserve"> mēnesī par bērnu līdz 6 gadiem un 258 </w:t>
            </w:r>
            <w:proofErr w:type="spellStart"/>
            <w:r w:rsidR="0056448C" w:rsidRPr="00283E6C">
              <w:rPr>
                <w:i/>
                <w:color w:val="auto"/>
                <w:sz w:val="20"/>
              </w:rPr>
              <w:t>euro</w:t>
            </w:r>
            <w:proofErr w:type="spellEnd"/>
            <w:r w:rsidR="00C0638B" w:rsidRPr="002A7B5C">
              <w:rPr>
                <w:color w:val="auto"/>
                <w:sz w:val="20"/>
              </w:rPr>
              <w:t xml:space="preserve"> mēnesī par bērnu 7-17 gadu vecumā). Šim mērķim paredzēti papildus 2,4 miljonus </w:t>
            </w:r>
            <w:proofErr w:type="spellStart"/>
            <w:r w:rsidR="0056448C" w:rsidRPr="00283E6C">
              <w:rPr>
                <w:i/>
                <w:color w:val="auto"/>
                <w:sz w:val="20"/>
              </w:rPr>
              <w:t>euro</w:t>
            </w:r>
            <w:proofErr w:type="spellEnd"/>
            <w:r w:rsidR="00C0638B" w:rsidRPr="002A7B5C">
              <w:rPr>
                <w:color w:val="auto"/>
                <w:sz w:val="20"/>
              </w:rPr>
              <w:t xml:space="preserve"> 2021.gadā un 4,7 milj. </w:t>
            </w:r>
            <w:proofErr w:type="spellStart"/>
            <w:r w:rsidR="0056448C" w:rsidRPr="00283E6C">
              <w:rPr>
                <w:i/>
                <w:color w:val="auto"/>
                <w:sz w:val="20"/>
              </w:rPr>
              <w:t>euro</w:t>
            </w:r>
            <w:proofErr w:type="spellEnd"/>
            <w:r w:rsidR="00C0638B" w:rsidRPr="002A7B5C">
              <w:rPr>
                <w:color w:val="auto"/>
                <w:sz w:val="20"/>
              </w:rPr>
              <w:t xml:space="preserve"> nākamajos gados.</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lastRenderedPageBreak/>
              <w:t xml:space="preserve">Lai uzlabotu pakalpojuma pieejamību personām ar ļoti smagiem un smagiem funkcionēšanas spēju ierobežojumiem, no 2021.gada vidus tiks uzlaboti nosacījumi asistentu pakalpojumu saņemšanai, tostarp pieaugs asistentu atalgojums. Šim mērķim plānots piešķirt 9,5 miljonus </w:t>
            </w:r>
            <w:proofErr w:type="spellStart"/>
            <w:r w:rsidR="0056448C" w:rsidRPr="00283E6C">
              <w:rPr>
                <w:i/>
                <w:color w:val="auto"/>
                <w:sz w:val="20"/>
              </w:rPr>
              <w:t>euro</w:t>
            </w:r>
            <w:proofErr w:type="spellEnd"/>
            <w:r w:rsidRPr="002A7B5C">
              <w:rPr>
                <w:color w:val="auto"/>
                <w:sz w:val="20"/>
              </w:rPr>
              <w:t>.</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 xml:space="preserve">Veiktas ģimenes valsts pabalsta izmaksas nosacījuma izmaiņas ģimenēm, kuras aprūpē ir bērns ar invaliditāti. Turpmāk ģimenes valsts pabalstu par bērnu ar invaliditāti izmaksās līdz viņa 20 gadu vecumam neatkarīgi no tā, vai viņš apmeklē izglītības iestādi. Līdzšinējā kārtība paredzēja ģimenes valsts pabalsta izmaksas pārtraukšanu, kad bērns sasniedz 15 gadu vecumu un neturpina apmeklēt izglītības iestādi. Tādējādi tām ģimenēm, kurās aug bērns ar invaliditāti un kurš sava veselības stāvokļa dēļ nevar turpināt mācības pēc 15 gadu sasniegšanas, bija nelabvēlīgāki nosacījumi atbalsta saņemšanai. </w:t>
            </w:r>
          </w:p>
          <w:p w:rsidR="00C0638B" w:rsidRPr="002A7B5C" w:rsidRDefault="00C0638B" w:rsidP="0056448C">
            <w:pPr>
              <w:tabs>
                <w:tab w:val="left" w:pos="4644"/>
              </w:tabs>
              <w:spacing w:after="0"/>
              <w:ind w:right="71"/>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Veiktas bērna piedzimšanas pabalsta izmaksas nosacījumu izmaiņas, paredzot tiesības saņemt bērna piedzimšanas pabalstu par jebkuru reģistrētu bērnu</w:t>
            </w:r>
            <w:r w:rsidR="00E470F5">
              <w:rPr>
                <w:color w:val="auto"/>
                <w:sz w:val="20"/>
              </w:rPr>
              <w:t>. Līdzšinējā kārtība paredz, ka</w:t>
            </w:r>
            <w:r w:rsidRPr="002A7B5C">
              <w:rPr>
                <w:color w:val="auto"/>
                <w:sz w:val="20"/>
              </w:rPr>
              <w:t xml:space="preserve"> tiesības saņemt bērna piedzimšanas pabalstu rodas no astotās bērna dzīvības dienas vai no aizbildnības nodibināšanas dienas.</w:t>
            </w:r>
          </w:p>
          <w:p w:rsidR="00C0638B" w:rsidRPr="002A7B5C" w:rsidRDefault="00C0638B" w:rsidP="0056448C">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2A7B5C">
              <w:rPr>
                <w:color w:val="auto"/>
                <w:sz w:val="20"/>
              </w:rPr>
              <w:t xml:space="preserve">Skat. arī informāciju par CSR2 izpildi. </w:t>
            </w:r>
          </w:p>
        </w:tc>
      </w:tr>
    </w:tbl>
    <w:p w:rsidR="005119CA" w:rsidRPr="00BF5371" w:rsidRDefault="005119CA" w:rsidP="005119CA">
      <w:pPr>
        <w:rPr>
          <w:b/>
          <w:bCs/>
          <w:color w:val="000000" w:themeColor="text1"/>
          <w:sz w:val="22"/>
          <w:highlight w:val="yellow"/>
        </w:rPr>
      </w:pPr>
    </w:p>
    <w:p w:rsidR="00510953" w:rsidRPr="00BF5371" w:rsidRDefault="00510953" w:rsidP="005119CA">
      <w:pPr>
        <w:rPr>
          <w:b/>
          <w:bCs/>
          <w:color w:val="000000" w:themeColor="text1"/>
          <w:sz w:val="22"/>
          <w:highlight w:val="yellow"/>
        </w:rPr>
      </w:pPr>
    </w:p>
    <w:p w:rsidR="00DF7139" w:rsidRDefault="00DF7139">
      <w:pPr>
        <w:spacing w:after="0"/>
        <w:ind w:firstLine="0"/>
        <w:jc w:val="left"/>
        <w:rPr>
          <w:color w:val="18185F"/>
          <w:highlight w:val="yellow"/>
        </w:rPr>
      </w:pPr>
      <w:r>
        <w:rPr>
          <w:color w:val="18185F"/>
          <w:highlight w:val="yellow"/>
        </w:rPr>
        <w:br w:type="page"/>
      </w:r>
    </w:p>
    <w:p w:rsidR="00DF7139" w:rsidRPr="001E635F" w:rsidRDefault="00DF7139" w:rsidP="00DF7139">
      <w:pPr>
        <w:keepNext/>
        <w:spacing w:after="0"/>
        <w:rPr>
          <w:b/>
          <w:sz w:val="22"/>
        </w:rPr>
      </w:pPr>
      <w:r w:rsidRPr="00284BE8">
        <w:rPr>
          <w:b/>
        </w:rPr>
        <w:lastRenderedPageBreak/>
        <w:t>Tautsaimniecības atbalsta pasākumi Covid-19 pārvarēšanai un to ietekme uz vispārējās</w:t>
      </w:r>
      <w:r>
        <w:rPr>
          <w:b/>
        </w:rPr>
        <w:t xml:space="preserve"> valdības budžeta bilanci</w:t>
      </w:r>
      <w:r w:rsidR="00363184">
        <w:rPr>
          <w:b/>
        </w:rPr>
        <w:t xml:space="preserve"> </w:t>
      </w:r>
      <w:r w:rsidR="00363184" w:rsidRPr="001E635F">
        <w:rPr>
          <w:b/>
          <w:i/>
          <w:sz w:val="22"/>
        </w:rPr>
        <w:t>(atbalsta pasākumu ietekme uz vispārējās valdības budžeta bilanci atspoguļota kā līmenis,</w:t>
      </w:r>
      <w:r w:rsidR="001E635F" w:rsidRPr="001E635F">
        <w:rPr>
          <w:b/>
          <w:i/>
          <w:sz w:val="22"/>
        </w:rPr>
        <w:t xml:space="preserve"> nevis </w:t>
      </w:r>
      <w:proofErr w:type="spellStart"/>
      <w:r w:rsidR="001E635F" w:rsidRPr="001E635F">
        <w:rPr>
          <w:b/>
          <w:i/>
          <w:sz w:val="22"/>
        </w:rPr>
        <w:t>diskrecionārās</w:t>
      </w:r>
      <w:proofErr w:type="spellEnd"/>
      <w:r w:rsidR="001E635F" w:rsidRPr="001E635F">
        <w:rPr>
          <w:b/>
          <w:i/>
          <w:sz w:val="22"/>
        </w:rPr>
        <w:t xml:space="preserve"> izmaiņas)</w:t>
      </w:r>
    </w:p>
    <w:tbl>
      <w:tblPr>
        <w:tblStyle w:val="GridTable6Colorful-Accent112"/>
        <w:tblW w:w="14596" w:type="dxa"/>
        <w:jc w:val="center"/>
        <w:tblLayout w:type="fixed"/>
        <w:tblLook w:val="04A0" w:firstRow="1" w:lastRow="0" w:firstColumn="1" w:lastColumn="0" w:noHBand="0" w:noVBand="1"/>
      </w:tblPr>
      <w:tblGrid>
        <w:gridCol w:w="1838"/>
        <w:gridCol w:w="4536"/>
        <w:gridCol w:w="851"/>
        <w:gridCol w:w="1275"/>
        <w:gridCol w:w="1418"/>
        <w:gridCol w:w="1417"/>
        <w:gridCol w:w="993"/>
        <w:gridCol w:w="850"/>
        <w:gridCol w:w="709"/>
        <w:gridCol w:w="709"/>
      </w:tblGrid>
      <w:tr w:rsidR="00DF7139" w:rsidRPr="00284BE8" w:rsidTr="00B757C1">
        <w:trPr>
          <w:cnfStyle w:val="100000000000" w:firstRow="1" w:lastRow="0" w:firstColumn="0" w:lastColumn="0" w:oddVBand="0" w:evenVBand="0" w:oddHBand="0" w:evenHBand="0" w:firstRowFirstColumn="0" w:firstRowLastColumn="0" w:lastRowFirstColumn="0" w:lastRowLastColumn="0"/>
          <w:trHeight w:val="424"/>
          <w:tblHeade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vAlign w:val="center"/>
            <w:hideMark/>
          </w:tcPr>
          <w:p w:rsidR="00DF7139" w:rsidRPr="00284BE8" w:rsidRDefault="00DF7139" w:rsidP="00EB17A4">
            <w:pPr>
              <w:ind w:firstLine="0"/>
              <w:jc w:val="left"/>
              <w:rPr>
                <w:rFonts w:ascii="Times New Roman" w:eastAsia="Calibri" w:hAnsi="Times New Roman" w:cs="Times New Roman"/>
                <w:color w:val="auto"/>
                <w:sz w:val="20"/>
                <w:szCs w:val="20"/>
              </w:rPr>
            </w:pPr>
          </w:p>
        </w:tc>
        <w:tc>
          <w:tcPr>
            <w:tcW w:w="4536" w:type="dxa"/>
            <w:vMerge w:val="restart"/>
            <w:shd w:val="clear" w:color="auto" w:fill="auto"/>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284BE8">
              <w:rPr>
                <w:rFonts w:ascii="Times New Roman" w:eastAsia="Calibri" w:hAnsi="Times New Roman" w:cs="Times New Roman"/>
                <w:color w:val="auto"/>
                <w:sz w:val="20"/>
                <w:szCs w:val="20"/>
              </w:rPr>
              <w:t>Pasākuma apraksts</w:t>
            </w:r>
          </w:p>
        </w:tc>
        <w:tc>
          <w:tcPr>
            <w:tcW w:w="851" w:type="dxa"/>
            <w:vMerge w:val="restart"/>
            <w:shd w:val="clear" w:color="auto" w:fill="auto"/>
            <w:vAlign w:val="center"/>
            <w:hideMark/>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EKS kods</w:t>
            </w:r>
          </w:p>
        </w:tc>
        <w:tc>
          <w:tcPr>
            <w:tcW w:w="1275" w:type="dxa"/>
            <w:vMerge w:val="restart"/>
            <w:shd w:val="clear" w:color="auto" w:fill="auto"/>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84BE8">
              <w:rPr>
                <w:rFonts w:ascii="Times New Roman" w:hAnsi="Times New Roman" w:cs="Times New Roman"/>
                <w:color w:val="auto"/>
                <w:sz w:val="20"/>
                <w:szCs w:val="20"/>
              </w:rPr>
              <w:t>Statuss</w:t>
            </w:r>
          </w:p>
        </w:tc>
        <w:tc>
          <w:tcPr>
            <w:tcW w:w="1418" w:type="dxa"/>
            <w:vMerge w:val="restart"/>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6F04">
              <w:rPr>
                <w:rFonts w:ascii="Times New Roman" w:eastAsia="Calibri" w:hAnsi="Times New Roman" w:cs="Times New Roman"/>
                <w:color w:val="auto"/>
                <w:sz w:val="20"/>
                <w:szCs w:val="20"/>
              </w:rPr>
              <w:t>Kopējā atbalsta apmērs</w:t>
            </w:r>
            <w:r>
              <w:rPr>
                <w:rFonts w:ascii="Times New Roman" w:eastAsia="Calibri" w:hAnsi="Times New Roman" w:cs="Times New Roman"/>
                <w:color w:val="auto"/>
                <w:sz w:val="20"/>
                <w:szCs w:val="20"/>
              </w:rPr>
              <w:t xml:space="preserve"> (uz 20.09.2020.), milj. </w:t>
            </w:r>
            <w:proofErr w:type="spellStart"/>
            <w:r w:rsidRPr="007D5B90">
              <w:rPr>
                <w:rFonts w:ascii="Times New Roman" w:eastAsia="Calibri" w:hAnsi="Times New Roman" w:cs="Times New Roman"/>
                <w:i/>
                <w:color w:val="auto"/>
                <w:sz w:val="20"/>
                <w:szCs w:val="20"/>
              </w:rPr>
              <w:t>euro</w:t>
            </w:r>
            <w:proofErr w:type="spellEnd"/>
          </w:p>
        </w:tc>
        <w:tc>
          <w:tcPr>
            <w:tcW w:w="1417" w:type="dxa"/>
            <w:vMerge w:val="restart"/>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color w:val="auto"/>
                <w:sz w:val="20"/>
                <w:szCs w:val="20"/>
              </w:rPr>
              <w:t>I</w:t>
            </w:r>
            <w:r w:rsidRPr="00F86F04">
              <w:rPr>
                <w:rFonts w:ascii="Times New Roman" w:hAnsi="Times New Roman" w:cs="Times New Roman"/>
                <w:color w:val="auto"/>
                <w:sz w:val="20"/>
                <w:szCs w:val="20"/>
              </w:rPr>
              <w:t>zpilde</w:t>
            </w:r>
            <w:r>
              <w:rPr>
                <w:rFonts w:ascii="Times New Roman" w:hAnsi="Times New Roman" w:cs="Times New Roman"/>
                <w:color w:val="auto"/>
                <w:sz w:val="20"/>
                <w:szCs w:val="20"/>
              </w:rPr>
              <w:t xml:space="preserve">s novērtējums uz 20.09.2020., milj. </w:t>
            </w:r>
            <w:proofErr w:type="spellStart"/>
            <w:r w:rsidRPr="007D5B90">
              <w:rPr>
                <w:rFonts w:ascii="Times New Roman" w:hAnsi="Times New Roman" w:cs="Times New Roman"/>
                <w:i/>
                <w:color w:val="auto"/>
                <w:sz w:val="20"/>
                <w:szCs w:val="20"/>
              </w:rPr>
              <w:t>euro</w:t>
            </w:r>
            <w:proofErr w:type="spellEnd"/>
          </w:p>
        </w:tc>
        <w:tc>
          <w:tcPr>
            <w:tcW w:w="3261" w:type="dxa"/>
            <w:gridSpan w:val="4"/>
            <w:tcBorders>
              <w:right w:val="single" w:sz="12" w:space="0" w:color="95B3D7" w:themeColor="accent1" w:themeTint="99"/>
            </w:tcBorders>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rPr>
            </w:pPr>
            <w:r w:rsidRPr="00F86F04">
              <w:rPr>
                <w:rFonts w:ascii="Times New Roman" w:hAnsi="Times New Roman" w:cs="Times New Roman"/>
                <w:bCs w:val="0"/>
                <w:color w:val="auto"/>
                <w:sz w:val="20"/>
                <w:szCs w:val="20"/>
              </w:rPr>
              <w:t>Ietekme uz vispārējās valdības budžeta bilanci</w:t>
            </w:r>
          </w:p>
        </w:tc>
      </w:tr>
      <w:tr w:rsidR="00DF7139" w:rsidRPr="00284BE8" w:rsidTr="00B757C1">
        <w:trPr>
          <w:cnfStyle w:val="100000000000" w:firstRow="1" w:lastRow="0" w:firstColumn="0" w:lastColumn="0" w:oddVBand="0" w:evenVBand="0" w:oddHBand="0" w:evenHBand="0" w:firstRowFirstColumn="0" w:firstRowLastColumn="0" w:lastRowFirstColumn="0" w:lastRowLastColumn="0"/>
          <w:trHeight w:val="160"/>
          <w:tblHeade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vAlign w:val="center"/>
          </w:tcPr>
          <w:p w:rsidR="00DF7139" w:rsidRPr="00284BE8" w:rsidRDefault="00DF7139" w:rsidP="00EB17A4">
            <w:pPr>
              <w:ind w:firstLine="0"/>
              <w:jc w:val="left"/>
              <w:rPr>
                <w:rFonts w:ascii="Times New Roman" w:eastAsia="Calibri" w:hAnsi="Times New Roman" w:cs="Times New Roman"/>
                <w:sz w:val="20"/>
                <w:szCs w:val="20"/>
              </w:rPr>
            </w:pPr>
          </w:p>
        </w:tc>
        <w:tc>
          <w:tcPr>
            <w:tcW w:w="4536" w:type="dxa"/>
            <w:vMerge/>
            <w:shd w:val="clear" w:color="auto" w:fill="auto"/>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851" w:type="dxa"/>
            <w:vMerge/>
            <w:shd w:val="clear" w:color="auto" w:fill="auto"/>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275" w:type="dxa"/>
            <w:vMerge/>
            <w:shd w:val="clear" w:color="auto" w:fill="auto"/>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8" w:type="dxa"/>
            <w:vMerge/>
            <w:shd w:val="clear" w:color="auto" w:fill="auto"/>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417" w:type="dxa"/>
            <w:vMerge/>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993" w:type="dxa"/>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F86F04">
              <w:rPr>
                <w:rFonts w:ascii="Times New Roman" w:hAnsi="Times New Roman" w:cs="Times New Roman"/>
                <w:color w:val="auto"/>
                <w:sz w:val="20"/>
                <w:szCs w:val="20"/>
              </w:rPr>
              <w:t>2020</w:t>
            </w:r>
          </w:p>
        </w:tc>
        <w:tc>
          <w:tcPr>
            <w:tcW w:w="850" w:type="dxa"/>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F86F04">
              <w:rPr>
                <w:rFonts w:ascii="Times New Roman" w:hAnsi="Times New Roman" w:cs="Times New Roman"/>
                <w:color w:val="auto"/>
                <w:sz w:val="20"/>
                <w:szCs w:val="20"/>
              </w:rPr>
              <w:t>2021</w:t>
            </w:r>
          </w:p>
        </w:tc>
        <w:tc>
          <w:tcPr>
            <w:tcW w:w="709" w:type="dxa"/>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F86F04">
              <w:rPr>
                <w:rFonts w:ascii="Times New Roman" w:hAnsi="Times New Roman" w:cs="Times New Roman"/>
                <w:color w:val="auto"/>
                <w:sz w:val="20"/>
                <w:szCs w:val="20"/>
              </w:rPr>
              <w:t>2020</w:t>
            </w:r>
          </w:p>
        </w:tc>
        <w:tc>
          <w:tcPr>
            <w:tcW w:w="709" w:type="dxa"/>
            <w:tcBorders>
              <w:right w:val="single" w:sz="12" w:space="0" w:color="95B3D7" w:themeColor="accent1" w:themeTint="99"/>
            </w:tcBorders>
            <w:shd w:val="clear" w:color="auto" w:fill="auto"/>
            <w:vAlign w:val="center"/>
          </w:tcPr>
          <w:p w:rsidR="00DF7139" w:rsidRPr="00F86F04"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F86F04">
              <w:rPr>
                <w:rFonts w:ascii="Times New Roman" w:hAnsi="Times New Roman" w:cs="Times New Roman"/>
                <w:color w:val="auto"/>
                <w:sz w:val="20"/>
                <w:szCs w:val="20"/>
              </w:rPr>
              <w:t>2021</w:t>
            </w:r>
          </w:p>
        </w:tc>
      </w:tr>
      <w:tr w:rsidR="00DF7139" w:rsidRPr="00284BE8" w:rsidTr="00B757C1">
        <w:trPr>
          <w:cnfStyle w:val="100000000000" w:firstRow="1" w:lastRow="0" w:firstColumn="0" w:lastColumn="0" w:oddVBand="0" w:evenVBand="0" w:oddHBand="0" w:evenHBand="0" w:firstRowFirstColumn="0" w:firstRowLastColumn="0" w:lastRowFirstColumn="0" w:lastRowLastColumn="0"/>
          <w:trHeight w:val="210"/>
          <w:tblHeade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p>
        </w:tc>
        <w:tc>
          <w:tcPr>
            <w:tcW w:w="4536" w:type="dxa"/>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851" w:type="dxa"/>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1275" w:type="dxa"/>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418" w:type="dxa"/>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417" w:type="dxa"/>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c>
          <w:tcPr>
            <w:tcW w:w="1843" w:type="dxa"/>
            <w:gridSpan w:val="2"/>
            <w:tcBorders>
              <w:right w:val="single" w:sz="12" w:space="0" w:color="95B3D7" w:themeColor="accent1" w:themeTint="99"/>
            </w:tcBorders>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284BE8">
              <w:rPr>
                <w:rFonts w:ascii="Times New Roman" w:hAnsi="Times New Roman" w:cs="Times New Roman"/>
                <w:color w:val="auto"/>
                <w:sz w:val="20"/>
                <w:szCs w:val="20"/>
              </w:rPr>
              <w:t xml:space="preserve">milj. </w:t>
            </w:r>
            <w:proofErr w:type="spellStart"/>
            <w:r w:rsidRPr="00284BE8">
              <w:rPr>
                <w:rFonts w:ascii="Times New Roman" w:hAnsi="Times New Roman" w:cs="Times New Roman"/>
                <w:i/>
                <w:color w:val="auto"/>
                <w:sz w:val="20"/>
                <w:szCs w:val="20"/>
              </w:rPr>
              <w:t>euro</w:t>
            </w:r>
            <w:proofErr w:type="spellEnd"/>
          </w:p>
        </w:tc>
        <w:tc>
          <w:tcPr>
            <w:tcW w:w="1418" w:type="dxa"/>
            <w:gridSpan w:val="2"/>
            <w:tcBorders>
              <w:right w:val="single" w:sz="12" w:space="0" w:color="95B3D7" w:themeColor="accent1" w:themeTint="99"/>
            </w:tcBorders>
            <w:vAlign w:val="center"/>
          </w:tcPr>
          <w:p w:rsidR="00DF7139" w:rsidRPr="00284BE8" w:rsidRDefault="00DF7139" w:rsidP="00DF7139">
            <w:pPr>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color w:val="auto"/>
                <w:sz w:val="20"/>
                <w:szCs w:val="20"/>
              </w:rPr>
              <w:t>% no IKP</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8500" w:type="dxa"/>
            <w:gridSpan w:val="4"/>
            <w:vAlign w:val="center"/>
          </w:tcPr>
          <w:p w:rsidR="00DF7139" w:rsidRPr="00F86F04" w:rsidRDefault="00DF7139" w:rsidP="00EB17A4">
            <w:pPr>
              <w:ind w:firstLine="0"/>
              <w:jc w:val="right"/>
              <w:rPr>
                <w:rFonts w:ascii="Times New Roman" w:hAnsi="Times New Roman" w:cs="Times New Roman"/>
                <w:sz w:val="20"/>
                <w:szCs w:val="20"/>
              </w:rPr>
            </w:pPr>
            <w:r w:rsidRPr="00F86F04">
              <w:rPr>
                <w:rFonts w:ascii="Times New Roman" w:hAnsi="Times New Roman" w:cs="Times New Roman"/>
                <w:color w:val="auto"/>
                <w:sz w:val="20"/>
                <w:szCs w:val="20"/>
              </w:rPr>
              <w:t>Kopējais atbalsts</w:t>
            </w:r>
            <w:r>
              <w:rPr>
                <w:rFonts w:ascii="Times New Roman" w:hAnsi="Times New Roman" w:cs="Times New Roman"/>
                <w:color w:val="auto"/>
                <w:sz w:val="20"/>
                <w:szCs w:val="20"/>
              </w:rPr>
              <w:t>:</w:t>
            </w:r>
          </w:p>
        </w:tc>
        <w:tc>
          <w:tcPr>
            <w:tcW w:w="1418" w:type="dxa"/>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F86F04">
              <w:rPr>
                <w:rFonts w:ascii="Times New Roman" w:hAnsi="Times New Roman" w:cs="Times New Roman"/>
                <w:b/>
                <w:color w:val="auto"/>
                <w:sz w:val="20"/>
                <w:szCs w:val="20"/>
              </w:rPr>
              <w:t>3</w:t>
            </w:r>
            <w:r>
              <w:rPr>
                <w:rFonts w:ascii="Times New Roman" w:hAnsi="Times New Roman" w:cs="Times New Roman"/>
                <w:b/>
                <w:color w:val="auto"/>
                <w:sz w:val="20"/>
                <w:szCs w:val="20"/>
              </w:rPr>
              <w:t> </w:t>
            </w:r>
            <w:r w:rsidRPr="00F86F04">
              <w:rPr>
                <w:rFonts w:ascii="Times New Roman" w:hAnsi="Times New Roman" w:cs="Times New Roman"/>
                <w:b/>
                <w:color w:val="auto"/>
                <w:sz w:val="20"/>
                <w:szCs w:val="20"/>
              </w:rPr>
              <w:t>1</w:t>
            </w:r>
            <w:r>
              <w:rPr>
                <w:rFonts w:ascii="Times New Roman" w:hAnsi="Times New Roman" w:cs="Times New Roman"/>
                <w:b/>
                <w:color w:val="auto"/>
                <w:sz w:val="20"/>
                <w:szCs w:val="20"/>
              </w:rPr>
              <w:t>38,9</w:t>
            </w:r>
          </w:p>
        </w:tc>
        <w:tc>
          <w:tcPr>
            <w:tcW w:w="1417" w:type="dxa"/>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color w:val="auto"/>
                <w:sz w:val="20"/>
                <w:szCs w:val="20"/>
              </w:rPr>
              <w:t>-718,4</w:t>
            </w:r>
          </w:p>
        </w:tc>
        <w:tc>
          <w:tcPr>
            <w:tcW w:w="993" w:type="dxa"/>
            <w:tcBorders>
              <w:right w:val="single" w:sz="12" w:space="0" w:color="95B3D7" w:themeColor="accent1" w:themeTint="99"/>
            </w:tcBorders>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BA34B1">
              <w:rPr>
                <w:rFonts w:ascii="Times New Roman" w:hAnsi="Times New Roman" w:cs="Times New Roman"/>
                <w:b/>
                <w:color w:val="auto"/>
                <w:sz w:val="20"/>
                <w:szCs w:val="20"/>
              </w:rPr>
              <w:t>-1</w:t>
            </w:r>
            <w:r>
              <w:rPr>
                <w:rFonts w:ascii="Times New Roman" w:hAnsi="Times New Roman" w:cs="Times New Roman"/>
                <w:b/>
                <w:color w:val="auto"/>
                <w:sz w:val="20"/>
                <w:szCs w:val="20"/>
              </w:rPr>
              <w:t> 212,4</w:t>
            </w:r>
          </w:p>
        </w:tc>
        <w:tc>
          <w:tcPr>
            <w:tcW w:w="850" w:type="dxa"/>
            <w:tcBorders>
              <w:right w:val="single" w:sz="12" w:space="0" w:color="95B3D7" w:themeColor="accent1" w:themeTint="99"/>
            </w:tcBorders>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-149,8</w:t>
            </w:r>
          </w:p>
        </w:tc>
        <w:tc>
          <w:tcPr>
            <w:tcW w:w="709" w:type="dxa"/>
            <w:tcBorders>
              <w:right w:val="single" w:sz="12" w:space="0" w:color="95B3D7" w:themeColor="accent1" w:themeTint="99"/>
            </w:tcBorders>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-4,3</w:t>
            </w:r>
          </w:p>
        </w:tc>
        <w:tc>
          <w:tcPr>
            <w:tcW w:w="709" w:type="dxa"/>
            <w:tcBorders>
              <w:right w:val="single" w:sz="12" w:space="0" w:color="95B3D7" w:themeColor="accent1" w:themeTint="99"/>
            </w:tcBorders>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Pr>
                <w:rFonts w:ascii="Times New Roman" w:hAnsi="Times New Roman" w:cs="Times New Roman"/>
                <w:b/>
                <w:color w:val="auto"/>
                <w:sz w:val="20"/>
                <w:szCs w:val="20"/>
              </w:rPr>
              <w:t>-0,5</w:t>
            </w:r>
          </w:p>
        </w:tc>
      </w:tr>
      <w:tr w:rsidR="00DF7139" w:rsidRPr="00284BE8" w:rsidTr="00B757C1">
        <w:trPr>
          <w:trHeight w:val="210"/>
          <w:jc w:val="center"/>
        </w:trPr>
        <w:tc>
          <w:tcPr>
            <w:cnfStyle w:val="001000000000" w:firstRow="0" w:lastRow="0" w:firstColumn="1" w:lastColumn="0" w:oddVBand="0" w:evenVBand="0" w:oddHBand="0" w:evenHBand="0" w:firstRowFirstColumn="0" w:firstRowLastColumn="0" w:lastRowFirstColumn="0" w:lastRowLastColumn="0"/>
            <w:tcW w:w="6374" w:type="dxa"/>
            <w:gridSpan w:val="2"/>
            <w:vAlign w:val="center"/>
          </w:tcPr>
          <w:p w:rsidR="00DF7139" w:rsidRPr="00284BE8" w:rsidRDefault="00DF7139" w:rsidP="00EB17A4">
            <w:pPr>
              <w:ind w:firstLine="0"/>
              <w:jc w:val="left"/>
              <w:rPr>
                <w:rFonts w:ascii="Times New Roman" w:eastAsia="Calibri" w:hAnsi="Times New Roman" w:cs="Times New Roman"/>
                <w:sz w:val="20"/>
                <w:szCs w:val="20"/>
              </w:rPr>
            </w:pPr>
            <w:r w:rsidRPr="00284BE8">
              <w:rPr>
                <w:rFonts w:ascii="Times New Roman" w:eastAsia="Calibri" w:hAnsi="Times New Roman" w:cs="Times New Roman"/>
                <w:snapToGrid w:val="0"/>
                <w:color w:val="auto"/>
                <w:sz w:val="20"/>
                <w:szCs w:val="20"/>
              </w:rPr>
              <w:t>1. Atbalsts nodokļu jomā</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418" w:type="dxa"/>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7" w:type="dxa"/>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Nodokļu samaksas termiņa pagarinājumi</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84BE8">
              <w:rPr>
                <w:rFonts w:ascii="Times New Roman" w:eastAsia="Calibri" w:hAnsi="Times New Roman" w:cs="Times New Roman"/>
                <w:color w:val="auto"/>
                <w:sz w:val="20"/>
                <w:szCs w:val="20"/>
              </w:rPr>
              <w:t>Krīzes skartie uzņēmēji var lūgt sadalīt vai atlikt nodokļu maksājumus uz laiku līdz 3 gadiem, kā arī piešķirt termiņa pagarinājumu tiem nokavētajiem nodokļu maksājumiem, kuru samaksas termiņš jau ir pagarināts saskaņā ar likumu “Par nodokļiem un nodevām”, ja termiņa kavējums radies Covid-19 rezultātā.</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D.2, D.5, D.61</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20.03.2020.</w:t>
            </w:r>
            <w:r>
              <w:rPr>
                <w:rFonts w:ascii="Times New Roman" w:hAnsi="Times New Roman" w:cs="Times New Roman"/>
                <w:color w:val="auto"/>
                <w:sz w:val="20"/>
                <w:szCs w:val="20"/>
              </w:rPr>
              <w:t xml:space="preserve"> 05.06.2020.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139,2</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BA34B1">
              <w:rPr>
                <w:rFonts w:ascii="Times New Roman" w:hAnsi="Times New Roman" w:cs="Times New Roman"/>
                <w:color w:val="auto"/>
                <w:sz w:val="20"/>
              </w:rPr>
              <w:t>-</w:t>
            </w:r>
            <w:r>
              <w:rPr>
                <w:rFonts w:ascii="Times New Roman" w:hAnsi="Times New Roman" w:cs="Times New Roman"/>
                <w:color w:val="auto"/>
                <w:sz w:val="20"/>
              </w:rPr>
              <w:t>42,</w:t>
            </w:r>
            <w:r w:rsidRPr="00BA34B1">
              <w:rPr>
                <w:rFonts w:ascii="Times New Roman" w:hAnsi="Times New Roman" w:cs="Times New Roman"/>
                <w:color w:val="auto"/>
                <w:sz w:val="20"/>
              </w:rPr>
              <w:t>7</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rPr>
              <w:t>-</w:t>
            </w:r>
            <w:r>
              <w:rPr>
                <w:rFonts w:ascii="Times New Roman" w:hAnsi="Times New Roman" w:cs="Times New Roman"/>
                <w:color w:val="auto"/>
                <w:sz w:val="20"/>
              </w:rPr>
              <w:t>44,9</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0,5</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-0,2</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0,0</w:t>
            </w:r>
          </w:p>
        </w:tc>
      </w:tr>
      <w:tr w:rsidR="00DF7139" w:rsidRPr="00284BE8" w:rsidTr="00B757C1">
        <w:trPr>
          <w:trHeight w:val="26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IIN avansa maksājumu atcelšana</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IIN maksātājs par 2020. taksācijas gadu neveic IIN avansa maksājumus no saimnieciskās darbības ienākuma. Nosacījums attiecināms uz avansa maksājumiem</w:t>
            </w:r>
            <w:r>
              <w:rPr>
                <w:rFonts w:ascii="Times New Roman" w:eastAsia="Calibri" w:hAnsi="Times New Roman" w:cs="Times New Roman"/>
                <w:color w:val="auto"/>
                <w:sz w:val="20"/>
                <w:szCs w:val="20"/>
              </w:rPr>
              <w:t>, sākot ar 2020.gada 1.</w:t>
            </w:r>
            <w:r w:rsidRPr="00284BE8">
              <w:rPr>
                <w:rFonts w:ascii="Times New Roman" w:eastAsia="Calibri" w:hAnsi="Times New Roman" w:cs="Times New Roman"/>
                <w:color w:val="auto"/>
                <w:sz w:val="20"/>
                <w:szCs w:val="20"/>
              </w:rPr>
              <w:t>janvāri. IIN avansa maksājumus par 2020. taksācijas gadu var veikt labprātīgi.</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D.5</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4BE8">
              <w:rPr>
                <w:rFonts w:ascii="Times New Roman" w:hAnsi="Times New Roman" w:cs="Times New Roman"/>
                <w:color w:val="auto"/>
                <w:sz w:val="20"/>
                <w:szCs w:val="20"/>
              </w:rPr>
              <w:t>20.03.2020.</w:t>
            </w:r>
            <w:r>
              <w:rPr>
                <w:rFonts w:ascii="Times New Roman" w:hAnsi="Times New Roman" w:cs="Times New Roman"/>
                <w:color w:val="auto"/>
                <w:sz w:val="20"/>
                <w:szCs w:val="20"/>
              </w:rPr>
              <w:t xml:space="preserve"> 05.06.2020.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35,0</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-35,0</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-35,</w:t>
            </w:r>
            <w:r w:rsidRPr="00284BE8">
              <w:rPr>
                <w:rFonts w:ascii="Times New Roman" w:hAnsi="Times New Roman" w:cs="Times New Roman"/>
                <w:color w:val="auto"/>
                <w:sz w:val="20"/>
              </w:rPr>
              <w:t>0</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35,0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rPr>
              <w:t>-</w:t>
            </w:r>
            <w:r>
              <w:rPr>
                <w:rFonts w:ascii="Times New Roman" w:hAnsi="Times New Roman" w:cs="Times New Roman"/>
                <w:color w:val="auto"/>
                <w:sz w:val="20"/>
              </w:rPr>
              <w:t>0,1</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0,1</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Pārmaksātā PVN atmaksa 30 dienu laikā</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PVN pārmaksas tiek izskatītas un atmaksātas visiem nodokļu maksātajiem 30 dienu laikā, tās neuzkrājot līdz taksācijas gada beigām; normas spēkā stāšanās - 2020.gada 1.aprīlis.</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D.2</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20.03.2020.</w:t>
            </w:r>
            <w:r>
              <w:rPr>
                <w:rFonts w:ascii="Times New Roman" w:hAnsi="Times New Roman" w:cs="Times New Roman"/>
                <w:color w:val="auto"/>
                <w:sz w:val="20"/>
                <w:szCs w:val="20"/>
              </w:rPr>
              <w:t xml:space="preserve"> 05.06.2020.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60,0</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n/a</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-60,</w:t>
            </w:r>
            <w:r w:rsidRPr="00284BE8">
              <w:rPr>
                <w:rFonts w:ascii="Times New Roman" w:hAnsi="Times New Roman" w:cs="Times New Roman"/>
                <w:color w:val="auto"/>
                <w:sz w:val="20"/>
              </w:rPr>
              <w:t>0</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0,0</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-0,2</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rPr>
              <w:t>0,</w:t>
            </w:r>
            <w:r w:rsidRPr="00284BE8">
              <w:rPr>
                <w:rFonts w:ascii="Times New Roman" w:hAnsi="Times New Roman" w:cs="Times New Roman"/>
                <w:color w:val="auto"/>
                <w:sz w:val="20"/>
              </w:rPr>
              <w:t>0</w:t>
            </w:r>
          </w:p>
        </w:tc>
      </w:tr>
      <w:tr w:rsidR="00DF7139" w:rsidRPr="00284BE8" w:rsidTr="00B757C1">
        <w:trPr>
          <w:trHeight w:val="255"/>
          <w:jc w:val="center"/>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NĪN samaksas termiņu pagarināšana</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Pašvaldībām ir tiesības noteikt no likuma “Par nekustamā īpašumu nodokli” atšķirīgus nodokļa nomaksas termiņus, tos pārceļot uz vēlāku laiku.</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D.5</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284BE8">
              <w:rPr>
                <w:rFonts w:ascii="Times New Roman" w:hAnsi="Times New Roman" w:cs="Times New Roman"/>
                <w:color w:val="auto"/>
                <w:sz w:val="20"/>
                <w:szCs w:val="20"/>
              </w:rPr>
              <w:t>20.03.2020.</w:t>
            </w:r>
            <w:r>
              <w:rPr>
                <w:rFonts w:ascii="Times New Roman" w:hAnsi="Times New Roman" w:cs="Times New Roman"/>
                <w:color w:val="auto"/>
                <w:sz w:val="20"/>
                <w:szCs w:val="20"/>
              </w:rPr>
              <w:t xml:space="preserve"> 05.06.2020.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color w:val="auto"/>
                <w:sz w:val="20"/>
              </w:rPr>
              <w:t>0,</w:t>
            </w:r>
            <w:r w:rsidRPr="00284BE8">
              <w:rPr>
                <w:rFonts w:ascii="Times New Roman" w:hAnsi="Times New Roman" w:cs="Times New Roman"/>
                <w:color w:val="auto"/>
                <w:sz w:val="20"/>
              </w:rPr>
              <w:t>0</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color w:val="auto"/>
                <w:sz w:val="20"/>
              </w:rPr>
              <w:t>0,</w:t>
            </w:r>
            <w:r w:rsidRPr="00284BE8">
              <w:rPr>
                <w:rFonts w:ascii="Times New Roman" w:hAnsi="Times New Roman" w:cs="Times New Roman"/>
                <w:color w:val="auto"/>
                <w:sz w:val="20"/>
              </w:rPr>
              <w:t>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color w:val="auto"/>
                <w:sz w:val="20"/>
              </w:rPr>
              <w:t>0,</w:t>
            </w:r>
            <w:r w:rsidRPr="00284BE8">
              <w:rPr>
                <w:rFonts w:ascii="Times New Roman" w:hAnsi="Times New Roman" w:cs="Times New Roman"/>
                <w:color w:val="auto"/>
                <w:sz w:val="20"/>
              </w:rPr>
              <w:t>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color w:val="auto"/>
                <w:sz w:val="20"/>
              </w:rPr>
              <w:t>0,</w:t>
            </w:r>
            <w:r w:rsidRPr="00284BE8">
              <w:rPr>
                <w:rFonts w:ascii="Times New Roman" w:hAnsi="Times New Roman" w:cs="Times New Roman"/>
                <w:color w:val="auto"/>
                <w:sz w:val="20"/>
              </w:rPr>
              <w:t>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6374" w:type="dxa"/>
            <w:gridSpan w:val="2"/>
            <w:vAlign w:val="center"/>
            <w:hideMark/>
          </w:tcPr>
          <w:p w:rsidR="00DF7139" w:rsidRPr="00284BE8" w:rsidRDefault="00DF7139" w:rsidP="00EB17A4">
            <w:pPr>
              <w:ind w:firstLine="0"/>
              <w:jc w:val="left"/>
              <w:rPr>
                <w:rFonts w:ascii="Times New Roman" w:eastAsia="Calibri" w:hAnsi="Times New Roman" w:cs="Times New Roman"/>
                <w:sz w:val="20"/>
                <w:szCs w:val="20"/>
              </w:rPr>
            </w:pPr>
            <w:r w:rsidRPr="00F51974">
              <w:rPr>
                <w:rFonts w:ascii="Times New Roman" w:eastAsia="Calibri" w:hAnsi="Times New Roman" w:cs="Times New Roman"/>
                <w:snapToGrid w:val="0"/>
                <w:color w:val="auto"/>
                <w:sz w:val="20"/>
                <w:szCs w:val="20"/>
              </w:rPr>
              <w:t>2. Atbalsts pabalstu jomā</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417" w:type="dxa"/>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93"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lastRenderedPageBreak/>
              <w:t>- Pabalsts ģimenēm (personai) krīzes situācijā</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xml:space="preserve">Valsts budžeta mērķdotācijas pašvaldībām. Pašvaldība piešķirs ģimenei (personai) pabalstu krīzes situācijā, pamatojoties uz ārkārtējo situāciju, ja ģimenei (personai) nav ienākumu, ir radušies papildus izdevumi, ko tā pati nespēj segt, atrodoties </w:t>
            </w:r>
            <w:proofErr w:type="spellStart"/>
            <w:r w:rsidRPr="00284BE8">
              <w:rPr>
                <w:rFonts w:ascii="Times New Roman" w:eastAsia="Calibri" w:hAnsi="Times New Roman" w:cs="Times New Roman"/>
                <w:snapToGrid w:val="0"/>
                <w:color w:val="auto"/>
                <w:sz w:val="20"/>
                <w:szCs w:val="20"/>
              </w:rPr>
              <w:t>pašizolācijā</w:t>
            </w:r>
            <w:proofErr w:type="spellEnd"/>
            <w:r w:rsidRPr="00284BE8">
              <w:rPr>
                <w:rFonts w:ascii="Times New Roman" w:eastAsia="Calibri" w:hAnsi="Times New Roman" w:cs="Times New Roman"/>
                <w:snapToGrid w:val="0"/>
                <w:color w:val="auto"/>
                <w:sz w:val="20"/>
                <w:szCs w:val="20"/>
              </w:rPr>
              <w:t xml:space="preserve"> vai ir atradusies karantīnā un tai nav iztikas līdzekļu (50 procentu apmērā no ģimenei (personai) izmaksātā pabalsta krīzes situācijā, bet ne vairāk kā 40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mēnesī vienai personai triju mēnešu periodā).</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20.03.2020.</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01.04.2020. </w:t>
            </w:r>
            <w:r w:rsidRPr="00284BE8">
              <w:rPr>
                <w:rFonts w:ascii="Times New Roman" w:hAnsi="Times New Roman" w:cs="Times New Roman"/>
                <w:color w:val="auto"/>
                <w:sz w:val="20"/>
                <w:szCs w:val="20"/>
              </w:rPr>
              <w:t>16.04.2020.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0,4</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-0,3</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-0,4</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Slimības pabalsta apmaksa no valsts budžeta no 2.dienas</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xml:space="preserve">Personai, kurai tiek izsniegta darbnespējas lapa par Covid-19 vai atrašanos karantīnā no </w:t>
            </w:r>
            <w:r>
              <w:rPr>
                <w:rFonts w:ascii="Times New Roman" w:eastAsia="Calibri" w:hAnsi="Times New Roman" w:cs="Times New Roman"/>
                <w:snapToGrid w:val="0"/>
                <w:color w:val="auto"/>
                <w:sz w:val="20"/>
                <w:szCs w:val="20"/>
              </w:rPr>
              <w:t>2020.gada 22.marta līdz 2020.gada 31.decembrim</w:t>
            </w:r>
            <w:r w:rsidRPr="00284BE8">
              <w:rPr>
                <w:rFonts w:ascii="Times New Roman" w:eastAsia="Calibri" w:hAnsi="Times New Roman" w:cs="Times New Roman"/>
                <w:snapToGrid w:val="0"/>
                <w:color w:val="auto"/>
                <w:sz w:val="20"/>
                <w:szCs w:val="20"/>
              </w:rPr>
              <w:t>, slimības pabalstu piešķir un izmaksā par lai</w:t>
            </w:r>
            <w:r w:rsidR="001A4DB5">
              <w:rPr>
                <w:rFonts w:ascii="Times New Roman" w:eastAsia="Calibri" w:hAnsi="Times New Roman" w:cs="Times New Roman"/>
                <w:snapToGrid w:val="0"/>
                <w:color w:val="auto"/>
                <w:sz w:val="20"/>
                <w:szCs w:val="20"/>
              </w:rPr>
              <w:t>ku no darbnespējas otrās dienas</w:t>
            </w:r>
            <w:r w:rsidRPr="00284BE8">
              <w:rPr>
                <w:rFonts w:ascii="Times New Roman" w:eastAsia="Calibri" w:hAnsi="Times New Roman" w:cs="Times New Roman"/>
                <w:snapToGrid w:val="0"/>
                <w:color w:val="auto"/>
                <w:sz w:val="20"/>
                <w:szCs w:val="20"/>
              </w:rPr>
              <w:t xml:space="preserve"> (80% apmērā no vidējās apdrošināšanas iemaksu algas).</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D.632, D.62</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20.03.2020.</w:t>
            </w:r>
            <w:r>
              <w:rPr>
                <w:rFonts w:ascii="Times New Roman" w:hAnsi="Times New Roman" w:cs="Times New Roman"/>
                <w:color w:val="auto"/>
                <w:sz w:val="20"/>
                <w:szCs w:val="20"/>
              </w:rPr>
              <w:t xml:space="preserve"> 12.05.2020.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-1,6</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Dīkstāves pabalsti</w:t>
            </w:r>
          </w:p>
        </w:tc>
        <w:tc>
          <w:tcPr>
            <w:tcW w:w="4536" w:type="dxa"/>
            <w:vAlign w:val="center"/>
          </w:tcPr>
          <w:p w:rsidR="00DF7139" w:rsidRPr="00284BE8" w:rsidRDefault="00DF7139" w:rsidP="00C93F6B">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xml:space="preserve">Darbinieka atlīdzība dīkstāves gadījumā tiek kompensēta no valsts budžeta 75% apmērā no darbinieka sešu mēnešu vidējās atlīdzības (līdz 700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Atbalsts </w:t>
            </w:r>
            <w:proofErr w:type="spellStart"/>
            <w:r w:rsidRPr="00284BE8">
              <w:rPr>
                <w:rFonts w:ascii="Times New Roman" w:eastAsia="Calibri" w:hAnsi="Times New Roman" w:cs="Times New Roman"/>
                <w:snapToGrid w:val="0"/>
                <w:color w:val="auto"/>
                <w:sz w:val="20"/>
                <w:szCs w:val="20"/>
              </w:rPr>
              <w:t>pašnodarbinātām</w:t>
            </w:r>
            <w:proofErr w:type="spellEnd"/>
            <w:r w:rsidRPr="00284BE8">
              <w:rPr>
                <w:rFonts w:ascii="Times New Roman" w:eastAsia="Calibri" w:hAnsi="Times New Roman" w:cs="Times New Roman"/>
                <w:snapToGrid w:val="0"/>
                <w:color w:val="auto"/>
                <w:sz w:val="20"/>
                <w:szCs w:val="20"/>
              </w:rPr>
              <w:t xml:space="preserve"> personām (75%, līdz 700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vai autoratlīdzības saņēmējiem vai </w:t>
            </w:r>
            <w:r w:rsidR="00C93F6B">
              <w:rPr>
                <w:rFonts w:ascii="Times New Roman" w:eastAsia="Calibri" w:hAnsi="Times New Roman" w:cs="Times New Roman"/>
                <w:snapToGrid w:val="0"/>
                <w:color w:val="auto"/>
                <w:sz w:val="20"/>
                <w:szCs w:val="20"/>
              </w:rPr>
              <w:t>MUN</w:t>
            </w:r>
            <w:r w:rsidRPr="00284BE8">
              <w:rPr>
                <w:rFonts w:ascii="Times New Roman" w:eastAsia="Calibri" w:hAnsi="Times New Roman" w:cs="Times New Roman"/>
                <w:snapToGrid w:val="0"/>
                <w:color w:val="auto"/>
                <w:sz w:val="20"/>
                <w:szCs w:val="20"/>
              </w:rPr>
              <w:t xml:space="preserve"> maksātājiem (50%, līdz 700</w:t>
            </w:r>
            <w:r w:rsidRPr="00C15562">
              <w:rPr>
                <w:rFonts w:ascii="Times New Roman" w:eastAsia="Calibri" w:hAnsi="Times New Roman" w:cs="Times New Roman"/>
                <w:i/>
                <w:snapToGrid w:val="0"/>
                <w:color w:val="auto"/>
                <w:sz w:val="20"/>
                <w:szCs w:val="20"/>
              </w:rPr>
              <w:t xml:space="preserve">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kuri dīkstāves periodā nav guvušas ienākumus no saimnieciskās darbības.</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26.03.2020.</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31.03.2020.</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02.04.2020.</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09.04.2020.</w:t>
            </w:r>
            <w:r>
              <w:rPr>
                <w:rFonts w:ascii="Times New Roman" w:hAnsi="Times New Roman" w:cs="Times New Roman"/>
                <w:color w:val="auto"/>
                <w:sz w:val="20"/>
                <w:szCs w:val="20"/>
              </w:rPr>
              <w:t xml:space="preserve"> 23.04.2020. 28.04.2020.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53,6</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-53,6</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-53,6</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-0,2</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D</w:t>
            </w:r>
            <w:r w:rsidRPr="00284BE8">
              <w:rPr>
                <w:rFonts w:ascii="Times New Roman" w:eastAsia="Calibri" w:hAnsi="Times New Roman" w:cs="Times New Roman"/>
                <w:b w:val="0"/>
                <w:snapToGrid w:val="0"/>
                <w:color w:val="auto"/>
                <w:sz w:val="20"/>
                <w:szCs w:val="20"/>
              </w:rPr>
              <w:t xml:space="preserve">īkstāves pabalsta </w:t>
            </w:r>
            <w:r>
              <w:rPr>
                <w:rFonts w:ascii="Times New Roman" w:eastAsia="Calibri" w:hAnsi="Times New Roman" w:cs="Times New Roman"/>
                <w:b w:val="0"/>
                <w:snapToGrid w:val="0"/>
                <w:color w:val="auto"/>
                <w:sz w:val="20"/>
                <w:szCs w:val="20"/>
              </w:rPr>
              <w:t>piemaksa par bērniem, d</w:t>
            </w:r>
            <w:r w:rsidRPr="00284BE8">
              <w:rPr>
                <w:rFonts w:ascii="Times New Roman" w:eastAsia="Calibri" w:hAnsi="Times New Roman" w:cs="Times New Roman"/>
                <w:b w:val="0"/>
                <w:snapToGrid w:val="0"/>
                <w:color w:val="auto"/>
                <w:sz w:val="20"/>
                <w:szCs w:val="20"/>
              </w:rPr>
              <w:t xml:space="preserve">īkstāves </w:t>
            </w:r>
            <w:r>
              <w:rPr>
                <w:rFonts w:ascii="Times New Roman" w:eastAsia="Calibri" w:hAnsi="Times New Roman" w:cs="Times New Roman"/>
                <w:b w:val="0"/>
                <w:snapToGrid w:val="0"/>
                <w:color w:val="auto"/>
                <w:sz w:val="20"/>
                <w:szCs w:val="20"/>
              </w:rPr>
              <w:t xml:space="preserve">palīdzības pabalsts </w:t>
            </w:r>
            <w:r>
              <w:rPr>
                <w:rFonts w:ascii="Times New Roman" w:eastAsia="Calibri" w:hAnsi="Times New Roman" w:cs="Times New Roman"/>
                <w:b w:val="0"/>
                <w:snapToGrid w:val="0"/>
                <w:color w:val="auto"/>
                <w:sz w:val="20"/>
                <w:szCs w:val="20"/>
              </w:rPr>
              <w:lastRenderedPageBreak/>
              <w:t>un piemaksa par bērniem</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sz w:val="20"/>
                <w:szCs w:val="20"/>
              </w:rPr>
            </w:pPr>
            <w:r w:rsidRPr="00FB24B5">
              <w:rPr>
                <w:rFonts w:ascii="Times New Roman" w:eastAsia="Calibri" w:hAnsi="Times New Roman" w:cs="Times New Roman"/>
                <w:snapToGrid w:val="0"/>
                <w:color w:val="auto"/>
                <w:sz w:val="20"/>
                <w:szCs w:val="20"/>
              </w:rPr>
              <w:lastRenderedPageBreak/>
              <w:t xml:space="preserve">Dīkstāves palīdzības pabalsts tiem darba ņēmējiem un </w:t>
            </w:r>
            <w:proofErr w:type="spellStart"/>
            <w:r w:rsidRPr="00FB24B5">
              <w:rPr>
                <w:rFonts w:ascii="Times New Roman" w:eastAsia="Calibri" w:hAnsi="Times New Roman" w:cs="Times New Roman"/>
                <w:snapToGrid w:val="0"/>
                <w:color w:val="auto"/>
                <w:sz w:val="20"/>
                <w:szCs w:val="20"/>
              </w:rPr>
              <w:t>pašnodarbinātām</w:t>
            </w:r>
            <w:proofErr w:type="spellEnd"/>
            <w:r w:rsidRPr="00FB24B5">
              <w:rPr>
                <w:rFonts w:ascii="Times New Roman" w:eastAsia="Calibri" w:hAnsi="Times New Roman" w:cs="Times New Roman"/>
                <w:snapToGrid w:val="0"/>
                <w:color w:val="auto"/>
                <w:sz w:val="20"/>
                <w:szCs w:val="20"/>
              </w:rPr>
              <w:t xml:space="preserve"> personām, kuriem dīkstāves pabalsts ir mazāks par 180 </w:t>
            </w:r>
            <w:proofErr w:type="spellStart"/>
            <w:r w:rsidR="001A4DB5" w:rsidRPr="00C15562">
              <w:rPr>
                <w:rFonts w:ascii="Times New Roman" w:eastAsia="Calibri" w:hAnsi="Times New Roman" w:cs="Times New Roman"/>
                <w:i/>
                <w:snapToGrid w:val="0"/>
                <w:color w:val="auto"/>
                <w:sz w:val="20"/>
                <w:szCs w:val="20"/>
              </w:rPr>
              <w:t>euro</w:t>
            </w:r>
            <w:proofErr w:type="spellEnd"/>
            <w:r w:rsidRPr="00FB24B5">
              <w:rPr>
                <w:rFonts w:ascii="Times New Roman" w:eastAsia="Calibri" w:hAnsi="Times New Roman" w:cs="Times New Roman"/>
                <w:snapToGrid w:val="0"/>
                <w:color w:val="auto"/>
                <w:sz w:val="20"/>
                <w:szCs w:val="20"/>
              </w:rPr>
              <w:t xml:space="preserve"> mēnesī vai kuras nekvalificējas dīkstāves pabalstam.</w:t>
            </w:r>
            <w:r>
              <w:rPr>
                <w:rFonts w:ascii="Times New Roman" w:eastAsia="Calibri" w:hAnsi="Times New Roman" w:cs="Times New Roman"/>
                <w:snapToGrid w:val="0"/>
                <w:color w:val="auto"/>
                <w:sz w:val="20"/>
                <w:szCs w:val="20"/>
              </w:rPr>
              <w:t xml:space="preserve"> </w:t>
            </w:r>
            <w:r w:rsidRPr="00284BE8">
              <w:rPr>
                <w:rFonts w:ascii="Times New Roman" w:eastAsia="Calibri" w:hAnsi="Times New Roman" w:cs="Times New Roman"/>
                <w:snapToGrid w:val="0"/>
                <w:color w:val="auto"/>
                <w:sz w:val="20"/>
                <w:szCs w:val="20"/>
              </w:rPr>
              <w:t xml:space="preserve">Darbiniekam, kurš saņem dīkstāves pabalstu, piemaksa 50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apmērā par katru apgādībā esošu bērnu vecumā līdz 24 gadiem, par kuru </w:t>
            </w:r>
            <w:r w:rsidRPr="00284BE8">
              <w:rPr>
                <w:rFonts w:ascii="Times New Roman" w:eastAsia="Calibri" w:hAnsi="Times New Roman" w:cs="Times New Roman"/>
                <w:snapToGrid w:val="0"/>
                <w:color w:val="auto"/>
                <w:sz w:val="20"/>
                <w:szCs w:val="20"/>
              </w:rPr>
              <w:lastRenderedPageBreak/>
              <w:t>darbiniekam uz dīkstāves pabalsta piešķiršanas dienu tiek piemērots IIN atvieglojums.</w:t>
            </w:r>
          </w:p>
        </w:tc>
        <w:tc>
          <w:tcPr>
            <w:tcW w:w="851"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FB24B5">
              <w:rPr>
                <w:rFonts w:ascii="Times New Roman" w:eastAsia="Calibri" w:hAnsi="Times New Roman" w:cs="Times New Roman"/>
                <w:snapToGrid w:val="0"/>
                <w:color w:val="auto"/>
                <w:sz w:val="20"/>
                <w:szCs w:val="20"/>
              </w:rPr>
              <w:lastRenderedPageBreak/>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16.04.2020.</w:t>
            </w:r>
            <w:r>
              <w:rPr>
                <w:rFonts w:ascii="Times New Roman" w:hAnsi="Times New Roman" w:cs="Times New Roman"/>
                <w:color w:val="auto"/>
                <w:sz w:val="20"/>
                <w:szCs w:val="20"/>
              </w:rPr>
              <w:t xml:space="preserve"> 3</w:t>
            </w:r>
            <w:r w:rsidRPr="00284BE8">
              <w:rPr>
                <w:rFonts w:ascii="Times New Roman" w:hAnsi="Times New Roman" w:cs="Times New Roman"/>
                <w:color w:val="auto"/>
                <w:sz w:val="20"/>
                <w:szCs w:val="20"/>
              </w:rPr>
              <w:t>0.0</w:t>
            </w:r>
            <w:r>
              <w:rPr>
                <w:rFonts w:ascii="Times New Roman" w:hAnsi="Times New Roman" w:cs="Times New Roman"/>
                <w:color w:val="auto"/>
                <w:sz w:val="20"/>
                <w:szCs w:val="20"/>
              </w:rPr>
              <w:t>4</w:t>
            </w:r>
            <w:r w:rsidRPr="00284BE8">
              <w:rPr>
                <w:rFonts w:ascii="Times New Roman" w:hAnsi="Times New Roman" w:cs="Times New Roman"/>
                <w:color w:val="auto"/>
                <w:sz w:val="20"/>
                <w:szCs w:val="20"/>
              </w:rPr>
              <w:t>.2020.</w:t>
            </w:r>
          </w:p>
        </w:tc>
        <w:tc>
          <w:tcPr>
            <w:tcW w:w="1418"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417"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3"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850"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Tiesības uz bezdarbnieka statusu patentmaksas un </w:t>
            </w:r>
            <w:proofErr w:type="spellStart"/>
            <w:r w:rsidRPr="00284BE8">
              <w:rPr>
                <w:rFonts w:ascii="Times New Roman" w:eastAsia="Calibri" w:hAnsi="Times New Roman" w:cs="Times New Roman"/>
                <w:b w:val="0"/>
                <w:snapToGrid w:val="0"/>
                <w:color w:val="auto"/>
                <w:sz w:val="20"/>
                <w:szCs w:val="20"/>
              </w:rPr>
              <w:t>mikrouzņēmuma</w:t>
            </w:r>
            <w:proofErr w:type="spellEnd"/>
            <w:r w:rsidRPr="00284BE8">
              <w:rPr>
                <w:rFonts w:ascii="Times New Roman" w:eastAsia="Calibri" w:hAnsi="Times New Roman" w:cs="Times New Roman"/>
                <w:b w:val="0"/>
                <w:snapToGrid w:val="0"/>
                <w:color w:val="auto"/>
                <w:sz w:val="20"/>
                <w:szCs w:val="20"/>
              </w:rPr>
              <w:t xml:space="preserve"> nodokļa maksātājiem</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 xml:space="preserve">Līdz 2020.gada 31.decembrim tiesības uz bezdarbnieka statusu, ir arī personai, kura zaudējusi darba ņēmēja statusu un uz darba ņēmēja statusa zaudēšanas dienu ir reģistrēta kā patentmaksas maksātājs, </w:t>
            </w:r>
            <w:proofErr w:type="spellStart"/>
            <w:r w:rsidRPr="00284BE8">
              <w:rPr>
                <w:rFonts w:ascii="Times New Roman" w:eastAsia="Calibri" w:hAnsi="Times New Roman" w:cs="Times New Roman"/>
                <w:snapToGrid w:val="0"/>
                <w:color w:val="auto"/>
                <w:sz w:val="20"/>
                <w:szCs w:val="20"/>
              </w:rPr>
              <w:t>mikrouzņēmuma</w:t>
            </w:r>
            <w:proofErr w:type="spellEnd"/>
            <w:r w:rsidRPr="00284BE8">
              <w:rPr>
                <w:rFonts w:ascii="Times New Roman" w:eastAsia="Calibri" w:hAnsi="Times New Roman" w:cs="Times New Roman"/>
                <w:snapToGrid w:val="0"/>
                <w:color w:val="auto"/>
                <w:sz w:val="20"/>
                <w:szCs w:val="20"/>
              </w:rPr>
              <w:t xml:space="preserve"> darbinieks, kas ir </w:t>
            </w:r>
            <w:proofErr w:type="spellStart"/>
            <w:r w:rsidRPr="00284BE8">
              <w:rPr>
                <w:rFonts w:ascii="Times New Roman" w:eastAsia="Calibri" w:hAnsi="Times New Roman" w:cs="Times New Roman"/>
                <w:snapToGrid w:val="0"/>
                <w:color w:val="auto"/>
                <w:sz w:val="20"/>
                <w:szCs w:val="20"/>
              </w:rPr>
              <w:t>mikrouzņēmuma</w:t>
            </w:r>
            <w:proofErr w:type="spellEnd"/>
            <w:r w:rsidRPr="00284BE8">
              <w:rPr>
                <w:rFonts w:ascii="Times New Roman" w:eastAsia="Calibri" w:hAnsi="Times New Roman" w:cs="Times New Roman"/>
                <w:snapToGrid w:val="0"/>
                <w:color w:val="auto"/>
                <w:sz w:val="20"/>
                <w:szCs w:val="20"/>
              </w:rPr>
              <w:t xml:space="preserve">  īpašnieks vai </w:t>
            </w:r>
            <w:proofErr w:type="spellStart"/>
            <w:r w:rsidRPr="00284BE8">
              <w:rPr>
                <w:rFonts w:ascii="Times New Roman" w:eastAsia="Calibri" w:hAnsi="Times New Roman" w:cs="Times New Roman"/>
                <w:snapToGrid w:val="0"/>
                <w:color w:val="auto"/>
                <w:sz w:val="20"/>
                <w:szCs w:val="20"/>
              </w:rPr>
              <w:t>pašnodarbinātais</w:t>
            </w:r>
            <w:proofErr w:type="spellEnd"/>
            <w:r w:rsidRPr="00284BE8">
              <w:rPr>
                <w:rFonts w:ascii="Times New Roman" w:eastAsia="Calibri" w:hAnsi="Times New Roman" w:cs="Times New Roman"/>
                <w:snapToGrid w:val="0"/>
                <w:color w:val="auto"/>
                <w:sz w:val="20"/>
                <w:szCs w:val="20"/>
              </w:rPr>
              <w:t xml:space="preserve">, kurš ir izvēlējies </w:t>
            </w:r>
            <w:proofErr w:type="spellStart"/>
            <w:r w:rsidRPr="00284BE8">
              <w:rPr>
                <w:rFonts w:ascii="Times New Roman" w:eastAsia="Calibri" w:hAnsi="Times New Roman" w:cs="Times New Roman"/>
                <w:snapToGrid w:val="0"/>
                <w:color w:val="auto"/>
                <w:sz w:val="20"/>
                <w:szCs w:val="20"/>
              </w:rPr>
              <w:t>mikrouzņēmuma</w:t>
            </w:r>
            <w:proofErr w:type="spellEnd"/>
            <w:r w:rsidRPr="00284BE8">
              <w:rPr>
                <w:rFonts w:ascii="Times New Roman" w:eastAsia="Calibri" w:hAnsi="Times New Roman" w:cs="Times New Roman"/>
                <w:snapToGrid w:val="0"/>
                <w:color w:val="auto"/>
                <w:sz w:val="20"/>
                <w:szCs w:val="20"/>
              </w:rPr>
              <w:t xml:space="preserve"> nodokļa nomaksu, un kuras ienākumi mēnesī šajā darbības jomā nesasniedz M</w:t>
            </w:r>
            <w:r>
              <w:rPr>
                <w:rFonts w:ascii="Times New Roman" w:eastAsia="Calibri" w:hAnsi="Times New Roman" w:cs="Times New Roman"/>
                <w:snapToGrid w:val="0"/>
                <w:color w:val="auto"/>
                <w:sz w:val="20"/>
                <w:szCs w:val="20"/>
              </w:rPr>
              <w:t xml:space="preserve">K </w:t>
            </w:r>
            <w:r w:rsidRPr="00284BE8">
              <w:rPr>
                <w:rFonts w:ascii="Times New Roman" w:eastAsia="Calibri" w:hAnsi="Times New Roman" w:cs="Times New Roman"/>
                <w:snapToGrid w:val="0"/>
                <w:color w:val="auto"/>
                <w:sz w:val="20"/>
                <w:szCs w:val="20"/>
              </w:rPr>
              <w:t xml:space="preserve">noteiktās minimālās mēneša darba alga apmēru.  </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D.632, D.62</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16</w:t>
            </w:r>
            <w:r w:rsidRPr="00284BE8">
              <w:rPr>
                <w:rFonts w:ascii="Times New Roman" w:hAnsi="Times New Roman" w:cs="Times New Roman"/>
                <w:color w:val="auto"/>
                <w:sz w:val="20"/>
                <w:szCs w:val="20"/>
              </w:rPr>
              <w:t>.04.2020.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Pagarināts vecāku pabalstu saņemšanas termiņš</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Personai, kurai piešķirtā pabalsta periods beidzas laikā, kad izsludināta ārkārtējā situācija, un kura nevar atgriezties darbā, var pieprasīt piešķirtā pabalsta turpinājuma izmaksu pēc tam, kad bērns sasniedz viena gada vai pusotra gada vecumu. P</w:t>
            </w:r>
            <w:r>
              <w:rPr>
                <w:rFonts w:ascii="Times New Roman" w:eastAsia="Calibri" w:hAnsi="Times New Roman" w:cs="Times New Roman"/>
                <w:snapToGrid w:val="0"/>
                <w:color w:val="auto"/>
                <w:sz w:val="20"/>
                <w:szCs w:val="20"/>
              </w:rPr>
              <w:t>ar periodu no 2020.gada 12.</w:t>
            </w:r>
            <w:r w:rsidRPr="00284BE8">
              <w:rPr>
                <w:rFonts w:ascii="Times New Roman" w:eastAsia="Calibri" w:hAnsi="Times New Roman" w:cs="Times New Roman"/>
                <w:snapToGrid w:val="0"/>
                <w:color w:val="auto"/>
                <w:sz w:val="20"/>
                <w:szCs w:val="20"/>
              </w:rPr>
              <w:t xml:space="preserve">marta līdz dienai, kad persona sāk gūt ienākumus kā darba ņēmējs vai </w:t>
            </w:r>
            <w:proofErr w:type="spellStart"/>
            <w:r w:rsidRPr="00284BE8">
              <w:rPr>
                <w:rFonts w:ascii="Times New Roman" w:eastAsia="Calibri" w:hAnsi="Times New Roman" w:cs="Times New Roman"/>
                <w:snapToGrid w:val="0"/>
                <w:color w:val="auto"/>
                <w:sz w:val="20"/>
                <w:szCs w:val="20"/>
              </w:rPr>
              <w:t>pašnodarbinātais</w:t>
            </w:r>
            <w:proofErr w:type="spellEnd"/>
            <w:r w:rsidRPr="00284BE8">
              <w:rPr>
                <w:rFonts w:ascii="Times New Roman" w:eastAsia="Calibri" w:hAnsi="Times New Roman" w:cs="Times New Roman"/>
                <w:snapToGrid w:val="0"/>
                <w:color w:val="auto"/>
                <w:sz w:val="20"/>
                <w:szCs w:val="20"/>
              </w:rPr>
              <w:t xml:space="preserve">, bet ne ilgāk kā līdz sakarā ar Covid-19 izsludinātās ārkārtējās situācijas beigām (līdz 700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09.04.2020.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0,7</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-0,7</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-0,7</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FB24B5" w:rsidRDefault="00DF7139" w:rsidP="00EB17A4">
            <w:pPr>
              <w:ind w:firstLine="0"/>
              <w:jc w:val="left"/>
              <w:rPr>
                <w:rFonts w:ascii="Times New Roman" w:eastAsia="Calibri" w:hAnsi="Times New Roman" w:cs="Times New Roman"/>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Bezdarbnieku palīdzības pabalsts</w:t>
            </w:r>
          </w:p>
        </w:tc>
        <w:tc>
          <w:tcPr>
            <w:tcW w:w="4536" w:type="dxa"/>
            <w:vAlign w:val="center"/>
          </w:tcPr>
          <w:p w:rsidR="00DF7139" w:rsidRPr="00FB24B5"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 xml:space="preserve">Persona, kurai piešķirtā bezdarbnieka pabalsta periods beidzas 2020.gada 12.martā vai vēlāk un kura sakarā ar Covid-19 izsludinātās ārkārtējās situācijas radītajām sekām nav atradusi darbu un neveic saimniecisko darbību, var pieprasīt bezdarbnieka palīdzības pabalstu 180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w:t>
            </w:r>
            <w:r>
              <w:rPr>
                <w:rFonts w:ascii="Times New Roman" w:hAnsi="Times New Roman" w:cs="Times New Roman"/>
                <w:color w:val="auto"/>
                <w:sz w:val="20"/>
                <w:szCs w:val="20"/>
              </w:rPr>
              <w:t>5.05</w:t>
            </w:r>
            <w:r w:rsidRPr="00284BE8">
              <w:rPr>
                <w:rFonts w:ascii="Times New Roman" w:hAnsi="Times New Roman" w:cs="Times New Roman"/>
                <w:color w:val="auto"/>
                <w:sz w:val="20"/>
                <w:szCs w:val="20"/>
              </w:rPr>
              <w:t>.2020.</w:t>
            </w:r>
            <w:r>
              <w:rPr>
                <w:rFonts w:ascii="Times New Roman" w:hAnsi="Times New Roman" w:cs="Times New Roman"/>
                <w:color w:val="auto"/>
                <w:sz w:val="20"/>
                <w:szCs w:val="20"/>
              </w:rPr>
              <w:t xml:space="preserve"> 30.06.2020.</w:t>
            </w:r>
          </w:p>
        </w:tc>
        <w:tc>
          <w:tcPr>
            <w:tcW w:w="1418"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10,1</w:t>
            </w:r>
          </w:p>
        </w:tc>
        <w:tc>
          <w:tcPr>
            <w:tcW w:w="1417"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-2,2</w:t>
            </w:r>
          </w:p>
        </w:tc>
        <w:tc>
          <w:tcPr>
            <w:tcW w:w="993"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-10,1</w:t>
            </w:r>
          </w:p>
        </w:tc>
        <w:tc>
          <w:tcPr>
            <w:tcW w:w="850"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FB24B5" w:rsidRDefault="00DF7139" w:rsidP="00EB17A4">
            <w:pPr>
              <w:ind w:firstLine="0"/>
              <w:jc w:val="left"/>
              <w:rPr>
                <w:rFonts w:ascii="Times New Roman" w:eastAsia="Calibri" w:hAnsi="Times New Roman" w:cs="Times New Roman"/>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FB24B5">
              <w:rPr>
                <w:rFonts w:ascii="Times New Roman" w:eastAsia="Calibri" w:hAnsi="Times New Roman" w:cs="Times New Roman"/>
                <w:b w:val="0"/>
                <w:snapToGrid w:val="0"/>
                <w:color w:val="auto"/>
                <w:sz w:val="20"/>
                <w:szCs w:val="20"/>
              </w:rPr>
              <w:t>Bērnu kopšanas pabalsts un piemaksa</w:t>
            </w:r>
          </w:p>
        </w:tc>
        <w:tc>
          <w:tcPr>
            <w:tcW w:w="4536" w:type="dxa"/>
            <w:vAlign w:val="center"/>
          </w:tcPr>
          <w:p w:rsidR="00DF7139" w:rsidRPr="00FB24B5"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 xml:space="preserve">Kamēr visā valstī ir izsludināta ārkārtējā situācija sakarā ar Covid-19 izplatību, nodrošināt bērna kopšanas pabalsta izmaksu 171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apmērā mēnesī </w:t>
            </w:r>
            <w:r w:rsidRPr="007D5B90">
              <w:rPr>
                <w:rFonts w:ascii="Times New Roman" w:eastAsia="Calibri" w:hAnsi="Times New Roman" w:cs="Times New Roman"/>
                <w:snapToGrid w:val="0"/>
                <w:color w:val="auto"/>
                <w:sz w:val="20"/>
                <w:szCs w:val="20"/>
              </w:rPr>
              <w:lastRenderedPageBreak/>
              <w:t xml:space="preserve">personai, kura kopj bērnu vecumā no pusotra gada līdz diviem gadiem, un piemaksu pie bērna kopšanas pabalsta 171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apmērā mēnesī personai, kura kopj dvīņus vai vairākus vienās dzemdībās dzimušus bērnus vecumā no pusotra gada līdz diviem gadiem</w:t>
            </w:r>
            <w:r>
              <w:rPr>
                <w:rFonts w:ascii="Times New Roman" w:eastAsia="Calibri" w:hAnsi="Times New Roman" w:cs="Times New Roman"/>
                <w:snapToGrid w:val="0"/>
                <w:color w:val="auto"/>
                <w:sz w:val="20"/>
                <w:szCs w:val="20"/>
              </w:rPr>
              <w:t>.</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lastRenderedPageBreak/>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20.05</w:t>
            </w:r>
            <w:r w:rsidRPr="00284BE8">
              <w:rPr>
                <w:rFonts w:ascii="Times New Roman" w:hAnsi="Times New Roman" w:cs="Times New Roman"/>
                <w:color w:val="auto"/>
                <w:sz w:val="20"/>
                <w:szCs w:val="20"/>
              </w:rPr>
              <w:t>.2020.</w:t>
            </w:r>
            <w:r>
              <w:rPr>
                <w:rFonts w:ascii="Times New Roman" w:hAnsi="Times New Roman" w:cs="Times New Roman"/>
                <w:color w:val="auto"/>
                <w:sz w:val="20"/>
                <w:szCs w:val="20"/>
              </w:rPr>
              <w:t xml:space="preserve"> </w:t>
            </w:r>
          </w:p>
        </w:tc>
        <w:tc>
          <w:tcPr>
            <w:tcW w:w="1418"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417"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3"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FB24B5" w:rsidRDefault="00DF7139" w:rsidP="00EB17A4">
            <w:pPr>
              <w:ind w:firstLine="0"/>
              <w:jc w:val="left"/>
              <w:rPr>
                <w:rFonts w:ascii="Times New Roman" w:eastAsia="Calibri" w:hAnsi="Times New Roman" w:cs="Times New Roman"/>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FB24B5">
              <w:rPr>
                <w:rFonts w:ascii="Times New Roman" w:eastAsia="Calibri" w:hAnsi="Times New Roman" w:cs="Times New Roman"/>
                <w:b w:val="0"/>
                <w:snapToGrid w:val="0"/>
                <w:color w:val="auto"/>
                <w:sz w:val="20"/>
                <w:szCs w:val="20"/>
              </w:rPr>
              <w:t>Pabalsts aizbildnim par bērna uzturēšanu</w:t>
            </w:r>
          </w:p>
        </w:tc>
        <w:tc>
          <w:tcPr>
            <w:tcW w:w="4536" w:type="dxa"/>
            <w:vAlign w:val="center"/>
          </w:tcPr>
          <w:p w:rsidR="00DF7139" w:rsidRPr="00FB24B5"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Par laikposmu, kad valstī sakarā ar Covid-19 izplatību ir izsludināta ārkārtējā situācija, VSAA izmaksā pabalstu par bērnu līdz septiņu gadu vecuma sasniegšanai – 161,25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mēnesī un par bērnu vecumā no septiņiem gadiem – 193,50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mēnesī. VSAA pabalsta apmēru aprēķina </w:t>
            </w:r>
            <w:r w:rsidR="001A4DB5">
              <w:rPr>
                <w:rFonts w:ascii="Times New Roman" w:eastAsia="Calibri" w:hAnsi="Times New Roman" w:cs="Times New Roman"/>
                <w:snapToGrid w:val="0"/>
                <w:color w:val="auto"/>
                <w:sz w:val="20"/>
                <w:szCs w:val="20"/>
              </w:rPr>
              <w:t>par laikposmu no 2020.gada 12.</w:t>
            </w:r>
            <w:r w:rsidRPr="007D5B90">
              <w:rPr>
                <w:rFonts w:ascii="Times New Roman" w:eastAsia="Calibri" w:hAnsi="Times New Roman" w:cs="Times New Roman"/>
                <w:snapToGrid w:val="0"/>
                <w:color w:val="auto"/>
                <w:sz w:val="20"/>
                <w:szCs w:val="20"/>
              </w:rPr>
              <w:t>marta un</w:t>
            </w:r>
            <w:r w:rsidR="001A4DB5">
              <w:rPr>
                <w:rFonts w:ascii="Times New Roman" w:eastAsia="Calibri" w:hAnsi="Times New Roman" w:cs="Times New Roman"/>
                <w:snapToGrid w:val="0"/>
                <w:color w:val="auto"/>
                <w:sz w:val="20"/>
                <w:szCs w:val="20"/>
              </w:rPr>
              <w:t xml:space="preserve"> izmaksā to līdz 2020.gada 30.</w:t>
            </w:r>
            <w:r w:rsidRPr="007D5B90">
              <w:rPr>
                <w:rFonts w:ascii="Times New Roman" w:eastAsia="Calibri" w:hAnsi="Times New Roman" w:cs="Times New Roman"/>
                <w:snapToGrid w:val="0"/>
                <w:color w:val="auto"/>
                <w:sz w:val="20"/>
                <w:szCs w:val="20"/>
              </w:rPr>
              <w:t>jūnijam.</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05.05</w:t>
            </w:r>
            <w:r w:rsidRPr="00284BE8">
              <w:rPr>
                <w:rFonts w:ascii="Times New Roman" w:hAnsi="Times New Roman" w:cs="Times New Roman"/>
                <w:color w:val="auto"/>
                <w:sz w:val="20"/>
                <w:szCs w:val="20"/>
              </w:rPr>
              <w:t>.2020.</w:t>
            </w:r>
            <w:r>
              <w:rPr>
                <w:rFonts w:ascii="Times New Roman" w:hAnsi="Times New Roman" w:cs="Times New Roman"/>
                <w:color w:val="auto"/>
                <w:sz w:val="20"/>
                <w:szCs w:val="20"/>
              </w:rPr>
              <w:t xml:space="preserve"> </w:t>
            </w:r>
          </w:p>
        </w:tc>
        <w:tc>
          <w:tcPr>
            <w:tcW w:w="1418"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0,3</w:t>
            </w:r>
          </w:p>
        </w:tc>
        <w:tc>
          <w:tcPr>
            <w:tcW w:w="1417"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-0,3</w:t>
            </w:r>
          </w:p>
        </w:tc>
        <w:tc>
          <w:tcPr>
            <w:tcW w:w="993"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-0,3</w:t>
            </w:r>
          </w:p>
        </w:tc>
        <w:tc>
          <w:tcPr>
            <w:tcW w:w="850"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FB24B5" w:rsidRDefault="00DF7139" w:rsidP="00EB17A4">
            <w:pPr>
              <w:ind w:firstLine="0"/>
              <w:jc w:val="left"/>
              <w:rPr>
                <w:rFonts w:ascii="Times New Roman" w:eastAsia="Calibri" w:hAnsi="Times New Roman" w:cs="Times New Roman"/>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FB24B5">
              <w:rPr>
                <w:rFonts w:ascii="Times New Roman" w:eastAsia="Calibri" w:hAnsi="Times New Roman" w:cs="Times New Roman"/>
                <w:b w:val="0"/>
                <w:snapToGrid w:val="0"/>
                <w:color w:val="auto"/>
                <w:sz w:val="20"/>
                <w:szCs w:val="20"/>
              </w:rPr>
              <w:t>Piemaksa pie ģimenes valsts pabalsta par bērnu invalīdu</w:t>
            </w:r>
          </w:p>
        </w:tc>
        <w:tc>
          <w:tcPr>
            <w:tcW w:w="4536" w:type="dxa"/>
            <w:vAlign w:val="center"/>
          </w:tcPr>
          <w:p w:rsidR="00DF7139" w:rsidRPr="00FB24B5" w:rsidRDefault="00DF7139" w:rsidP="00EE6214">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Par laikposmu, kamēr valstī ir izsludināta ārkārtējā situācija sakarā ar Covid-19 izplatību, personām, kurām šajā periodā ir tiesības uz šo noteikumu 3.punktā minēto piemaksu pie ģimenes valsts pabalsta par bērnu invalīdu, V</w:t>
            </w:r>
            <w:r w:rsidR="00EE6214">
              <w:rPr>
                <w:rFonts w:ascii="Times New Roman" w:eastAsia="Calibri" w:hAnsi="Times New Roman" w:cs="Times New Roman"/>
                <w:snapToGrid w:val="0"/>
                <w:color w:val="auto"/>
                <w:sz w:val="20"/>
                <w:szCs w:val="20"/>
              </w:rPr>
              <w:t xml:space="preserve">SAA </w:t>
            </w:r>
            <w:r w:rsidR="001A4DB5">
              <w:rPr>
                <w:rFonts w:ascii="Times New Roman" w:eastAsia="Calibri" w:hAnsi="Times New Roman" w:cs="Times New Roman"/>
                <w:snapToGrid w:val="0"/>
                <w:color w:val="auto"/>
                <w:sz w:val="20"/>
                <w:szCs w:val="20"/>
              </w:rPr>
              <w:t>līdz 2020.</w:t>
            </w:r>
            <w:r w:rsidRPr="007D5B90">
              <w:rPr>
                <w:rFonts w:ascii="Times New Roman" w:eastAsia="Calibri" w:hAnsi="Times New Roman" w:cs="Times New Roman"/>
                <w:snapToGrid w:val="0"/>
                <w:color w:val="auto"/>
                <w:sz w:val="20"/>
                <w:szCs w:val="20"/>
              </w:rPr>
              <w:t>ga</w:t>
            </w:r>
            <w:r w:rsidR="001A4DB5">
              <w:rPr>
                <w:rFonts w:ascii="Times New Roman" w:eastAsia="Calibri" w:hAnsi="Times New Roman" w:cs="Times New Roman"/>
                <w:snapToGrid w:val="0"/>
                <w:color w:val="auto"/>
                <w:sz w:val="20"/>
                <w:szCs w:val="20"/>
              </w:rPr>
              <w:t>da 30.</w:t>
            </w:r>
            <w:r w:rsidRPr="007D5B90">
              <w:rPr>
                <w:rFonts w:ascii="Times New Roman" w:eastAsia="Calibri" w:hAnsi="Times New Roman" w:cs="Times New Roman"/>
                <w:snapToGrid w:val="0"/>
                <w:color w:val="auto"/>
                <w:sz w:val="20"/>
                <w:szCs w:val="20"/>
              </w:rPr>
              <w:t>jūnijam izmaksā vienre</w:t>
            </w:r>
            <w:r>
              <w:rPr>
                <w:rFonts w:ascii="Times New Roman" w:eastAsia="Calibri" w:hAnsi="Times New Roman" w:cs="Times New Roman"/>
                <w:snapToGrid w:val="0"/>
                <w:color w:val="auto"/>
                <w:sz w:val="20"/>
                <w:szCs w:val="20"/>
              </w:rPr>
              <w:t>izējo piemaksu 150 </w:t>
            </w:r>
            <w:proofErr w:type="spellStart"/>
            <w:r w:rsidRPr="007D5B90">
              <w:rPr>
                <w:rFonts w:ascii="Times New Roman" w:eastAsia="Calibri" w:hAnsi="Times New Roman" w:cs="Times New Roman"/>
                <w:i/>
                <w:snapToGrid w:val="0"/>
                <w:color w:val="auto"/>
                <w:sz w:val="20"/>
                <w:szCs w:val="20"/>
              </w:rPr>
              <w:t>euro</w:t>
            </w:r>
            <w:proofErr w:type="spellEnd"/>
            <w:r w:rsidR="001A4DB5">
              <w:rPr>
                <w:rFonts w:ascii="Times New Roman" w:eastAsia="Calibri" w:hAnsi="Times New Roman" w:cs="Times New Roman"/>
                <w:snapToGrid w:val="0"/>
                <w:color w:val="auto"/>
                <w:sz w:val="20"/>
                <w:szCs w:val="20"/>
              </w:rPr>
              <w:t xml:space="preserve"> </w:t>
            </w:r>
            <w:r>
              <w:rPr>
                <w:rFonts w:ascii="Times New Roman" w:eastAsia="Calibri" w:hAnsi="Times New Roman" w:cs="Times New Roman"/>
                <w:snapToGrid w:val="0"/>
                <w:color w:val="auto"/>
                <w:sz w:val="20"/>
                <w:szCs w:val="20"/>
              </w:rPr>
              <w:t>apmērā.</w:t>
            </w:r>
          </w:p>
        </w:tc>
        <w:tc>
          <w:tcPr>
            <w:tcW w:w="851"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14.05</w:t>
            </w:r>
            <w:r w:rsidRPr="00284BE8">
              <w:rPr>
                <w:rFonts w:ascii="Times New Roman" w:hAnsi="Times New Roman" w:cs="Times New Roman"/>
                <w:color w:val="auto"/>
                <w:sz w:val="20"/>
                <w:szCs w:val="20"/>
              </w:rPr>
              <w:t>.2020.</w:t>
            </w:r>
            <w:r>
              <w:rPr>
                <w:rFonts w:ascii="Times New Roman" w:hAnsi="Times New Roman" w:cs="Times New Roman"/>
                <w:color w:val="auto"/>
                <w:sz w:val="20"/>
                <w:szCs w:val="20"/>
              </w:rPr>
              <w:t xml:space="preserve"> 20.05.2020.</w:t>
            </w:r>
          </w:p>
        </w:tc>
        <w:tc>
          <w:tcPr>
            <w:tcW w:w="1418"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1417"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993"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-1,2</w:t>
            </w:r>
          </w:p>
        </w:tc>
        <w:tc>
          <w:tcPr>
            <w:tcW w:w="850"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sidRPr="00690E68">
              <w:rPr>
                <w:rFonts w:ascii="Times New Roman" w:eastAsia="Calibri" w:hAnsi="Times New Roman" w:cs="Times New Roman"/>
                <w:b w:val="0"/>
                <w:snapToGrid w:val="0"/>
                <w:color w:val="auto"/>
                <w:sz w:val="20"/>
                <w:szCs w:val="20"/>
              </w:rPr>
              <w:t>Subsidētās darba vietas</w:t>
            </w:r>
          </w:p>
        </w:tc>
        <w:tc>
          <w:tcPr>
            <w:tcW w:w="4536" w:type="dxa"/>
            <w:vAlign w:val="center"/>
          </w:tcPr>
          <w:p w:rsidR="00DF7139" w:rsidRPr="007D5B90"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Subsidētās darba vietas tūrisma nozarei un eksportējošiem uzņēmumiem</w:t>
            </w:r>
            <w:r>
              <w:rPr>
                <w:rFonts w:ascii="Times New Roman" w:eastAsia="Calibri" w:hAnsi="Times New Roman" w:cs="Times New Roman"/>
                <w:snapToGrid w:val="0"/>
                <w:color w:val="auto"/>
                <w:sz w:val="20"/>
                <w:szCs w:val="20"/>
              </w:rPr>
              <w:t>.</w:t>
            </w:r>
          </w:p>
        </w:tc>
        <w:tc>
          <w:tcPr>
            <w:tcW w:w="851"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D.7</w:t>
            </w:r>
          </w:p>
        </w:tc>
        <w:tc>
          <w:tcPr>
            <w:tcW w:w="1275"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D5B90">
              <w:rPr>
                <w:rFonts w:ascii="Times New Roman" w:hAnsi="Times New Roman" w:cs="Times New Roman"/>
                <w:color w:val="auto"/>
                <w:sz w:val="20"/>
                <w:szCs w:val="20"/>
              </w:rPr>
              <w:t>Apstiprināts</w:t>
            </w:r>
          </w:p>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D5B90">
              <w:rPr>
                <w:rFonts w:ascii="Times New Roman" w:hAnsi="Times New Roman" w:cs="Times New Roman"/>
                <w:color w:val="auto"/>
                <w:sz w:val="20"/>
                <w:szCs w:val="20"/>
              </w:rPr>
              <w:t>02.06.2020. 14.07.2020.</w:t>
            </w:r>
          </w:p>
        </w:tc>
        <w:tc>
          <w:tcPr>
            <w:tcW w:w="1418"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70,2</w:t>
            </w:r>
          </w:p>
        </w:tc>
        <w:tc>
          <w:tcPr>
            <w:tcW w:w="1417"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-26,6</w:t>
            </w:r>
          </w:p>
        </w:tc>
        <w:tc>
          <w:tcPr>
            <w:tcW w:w="993"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-70,2</w:t>
            </w:r>
          </w:p>
        </w:tc>
        <w:tc>
          <w:tcPr>
            <w:tcW w:w="850"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-0,2</w:t>
            </w:r>
          </w:p>
        </w:tc>
        <w:tc>
          <w:tcPr>
            <w:tcW w:w="709" w:type="dxa"/>
            <w:tcBorders>
              <w:right w:val="single" w:sz="12" w:space="0" w:color="95B3D7" w:themeColor="accent1" w:themeTint="99"/>
            </w:tcBorders>
            <w:vAlign w:val="center"/>
          </w:tcPr>
          <w:p w:rsidR="00DF7139" w:rsidRPr="007D5B90"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FB24B5" w:rsidRDefault="00DF7139" w:rsidP="00EB17A4">
            <w:pPr>
              <w:ind w:firstLine="0"/>
              <w:jc w:val="left"/>
              <w:rPr>
                <w:rFonts w:ascii="Times New Roman" w:eastAsia="Calibri" w:hAnsi="Times New Roman" w:cs="Times New Roman"/>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690E68">
              <w:rPr>
                <w:rFonts w:ascii="Times New Roman" w:eastAsia="Calibri" w:hAnsi="Times New Roman" w:cs="Times New Roman"/>
                <w:b w:val="0"/>
                <w:snapToGrid w:val="0"/>
                <w:color w:val="auto"/>
                <w:sz w:val="20"/>
                <w:szCs w:val="20"/>
              </w:rPr>
              <w:t>Atbalsts jaunajiem speciālistiem</w:t>
            </w:r>
          </w:p>
        </w:tc>
        <w:tc>
          <w:tcPr>
            <w:tcW w:w="4536" w:type="dxa"/>
            <w:vAlign w:val="center"/>
          </w:tcPr>
          <w:p w:rsidR="00DF7139" w:rsidRPr="00FB24B5"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7D5B90">
              <w:rPr>
                <w:rFonts w:ascii="Times New Roman" w:eastAsia="Calibri" w:hAnsi="Times New Roman" w:cs="Times New Roman"/>
                <w:snapToGrid w:val="0"/>
                <w:color w:val="auto"/>
                <w:sz w:val="20"/>
                <w:szCs w:val="20"/>
              </w:rPr>
              <w:t xml:space="preserve">Pabalstu izmaksā pirmos divus mēnešus 500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apmērā, trešajā un ceturtajā mēnesī 375 </w:t>
            </w:r>
            <w:proofErr w:type="spellStart"/>
            <w:r w:rsidRPr="007D5B90">
              <w:rPr>
                <w:rFonts w:ascii="Times New Roman" w:eastAsia="Calibri" w:hAnsi="Times New Roman" w:cs="Times New Roman"/>
                <w:i/>
                <w:snapToGrid w:val="0"/>
                <w:color w:val="auto"/>
                <w:sz w:val="20"/>
                <w:szCs w:val="20"/>
              </w:rPr>
              <w:t>euro</w:t>
            </w:r>
            <w:proofErr w:type="spellEnd"/>
            <w:r w:rsidRPr="007D5B90">
              <w:rPr>
                <w:rFonts w:ascii="Times New Roman" w:eastAsia="Calibri" w:hAnsi="Times New Roman" w:cs="Times New Roman"/>
                <w:snapToGrid w:val="0"/>
                <w:color w:val="auto"/>
                <w:sz w:val="20"/>
                <w:szCs w:val="20"/>
              </w:rPr>
              <w:t xml:space="preserve"> apmērā personām, kuras gada laikā pirms ārkārtējās situācijas izsludināšanas ir beigušas mācības augstskolā vai koledžā, kur ir ieguvušas augstāko izglītību, un ir </w:t>
            </w:r>
            <w:r w:rsidRPr="007D5B90">
              <w:rPr>
                <w:rFonts w:ascii="Times New Roman" w:eastAsia="Calibri" w:hAnsi="Times New Roman" w:cs="Times New Roman"/>
                <w:snapToGrid w:val="0"/>
                <w:color w:val="auto"/>
                <w:sz w:val="20"/>
                <w:szCs w:val="20"/>
              </w:rPr>
              <w:lastRenderedPageBreak/>
              <w:t>ieguvušas bezdarbnieka statusu ārkārtējās situācijas laikā vai triju mēnešu laikā pēc tās beigām.</w:t>
            </w:r>
          </w:p>
        </w:tc>
        <w:tc>
          <w:tcPr>
            <w:tcW w:w="851"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Pr>
                <w:rFonts w:ascii="Times New Roman" w:eastAsia="Calibri" w:hAnsi="Times New Roman" w:cs="Times New Roman"/>
                <w:snapToGrid w:val="0"/>
                <w:color w:val="auto"/>
                <w:sz w:val="20"/>
                <w:szCs w:val="20"/>
              </w:rPr>
              <w:lastRenderedPageBreak/>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30.06.2020.</w:t>
            </w:r>
          </w:p>
        </w:tc>
        <w:tc>
          <w:tcPr>
            <w:tcW w:w="1418"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6,6</w:t>
            </w:r>
          </w:p>
        </w:tc>
        <w:tc>
          <w:tcPr>
            <w:tcW w:w="1417"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-0,1</w:t>
            </w:r>
          </w:p>
        </w:tc>
        <w:tc>
          <w:tcPr>
            <w:tcW w:w="993"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-6,6</w:t>
            </w:r>
          </w:p>
        </w:tc>
        <w:tc>
          <w:tcPr>
            <w:tcW w:w="850"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709" w:type="dxa"/>
            <w:tcBorders>
              <w:right w:val="single" w:sz="12" w:space="0" w:color="95B3D7" w:themeColor="accent1" w:themeTint="99"/>
            </w:tcBorders>
            <w:vAlign w:val="center"/>
          </w:tcPr>
          <w:p w:rsidR="00DF7139" w:rsidRPr="00FB24B5"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r>
      <w:tr w:rsidR="00DF7139" w:rsidRPr="00284BE8" w:rsidTr="00B757C1">
        <w:trPr>
          <w:trHeight w:val="276"/>
          <w:jc w:val="center"/>
        </w:trPr>
        <w:tc>
          <w:tcPr>
            <w:cnfStyle w:val="001000000000" w:firstRow="0" w:lastRow="0" w:firstColumn="1" w:lastColumn="0" w:oddVBand="0" w:evenVBand="0" w:oddHBand="0" w:evenHBand="0" w:firstRowFirstColumn="0" w:firstRowLastColumn="0" w:lastRowFirstColumn="0" w:lastRowLastColumn="0"/>
            <w:tcW w:w="6374" w:type="dxa"/>
            <w:gridSpan w:val="2"/>
            <w:vAlign w:val="center"/>
            <w:hideMark/>
          </w:tcPr>
          <w:p w:rsidR="00DF7139" w:rsidRPr="00284BE8" w:rsidRDefault="00DF7139" w:rsidP="00EB17A4">
            <w:pPr>
              <w:ind w:firstLine="0"/>
              <w:jc w:val="left"/>
              <w:rPr>
                <w:rFonts w:ascii="Times New Roman" w:eastAsia="Calibri" w:hAnsi="Times New Roman" w:cs="Times New Roman"/>
                <w:sz w:val="20"/>
                <w:szCs w:val="20"/>
              </w:rPr>
            </w:pPr>
            <w:r w:rsidRPr="00F51974">
              <w:rPr>
                <w:rFonts w:ascii="Times New Roman" w:eastAsia="Calibri" w:hAnsi="Times New Roman" w:cs="Times New Roman"/>
                <w:snapToGrid w:val="0"/>
                <w:color w:val="auto"/>
                <w:sz w:val="20"/>
                <w:szCs w:val="20"/>
              </w:rPr>
              <w:t>3. Atbalsts aizdevumu un garantiju jomā</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c>
          <w:tcPr>
            <w:tcW w:w="1417" w:type="dxa"/>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c>
          <w:tcPr>
            <w:tcW w:w="993"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Aizdevumi apgrozāmiem līdzekļiem </w:t>
            </w:r>
          </w:p>
        </w:tc>
        <w:tc>
          <w:tcPr>
            <w:tcW w:w="4536" w:type="dxa"/>
            <w:vAlign w:val="center"/>
          </w:tcPr>
          <w:p w:rsidR="00DF7139" w:rsidRPr="00284BE8"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Apgrozāmo līdzekļu aizdevums:</w:t>
            </w:r>
          </w:p>
          <w:p w:rsidR="00DF7139" w:rsidRPr="00284BE8" w:rsidRDefault="00DF7139" w:rsidP="009A0916">
            <w:pPr>
              <w:spacing w:after="0"/>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 komersantiem, lauksaimniekiem un zivsaimniekiem, kuru darbību ietekmējusi Covid-19;</w:t>
            </w:r>
          </w:p>
          <w:p w:rsidR="00DF7139" w:rsidRPr="00284BE8" w:rsidRDefault="00DF7139" w:rsidP="009A0916">
            <w:pPr>
              <w:spacing w:after="0"/>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xml:space="preserve">– līdz 1 milj.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ar termiņu līdz 3 gadiem.</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284BE8">
              <w:rPr>
                <w:rFonts w:ascii="Times New Roman" w:hAnsi="Times New Roman" w:cs="Times New Roman"/>
                <w:color w:val="auto"/>
                <w:sz w:val="20"/>
                <w:szCs w:val="20"/>
              </w:rPr>
              <w:t>24.03.2020.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200,0</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-50,0</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-50,0</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-0,2</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36393B" w:rsidRPr="00284BE8" w:rsidTr="00B757C1">
        <w:trPr>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36393B" w:rsidRPr="00284BE8" w:rsidRDefault="0036393B"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Kredītu garantijas</w:t>
            </w:r>
          </w:p>
        </w:tc>
        <w:tc>
          <w:tcPr>
            <w:tcW w:w="4536" w:type="dxa"/>
            <w:vAlign w:val="center"/>
          </w:tcPr>
          <w:p w:rsidR="0036393B" w:rsidRPr="00284BE8" w:rsidRDefault="0036393B" w:rsidP="0036393B">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Kredīta brīvdienu garantija:</w:t>
            </w:r>
          </w:p>
          <w:p w:rsidR="0036393B" w:rsidRPr="00284BE8" w:rsidRDefault="0036393B" w:rsidP="009A0916">
            <w:pPr>
              <w:spacing w:after="0"/>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 MVU un lielajiem uzņēmumiem, kuriem Covid-19 izplatības dēļ radušās objektīvas grūtības veikt aizdevumu maksājumus bankās, pieejama kredīta garantiju, kas ļaus bankai atlikt pamatsummas maksājumu;</w:t>
            </w:r>
          </w:p>
          <w:p w:rsidR="0036393B" w:rsidRPr="00284BE8" w:rsidRDefault="0036393B" w:rsidP="009A0916">
            <w:pPr>
              <w:spacing w:after="0"/>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pieejama saimnieciskās darbības veicējiem, lauksaimniekiem un zivsaimniecības un akvakultūras nozarei.</w:t>
            </w:r>
          </w:p>
        </w:tc>
        <w:tc>
          <w:tcPr>
            <w:tcW w:w="851" w:type="dxa"/>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t>D.7</w:t>
            </w:r>
          </w:p>
        </w:tc>
        <w:tc>
          <w:tcPr>
            <w:tcW w:w="1275" w:type="dxa"/>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sidRPr="00284BE8">
              <w:rPr>
                <w:rFonts w:ascii="Times New Roman" w:hAnsi="Times New Roman" w:cs="Times New Roman"/>
                <w:color w:val="auto"/>
                <w:sz w:val="20"/>
                <w:szCs w:val="20"/>
              </w:rPr>
              <w:t>24.03.2020.</w:t>
            </w:r>
          </w:p>
        </w:tc>
        <w:tc>
          <w:tcPr>
            <w:tcW w:w="1418" w:type="dxa"/>
            <w:vAlign w:val="center"/>
          </w:tcPr>
          <w:p w:rsidR="0036393B" w:rsidRPr="00F86F04"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415,0</w:t>
            </w:r>
            <w:r w:rsidR="00786717">
              <w:rPr>
                <w:rStyle w:val="FootnoteReference"/>
                <w:rFonts w:cs="Times New Roman"/>
                <w:color w:val="auto"/>
                <w:szCs w:val="20"/>
              </w:rPr>
              <w:footnoteReference w:customMarkFollows="1" w:id="9"/>
              <w:t>8</w:t>
            </w:r>
          </w:p>
        </w:tc>
        <w:tc>
          <w:tcPr>
            <w:tcW w:w="1417" w:type="dxa"/>
            <w:vAlign w:val="center"/>
          </w:tcPr>
          <w:p w:rsidR="0036393B" w:rsidRPr="00BA34B1"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-25,0</w:t>
            </w:r>
          </w:p>
        </w:tc>
        <w:tc>
          <w:tcPr>
            <w:tcW w:w="993" w:type="dxa"/>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-25,0</w:t>
            </w:r>
          </w:p>
        </w:tc>
        <w:tc>
          <w:tcPr>
            <w:tcW w:w="850" w:type="dxa"/>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-0,1</w:t>
            </w:r>
          </w:p>
        </w:tc>
        <w:tc>
          <w:tcPr>
            <w:tcW w:w="709" w:type="dxa"/>
            <w:tcBorders>
              <w:right w:val="single" w:sz="12" w:space="0" w:color="95B3D7" w:themeColor="accent1" w:themeTint="99"/>
            </w:tcBorders>
            <w:vAlign w:val="center"/>
          </w:tcPr>
          <w:p w:rsidR="0036393B" w:rsidRPr="00284BE8" w:rsidRDefault="0036393B" w:rsidP="0036393B">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36393B" w:rsidRPr="00284BE8" w:rsidTr="00B757C1">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36393B" w:rsidRPr="00284BE8" w:rsidRDefault="0036393B"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proofErr w:type="spellStart"/>
            <w:r w:rsidRPr="00284BE8">
              <w:rPr>
                <w:rFonts w:ascii="Times New Roman" w:eastAsia="Calibri" w:hAnsi="Times New Roman" w:cs="Times New Roman"/>
                <w:b w:val="0"/>
                <w:snapToGrid w:val="0"/>
                <w:color w:val="auto"/>
                <w:sz w:val="20"/>
                <w:szCs w:val="20"/>
              </w:rPr>
              <w:t>Portfeļgarantijas</w:t>
            </w:r>
            <w:proofErr w:type="spellEnd"/>
            <w:r w:rsidRPr="00284BE8">
              <w:rPr>
                <w:rFonts w:ascii="Times New Roman" w:eastAsia="Calibri" w:hAnsi="Times New Roman" w:cs="Times New Roman"/>
                <w:b w:val="0"/>
                <w:snapToGrid w:val="0"/>
                <w:color w:val="auto"/>
                <w:sz w:val="20"/>
                <w:szCs w:val="20"/>
              </w:rPr>
              <w:t> </w:t>
            </w:r>
          </w:p>
        </w:tc>
        <w:tc>
          <w:tcPr>
            <w:tcW w:w="4536" w:type="dxa"/>
            <w:vAlign w:val="center"/>
          </w:tcPr>
          <w:p w:rsidR="0036393B" w:rsidRPr="00284BE8" w:rsidRDefault="0036393B" w:rsidP="0036393B">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sz w:val="20"/>
                <w:szCs w:val="20"/>
              </w:rPr>
            </w:pPr>
            <w:r w:rsidRPr="00284BE8">
              <w:rPr>
                <w:rFonts w:ascii="Times New Roman" w:eastAsia="Calibri" w:hAnsi="Times New Roman" w:cs="Times New Roman"/>
                <w:snapToGrid w:val="0"/>
                <w:color w:val="auto"/>
                <w:sz w:val="20"/>
                <w:szCs w:val="20"/>
              </w:rPr>
              <w:t xml:space="preserve">Krīzes </w:t>
            </w:r>
            <w:proofErr w:type="spellStart"/>
            <w:r w:rsidRPr="00284BE8">
              <w:rPr>
                <w:rFonts w:ascii="Times New Roman" w:eastAsia="Calibri" w:hAnsi="Times New Roman" w:cs="Times New Roman"/>
                <w:snapToGrid w:val="0"/>
                <w:color w:val="auto"/>
                <w:sz w:val="20"/>
                <w:szCs w:val="20"/>
              </w:rPr>
              <w:t>portfeļgarantiju</w:t>
            </w:r>
            <w:proofErr w:type="spellEnd"/>
            <w:r w:rsidRPr="00284BE8">
              <w:rPr>
                <w:rFonts w:ascii="Times New Roman" w:eastAsia="Calibri" w:hAnsi="Times New Roman" w:cs="Times New Roman"/>
                <w:snapToGrid w:val="0"/>
                <w:color w:val="auto"/>
                <w:sz w:val="20"/>
                <w:szCs w:val="20"/>
              </w:rPr>
              <w:t xml:space="preserve"> mērķis ir veicināt finansējuma pieejamību uzņēmējiem finanšu pakalpojumiem līdz 0,5 milj. </w:t>
            </w:r>
            <w:proofErr w:type="spellStart"/>
            <w:r w:rsidRPr="00C15562">
              <w:rPr>
                <w:rFonts w:ascii="Times New Roman" w:eastAsia="Calibri" w:hAnsi="Times New Roman" w:cs="Times New Roman"/>
                <w:i/>
                <w:snapToGrid w:val="0"/>
                <w:color w:val="auto"/>
                <w:sz w:val="20"/>
                <w:szCs w:val="20"/>
              </w:rPr>
              <w:t>euro</w:t>
            </w:r>
            <w:proofErr w:type="spellEnd"/>
            <w:r w:rsidRPr="00284BE8">
              <w:rPr>
                <w:rFonts w:ascii="Times New Roman" w:eastAsia="Calibri" w:hAnsi="Times New Roman" w:cs="Times New Roman"/>
                <w:snapToGrid w:val="0"/>
                <w:color w:val="auto"/>
                <w:sz w:val="20"/>
                <w:szCs w:val="20"/>
              </w:rPr>
              <w:t xml:space="preserve">. Garantija tiks sniegta par jauniem vai esošiem apgrozāmo līdzekļu aizdevumiem, ja kredītiestāde atliks pamatsummas maksājumus vismaz par 3 mēnešiem vai pagarinās līgumu darbības termiņu vismaz par 3 mēnešiem. Tāpat garantija tiks sniegta </w:t>
            </w:r>
            <w:r w:rsidRPr="00284BE8">
              <w:rPr>
                <w:rFonts w:ascii="Times New Roman" w:eastAsia="Calibri" w:hAnsi="Times New Roman" w:cs="Times New Roman"/>
                <w:snapToGrid w:val="0"/>
                <w:color w:val="auto"/>
                <w:sz w:val="20"/>
                <w:szCs w:val="20"/>
              </w:rPr>
              <w:lastRenderedPageBreak/>
              <w:t>par esošiem investīciju aizdevumiem un finanšu līzingu.</w:t>
            </w:r>
          </w:p>
        </w:tc>
        <w:tc>
          <w:tcPr>
            <w:tcW w:w="851" w:type="dxa"/>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284BE8">
              <w:rPr>
                <w:rFonts w:ascii="Times New Roman" w:eastAsia="Calibri" w:hAnsi="Times New Roman" w:cs="Times New Roman"/>
                <w:snapToGrid w:val="0"/>
                <w:color w:val="auto"/>
                <w:sz w:val="20"/>
                <w:szCs w:val="20"/>
              </w:rPr>
              <w:lastRenderedPageBreak/>
              <w:t>D.7</w:t>
            </w:r>
          </w:p>
        </w:tc>
        <w:tc>
          <w:tcPr>
            <w:tcW w:w="1275" w:type="dxa"/>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sidRPr="00284BE8">
              <w:rPr>
                <w:rFonts w:ascii="Times New Roman" w:hAnsi="Times New Roman" w:cs="Times New Roman"/>
                <w:color w:val="auto"/>
                <w:sz w:val="20"/>
                <w:szCs w:val="20"/>
              </w:rPr>
              <w:t>24.03.2020.</w:t>
            </w:r>
          </w:p>
        </w:tc>
        <w:tc>
          <w:tcPr>
            <w:tcW w:w="1418" w:type="dxa"/>
            <w:vAlign w:val="center"/>
          </w:tcPr>
          <w:p w:rsidR="0036393B" w:rsidRPr="00F86F04"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300,0</w:t>
            </w:r>
            <w:r w:rsidR="00786717">
              <w:rPr>
                <w:rStyle w:val="FootnoteReference"/>
                <w:rFonts w:cs="Times New Roman"/>
                <w:color w:val="auto"/>
                <w:szCs w:val="16"/>
                <w:lang w:val="x-none" w:eastAsia="x-none"/>
              </w:rPr>
              <w:footnoteReference w:customMarkFollows="1" w:id="10"/>
              <w:t>9</w:t>
            </w:r>
          </w:p>
        </w:tc>
        <w:tc>
          <w:tcPr>
            <w:tcW w:w="1417" w:type="dxa"/>
            <w:vAlign w:val="center"/>
          </w:tcPr>
          <w:p w:rsidR="0036393B" w:rsidRPr="00BA34B1"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-25,0</w:t>
            </w:r>
          </w:p>
        </w:tc>
        <w:tc>
          <w:tcPr>
            <w:tcW w:w="993" w:type="dxa"/>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-25,0</w:t>
            </w:r>
          </w:p>
        </w:tc>
        <w:tc>
          <w:tcPr>
            <w:tcW w:w="850" w:type="dxa"/>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-0,1</w:t>
            </w:r>
          </w:p>
        </w:tc>
        <w:tc>
          <w:tcPr>
            <w:tcW w:w="709" w:type="dxa"/>
            <w:tcBorders>
              <w:right w:val="single" w:sz="12" w:space="0" w:color="95B3D7" w:themeColor="accent1" w:themeTint="99"/>
            </w:tcBorders>
            <w:vAlign w:val="center"/>
          </w:tcPr>
          <w:p w:rsidR="0036393B" w:rsidRPr="00284BE8" w:rsidRDefault="0036393B" w:rsidP="0036393B">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DF7139" w:rsidRPr="00284BE8" w:rsidTr="00B757C1">
        <w:trPr>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sidRPr="003B7D79">
              <w:rPr>
                <w:rFonts w:ascii="Times New Roman" w:eastAsia="Calibri" w:hAnsi="Times New Roman" w:cs="Times New Roman"/>
                <w:b w:val="0"/>
                <w:snapToGrid w:val="0"/>
                <w:color w:val="auto"/>
                <w:sz w:val="20"/>
                <w:szCs w:val="20"/>
              </w:rPr>
              <w:t>Pašvaldību aizņēmumu limita palielināšana</w:t>
            </w:r>
          </w:p>
        </w:tc>
        <w:tc>
          <w:tcPr>
            <w:tcW w:w="4536" w:type="dxa"/>
            <w:vAlign w:val="center"/>
          </w:tcPr>
          <w:p w:rsidR="00DF7139" w:rsidRPr="003B7D79"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42241B">
              <w:rPr>
                <w:rFonts w:ascii="Times New Roman" w:eastAsia="Calibri" w:hAnsi="Times New Roman" w:cs="Times New Roman"/>
                <w:snapToGrid w:val="0"/>
                <w:color w:val="auto"/>
                <w:sz w:val="20"/>
                <w:szCs w:val="20"/>
              </w:rPr>
              <w:t xml:space="preserve">Pašvaldību aizņēmumu </w:t>
            </w:r>
            <w:r w:rsidR="00B757C1">
              <w:rPr>
                <w:rFonts w:ascii="Times New Roman" w:eastAsia="Calibri" w:hAnsi="Times New Roman" w:cs="Times New Roman"/>
                <w:snapToGrid w:val="0"/>
                <w:color w:val="auto"/>
                <w:sz w:val="20"/>
                <w:szCs w:val="20"/>
              </w:rPr>
              <w:t xml:space="preserve">kopējais palielinājums par 150 </w:t>
            </w:r>
            <w:r w:rsidRPr="0042241B">
              <w:rPr>
                <w:rFonts w:ascii="Times New Roman" w:eastAsia="Calibri" w:hAnsi="Times New Roman" w:cs="Times New Roman"/>
                <w:snapToGrid w:val="0"/>
                <w:color w:val="auto"/>
                <w:sz w:val="20"/>
                <w:szCs w:val="20"/>
              </w:rPr>
              <w:t xml:space="preserve">milj. </w:t>
            </w:r>
            <w:proofErr w:type="spellStart"/>
            <w:r w:rsidRPr="0042241B">
              <w:rPr>
                <w:rFonts w:ascii="Times New Roman" w:eastAsia="Calibri" w:hAnsi="Times New Roman" w:cs="Times New Roman"/>
                <w:i/>
                <w:snapToGrid w:val="0"/>
                <w:color w:val="auto"/>
                <w:sz w:val="20"/>
                <w:szCs w:val="20"/>
              </w:rPr>
              <w:t>euro</w:t>
            </w:r>
            <w:proofErr w:type="spellEnd"/>
            <w:r w:rsidRPr="0042241B">
              <w:rPr>
                <w:rFonts w:ascii="Times New Roman" w:eastAsia="Calibri" w:hAnsi="Times New Roman" w:cs="Times New Roman"/>
                <w:snapToGrid w:val="0"/>
                <w:color w:val="auto"/>
                <w:sz w:val="20"/>
                <w:szCs w:val="20"/>
              </w:rPr>
              <w:t>, lai 2020.gadā nodrošinātu aizdevumu pieejamību pašvaldībām ES fondu un pārējās ārvalstu finanšu palīdzības līdzfinansētajos augstas gatavības projektos ar tautsaimniecības nozīmi, Vides aizsardzības un reģionālās attīstības ministrijas  pieteiktajos augstas gatavības attiecīgo jomu investīciju projektos, kā arī jaunas pirmsskolas izglītības iestādes būvniecībai vai esošas pirmsskolas izglītības iestādes paplašināšanai, kas saistīti ar demogrāfijas pasākumu īstenošanu, mazinot rindas pirmsskolas izglītības iestādē, un valstiski nozīmīga investīciju projekta "Mežaparka Lielās estrādes rekonstrukcija" īstenošanai.</w:t>
            </w:r>
          </w:p>
        </w:tc>
        <w:tc>
          <w:tcPr>
            <w:tcW w:w="851"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3B7D79">
              <w:rPr>
                <w:rFonts w:ascii="Times New Roman" w:eastAsia="Calibri" w:hAnsi="Times New Roman" w:cs="Times New Roman"/>
                <w:snapToGrid w:val="0"/>
                <w:color w:val="auto"/>
                <w:sz w:val="20"/>
                <w:szCs w:val="20"/>
              </w:rPr>
              <w:t>P.51</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30</w:t>
            </w:r>
            <w:r w:rsidRPr="00284BE8">
              <w:rPr>
                <w:rFonts w:ascii="Times New Roman" w:hAnsi="Times New Roman" w:cs="Times New Roman"/>
                <w:color w:val="auto"/>
                <w:sz w:val="20"/>
                <w:szCs w:val="20"/>
              </w:rPr>
              <w:t>.0</w:t>
            </w:r>
            <w:r>
              <w:rPr>
                <w:rFonts w:ascii="Times New Roman" w:hAnsi="Times New Roman" w:cs="Times New Roman"/>
                <w:color w:val="auto"/>
                <w:sz w:val="20"/>
                <w:szCs w:val="20"/>
              </w:rPr>
              <w:t>4</w:t>
            </w:r>
            <w:r w:rsidRPr="00284BE8">
              <w:rPr>
                <w:rFonts w:ascii="Times New Roman" w:hAnsi="Times New Roman" w:cs="Times New Roman"/>
                <w:color w:val="auto"/>
                <w:sz w:val="20"/>
                <w:szCs w:val="20"/>
              </w:rPr>
              <w:t>.2020.</w:t>
            </w:r>
          </w:p>
        </w:tc>
        <w:tc>
          <w:tcPr>
            <w:tcW w:w="1418"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150,0</w:t>
            </w:r>
          </w:p>
        </w:tc>
        <w:tc>
          <w:tcPr>
            <w:tcW w:w="1417"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3"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-50,0</w:t>
            </w:r>
          </w:p>
        </w:tc>
        <w:tc>
          <w:tcPr>
            <w:tcW w:w="850"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-72,0</w:t>
            </w:r>
          </w:p>
        </w:tc>
        <w:tc>
          <w:tcPr>
            <w:tcW w:w="709"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-0,2</w:t>
            </w:r>
          </w:p>
        </w:tc>
        <w:tc>
          <w:tcPr>
            <w:tcW w:w="709" w:type="dxa"/>
            <w:tcBorders>
              <w:right w:val="single" w:sz="12" w:space="0" w:color="95B3D7" w:themeColor="accent1" w:themeTint="99"/>
            </w:tcBorders>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-0,2</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sidRPr="003B7D79">
              <w:rPr>
                <w:rFonts w:ascii="Times New Roman" w:eastAsia="Calibri" w:hAnsi="Times New Roman" w:cs="Times New Roman"/>
                <w:b w:val="0"/>
                <w:snapToGrid w:val="0"/>
                <w:color w:val="auto"/>
                <w:sz w:val="20"/>
                <w:szCs w:val="20"/>
              </w:rPr>
              <w:t>Ieguldījumu fonds</w:t>
            </w:r>
            <w:r w:rsidRPr="00284BE8">
              <w:rPr>
                <w:rFonts w:ascii="Times New Roman" w:eastAsia="Calibri" w:hAnsi="Times New Roman" w:cs="Times New Roman"/>
                <w:b w:val="0"/>
                <w:snapToGrid w:val="0"/>
                <w:color w:val="auto"/>
                <w:sz w:val="20"/>
                <w:szCs w:val="20"/>
              </w:rPr>
              <w:t> </w:t>
            </w:r>
          </w:p>
        </w:tc>
        <w:tc>
          <w:tcPr>
            <w:tcW w:w="4536" w:type="dxa"/>
            <w:vAlign w:val="center"/>
          </w:tcPr>
          <w:p w:rsidR="00DF7139" w:rsidRPr="003B7D79"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42241B">
              <w:rPr>
                <w:rFonts w:ascii="Times New Roman" w:eastAsia="Calibri" w:hAnsi="Times New Roman" w:cs="Times New Roman"/>
                <w:snapToGrid w:val="0"/>
                <w:color w:val="auto"/>
                <w:sz w:val="20"/>
                <w:szCs w:val="20"/>
              </w:rPr>
              <w:t>ALTUM ieguldījumu fonds modernizācijai</w:t>
            </w:r>
            <w:r>
              <w:rPr>
                <w:rFonts w:ascii="Times New Roman" w:eastAsia="Calibri" w:hAnsi="Times New Roman" w:cs="Times New Roman"/>
                <w:snapToGrid w:val="0"/>
                <w:color w:val="auto"/>
                <w:sz w:val="20"/>
                <w:szCs w:val="20"/>
              </w:rPr>
              <w:t>.</w:t>
            </w:r>
          </w:p>
        </w:tc>
        <w:tc>
          <w:tcPr>
            <w:tcW w:w="851"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3B7D79">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14</w:t>
            </w:r>
            <w:r w:rsidRPr="00284BE8">
              <w:rPr>
                <w:rFonts w:ascii="Times New Roman" w:hAnsi="Times New Roman" w:cs="Times New Roman"/>
                <w:color w:val="auto"/>
                <w:sz w:val="20"/>
                <w:szCs w:val="20"/>
              </w:rPr>
              <w:t>.0</w:t>
            </w:r>
            <w:r>
              <w:rPr>
                <w:rFonts w:ascii="Times New Roman" w:hAnsi="Times New Roman" w:cs="Times New Roman"/>
                <w:color w:val="auto"/>
                <w:sz w:val="20"/>
                <w:szCs w:val="20"/>
              </w:rPr>
              <w:t>7</w:t>
            </w:r>
            <w:r w:rsidRPr="00284BE8">
              <w:rPr>
                <w:rFonts w:ascii="Times New Roman" w:hAnsi="Times New Roman" w:cs="Times New Roman"/>
                <w:color w:val="auto"/>
                <w:sz w:val="20"/>
                <w:szCs w:val="20"/>
              </w:rPr>
              <w:t>.2020.</w:t>
            </w:r>
          </w:p>
        </w:tc>
        <w:tc>
          <w:tcPr>
            <w:tcW w:w="1418"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50,0</w:t>
            </w:r>
          </w:p>
        </w:tc>
        <w:tc>
          <w:tcPr>
            <w:tcW w:w="1417"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0,0</w:t>
            </w:r>
          </w:p>
        </w:tc>
        <w:tc>
          <w:tcPr>
            <w:tcW w:w="993"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850"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tcBorders>
              <w:right w:val="single" w:sz="12" w:space="0" w:color="95B3D7" w:themeColor="accent1" w:themeTint="99"/>
            </w:tcBorders>
            <w:vAlign w:val="center"/>
          </w:tcPr>
          <w:p w:rsidR="00DF7139" w:rsidRPr="003B7D79"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DF7139" w:rsidRPr="00284BE8" w:rsidTr="00B757C1">
        <w:trPr>
          <w:trHeight w:val="27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Atbalsts lielajiem komersantiem</w:t>
            </w:r>
          </w:p>
        </w:tc>
        <w:tc>
          <w:tcPr>
            <w:tcW w:w="4536" w:type="dxa"/>
            <w:vAlign w:val="center"/>
          </w:tcPr>
          <w:p w:rsidR="00DF7139" w:rsidRPr="003B7D79"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Pr>
                <w:rFonts w:ascii="Times New Roman" w:eastAsia="Calibri" w:hAnsi="Times New Roman" w:cs="Times New Roman"/>
                <w:snapToGrid w:val="0"/>
                <w:color w:val="auto"/>
                <w:sz w:val="20"/>
                <w:szCs w:val="20"/>
              </w:rPr>
              <w:t>Atbalsts aizdevumiem un garantijām lielajiem komersantiem ar ALTUM starpniecību.</w:t>
            </w:r>
          </w:p>
        </w:tc>
        <w:tc>
          <w:tcPr>
            <w:tcW w:w="851"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3B7D79">
              <w:rPr>
                <w:rFonts w:ascii="Times New Roman" w:eastAsia="Calibri" w:hAnsi="Times New Roman" w:cs="Times New Roman"/>
                <w:snapToGrid w:val="0"/>
                <w:color w:val="auto"/>
                <w:sz w:val="20"/>
                <w:szCs w:val="20"/>
              </w:rPr>
              <w:t>D.7</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iCs/>
                <w:color w:val="auto"/>
                <w:sz w:val="20"/>
                <w:szCs w:val="20"/>
              </w:rPr>
              <w:t>Apstiprināts/ konceptuāli</w:t>
            </w:r>
          </w:p>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02</w:t>
            </w:r>
            <w:r w:rsidRPr="00284BE8">
              <w:rPr>
                <w:rFonts w:ascii="Times New Roman" w:hAnsi="Times New Roman" w:cs="Times New Roman"/>
                <w:color w:val="auto"/>
                <w:sz w:val="20"/>
                <w:szCs w:val="20"/>
              </w:rPr>
              <w:t>.0</w:t>
            </w:r>
            <w:r>
              <w:rPr>
                <w:rFonts w:ascii="Times New Roman" w:hAnsi="Times New Roman" w:cs="Times New Roman"/>
                <w:color w:val="auto"/>
                <w:sz w:val="20"/>
                <w:szCs w:val="20"/>
              </w:rPr>
              <w:t>6</w:t>
            </w:r>
            <w:r w:rsidRPr="00284BE8">
              <w:rPr>
                <w:rFonts w:ascii="Times New Roman" w:hAnsi="Times New Roman" w:cs="Times New Roman"/>
                <w:color w:val="auto"/>
                <w:sz w:val="20"/>
                <w:szCs w:val="20"/>
              </w:rPr>
              <w:t>.2020.</w:t>
            </w:r>
            <w:r>
              <w:rPr>
                <w:rFonts w:ascii="Times New Roman" w:hAnsi="Times New Roman" w:cs="Times New Roman"/>
                <w:color w:val="auto"/>
                <w:sz w:val="20"/>
                <w:szCs w:val="20"/>
              </w:rPr>
              <w:t xml:space="preserve"> 14.07.2020.</w:t>
            </w:r>
          </w:p>
        </w:tc>
        <w:tc>
          <w:tcPr>
            <w:tcW w:w="1418"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90,0</w:t>
            </w:r>
          </w:p>
        </w:tc>
        <w:tc>
          <w:tcPr>
            <w:tcW w:w="1417"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-20,0</w:t>
            </w:r>
          </w:p>
        </w:tc>
        <w:tc>
          <w:tcPr>
            <w:tcW w:w="993"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-90,0</w:t>
            </w:r>
          </w:p>
        </w:tc>
        <w:tc>
          <w:tcPr>
            <w:tcW w:w="850"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-0,3</w:t>
            </w:r>
          </w:p>
        </w:tc>
        <w:tc>
          <w:tcPr>
            <w:tcW w:w="709" w:type="dxa"/>
            <w:tcBorders>
              <w:right w:val="single" w:sz="12" w:space="0" w:color="95B3D7" w:themeColor="accent1" w:themeTint="99"/>
            </w:tcBorders>
            <w:vAlign w:val="center"/>
          </w:tcPr>
          <w:p w:rsidR="00DF7139" w:rsidRPr="003B7D7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6374" w:type="dxa"/>
            <w:gridSpan w:val="2"/>
            <w:vAlign w:val="center"/>
            <w:hideMark/>
          </w:tcPr>
          <w:p w:rsidR="00DF7139" w:rsidRPr="00F51974" w:rsidRDefault="00DF7139" w:rsidP="00EB17A4">
            <w:pPr>
              <w:ind w:firstLine="0"/>
              <w:jc w:val="left"/>
              <w:rPr>
                <w:rFonts w:ascii="Times New Roman" w:eastAsia="Calibri" w:hAnsi="Times New Roman" w:cs="Times New Roman"/>
                <w:sz w:val="20"/>
                <w:szCs w:val="20"/>
              </w:rPr>
            </w:pPr>
            <w:r w:rsidRPr="00F51974">
              <w:rPr>
                <w:rFonts w:ascii="Times New Roman" w:eastAsia="Calibri" w:hAnsi="Times New Roman" w:cs="Times New Roman"/>
                <w:snapToGrid w:val="0"/>
                <w:color w:val="auto"/>
                <w:sz w:val="20"/>
                <w:szCs w:val="20"/>
              </w:rPr>
              <w:t>4. Atbalsts nozarēm</w:t>
            </w:r>
          </w:p>
        </w:tc>
        <w:tc>
          <w:tcPr>
            <w:tcW w:w="851" w:type="dxa"/>
            <w:vAlign w:val="center"/>
            <w:hideMark/>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c>
          <w:tcPr>
            <w:tcW w:w="1417" w:type="dxa"/>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c>
          <w:tcPr>
            <w:tcW w:w="993"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Atbalsts aviopārvadājumu nozarei</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 xml:space="preserve">Aviosatiksmes nozares sabiedrību pamatkapitāla </w:t>
            </w:r>
            <w:r>
              <w:rPr>
                <w:rFonts w:ascii="Times New Roman" w:eastAsia="Calibri" w:hAnsi="Times New Roman" w:cs="Times New Roman"/>
                <w:color w:val="auto"/>
                <w:sz w:val="20"/>
                <w:szCs w:val="20"/>
              </w:rPr>
              <w:t xml:space="preserve">palielināšana, </w:t>
            </w:r>
            <w:r w:rsidRPr="00A44502">
              <w:rPr>
                <w:rFonts w:ascii="Times New Roman" w:eastAsia="Calibri" w:hAnsi="Times New Roman" w:cs="Times New Roman"/>
                <w:color w:val="auto"/>
                <w:sz w:val="20"/>
                <w:szCs w:val="20"/>
              </w:rPr>
              <w:t>VAS “Starptautiskā lidosta “Rīga”“ divi</w:t>
            </w:r>
            <w:r w:rsidR="0096596A">
              <w:rPr>
                <w:rFonts w:ascii="Times New Roman" w:eastAsia="Calibri" w:hAnsi="Times New Roman" w:cs="Times New Roman"/>
                <w:color w:val="auto"/>
                <w:sz w:val="20"/>
                <w:szCs w:val="20"/>
              </w:rPr>
              <w:t>denžu maksājumu atcelšana 2020.</w:t>
            </w:r>
            <w:r w:rsidRPr="00A44502">
              <w:rPr>
                <w:rFonts w:ascii="Times New Roman" w:eastAsia="Calibri" w:hAnsi="Times New Roman" w:cs="Times New Roman"/>
                <w:color w:val="auto"/>
                <w:sz w:val="20"/>
                <w:szCs w:val="20"/>
              </w:rPr>
              <w:t>gadā</w:t>
            </w:r>
            <w:r>
              <w:rPr>
                <w:rFonts w:ascii="Times New Roman" w:eastAsia="Calibri" w:hAnsi="Times New Roman" w:cs="Times New Roman"/>
                <w:color w:val="auto"/>
                <w:sz w:val="20"/>
                <w:szCs w:val="20"/>
              </w:rPr>
              <w:t>.</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D.9</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iCs/>
                <w:color w:val="auto"/>
                <w:sz w:val="20"/>
                <w:szCs w:val="20"/>
              </w:rPr>
              <w:t>Apstiprināts/ konceptuāli</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iCs/>
                <w:color w:val="auto"/>
                <w:sz w:val="20"/>
                <w:szCs w:val="20"/>
              </w:rPr>
              <w:t>24.03.2020.</w:t>
            </w:r>
          </w:p>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iCs/>
                <w:color w:val="auto"/>
                <w:sz w:val="20"/>
                <w:szCs w:val="20"/>
              </w:rPr>
              <w:lastRenderedPageBreak/>
              <w:t>25.03.2020.</w:t>
            </w:r>
            <w:r>
              <w:rPr>
                <w:rFonts w:ascii="Times New Roman" w:hAnsi="Times New Roman" w:cs="Times New Roman"/>
                <w:iCs/>
                <w:color w:val="auto"/>
                <w:sz w:val="20"/>
                <w:szCs w:val="20"/>
              </w:rPr>
              <w:t xml:space="preserve"> 23.04.2020. 08.05.2020. 14.07.2020.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lastRenderedPageBreak/>
              <w:t>310,4</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-256,0</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-310,4</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-1,1</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Ar veselības aprūpi saistīts atbalsts</w:t>
            </w:r>
          </w:p>
        </w:tc>
        <w:tc>
          <w:tcPr>
            <w:tcW w:w="4536" w:type="dxa"/>
            <w:vAlign w:val="center"/>
          </w:tcPr>
          <w:p w:rsidR="00DF7139" w:rsidRPr="00284BE8" w:rsidRDefault="0096596A"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Aizsarglīdzekļu, medikamentu </w:t>
            </w:r>
            <w:r w:rsidR="00DF7139" w:rsidRPr="00284BE8">
              <w:rPr>
                <w:rFonts w:ascii="Times New Roman" w:eastAsia="Calibri" w:hAnsi="Times New Roman" w:cs="Times New Roman"/>
                <w:color w:val="auto"/>
                <w:sz w:val="20"/>
                <w:szCs w:val="20"/>
              </w:rPr>
              <w:t>u.c. medicīniskā aprīkojuma iegāde. Piemaksas ārstniecības personām un nodarbinātajiem par darbu paaugstināta riska un slodzes apstākļos.</w:t>
            </w:r>
            <w:r w:rsidR="00DF7139">
              <w:rPr>
                <w:rFonts w:ascii="Times New Roman" w:eastAsia="Calibri" w:hAnsi="Times New Roman" w:cs="Times New Roman"/>
                <w:color w:val="auto"/>
                <w:sz w:val="20"/>
                <w:szCs w:val="20"/>
              </w:rPr>
              <w:t xml:space="preserve"> </w:t>
            </w:r>
            <w:r w:rsidR="00DF7139" w:rsidRPr="00F15781">
              <w:rPr>
                <w:rFonts w:ascii="Times New Roman" w:eastAsia="Calibri" w:hAnsi="Times New Roman" w:cs="Times New Roman"/>
                <w:color w:val="auto"/>
                <w:sz w:val="20"/>
                <w:szCs w:val="20"/>
              </w:rPr>
              <w:t>Izdevumu segšanai Nacionālajam veselība</w:t>
            </w:r>
            <w:r>
              <w:rPr>
                <w:rFonts w:ascii="Times New Roman" w:eastAsia="Calibri" w:hAnsi="Times New Roman" w:cs="Times New Roman"/>
                <w:color w:val="auto"/>
                <w:sz w:val="20"/>
                <w:szCs w:val="20"/>
              </w:rPr>
              <w:t>s dienestam, kas radušies</w:t>
            </w:r>
            <w:r w:rsidR="00DF7139" w:rsidRPr="00F15781">
              <w:rPr>
                <w:rFonts w:ascii="Times New Roman" w:eastAsia="Calibri" w:hAnsi="Times New Roman" w:cs="Times New Roman"/>
                <w:color w:val="auto"/>
                <w:sz w:val="20"/>
                <w:szCs w:val="20"/>
              </w:rPr>
              <w:t xml:space="preserve"> saistībā ar Covid-19 uzliesmojumu un seku novēršanu</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P.2, D.1</w:t>
            </w:r>
            <w:r>
              <w:rPr>
                <w:rFonts w:ascii="Times New Roman" w:eastAsia="Calibri" w:hAnsi="Times New Roman" w:cs="Times New Roman"/>
                <w:color w:val="auto"/>
                <w:sz w:val="20"/>
                <w:szCs w:val="20"/>
              </w:rPr>
              <w:t>, P.51</w:t>
            </w: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03.03.2020.</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20.03.2020.</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27.03.2020.</w:t>
            </w:r>
          </w:p>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color w:val="auto"/>
                <w:sz w:val="20"/>
                <w:szCs w:val="20"/>
              </w:rPr>
              <w:t>09.04.2020.</w:t>
            </w:r>
            <w:r>
              <w:rPr>
                <w:rFonts w:ascii="Times New Roman" w:hAnsi="Times New Roman" w:cs="Times New Roman"/>
                <w:color w:val="auto"/>
                <w:sz w:val="20"/>
                <w:szCs w:val="20"/>
              </w:rPr>
              <w:t xml:space="preserve"> 27.04.2020. 05.05.2020. 20.05.2020. 02.06.2020. 09.06.2020. 15.07.2020. 11.08.2020. 04.09.2020. 22.09.2020.</w:t>
            </w: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183,6</w:t>
            </w:r>
          </w:p>
        </w:tc>
        <w:tc>
          <w:tcPr>
            <w:tcW w:w="1417"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-65,7</w:t>
            </w:r>
          </w:p>
        </w:tc>
        <w:tc>
          <w:tcPr>
            <w:tcW w:w="993"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-134,3</w:t>
            </w: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-49,3</w:t>
            </w: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-0,5</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0"/>
                <w:szCs w:val="20"/>
              </w:rPr>
            </w:pPr>
            <w:r>
              <w:rPr>
                <w:rFonts w:ascii="Times New Roman" w:hAnsi="Times New Roman" w:cs="Times New Roman"/>
                <w:bCs/>
                <w:color w:val="auto"/>
                <w:sz w:val="20"/>
                <w:szCs w:val="20"/>
              </w:rPr>
              <w:t>-0,2</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296D93">
            <w:pPr>
              <w:spacing w:after="0"/>
              <w:ind w:right="-199"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Atbalsts attālinātajam mācību procesam</w:t>
            </w:r>
          </w:p>
        </w:tc>
        <w:tc>
          <w:tcPr>
            <w:tcW w:w="4536" w:type="dxa"/>
            <w:vAlign w:val="center"/>
          </w:tcPr>
          <w:p w:rsidR="00DF7139" w:rsidRPr="00284BE8" w:rsidRDefault="00DF7139" w:rsidP="00296D93">
            <w:pPr>
              <w:spacing w:after="0"/>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 xml:space="preserve">Līdzekļi attālinātam mācību procesam paredzētā audiovizuālā satura radīšanai un izplatīšanai. Attālinātajam mācību procesam nepieciešamo viedtālruņu un </w:t>
            </w:r>
            <w:proofErr w:type="spellStart"/>
            <w:r w:rsidRPr="00284BE8">
              <w:rPr>
                <w:rFonts w:ascii="Times New Roman" w:eastAsia="Calibri" w:hAnsi="Times New Roman" w:cs="Times New Roman"/>
                <w:color w:val="auto"/>
                <w:sz w:val="20"/>
                <w:szCs w:val="20"/>
              </w:rPr>
              <w:t>planšetu</w:t>
            </w:r>
            <w:proofErr w:type="spellEnd"/>
            <w:r w:rsidRPr="00284BE8">
              <w:rPr>
                <w:rFonts w:ascii="Times New Roman" w:eastAsia="Calibri" w:hAnsi="Times New Roman" w:cs="Times New Roman"/>
                <w:color w:val="auto"/>
                <w:sz w:val="20"/>
                <w:szCs w:val="20"/>
              </w:rPr>
              <w:t xml:space="preserve"> iegādei.</w:t>
            </w:r>
            <w:r>
              <w:rPr>
                <w:rFonts w:ascii="Times New Roman" w:eastAsia="Calibri" w:hAnsi="Times New Roman" w:cs="Times New Roman"/>
                <w:color w:val="auto"/>
                <w:sz w:val="20"/>
                <w:szCs w:val="20"/>
              </w:rPr>
              <w:t xml:space="preserve"> </w:t>
            </w:r>
            <w:r w:rsidRPr="00AF0E8F">
              <w:rPr>
                <w:rFonts w:ascii="Times New Roman" w:eastAsia="Calibri" w:hAnsi="Times New Roman" w:cs="Times New Roman"/>
                <w:color w:val="auto"/>
                <w:sz w:val="20"/>
                <w:szCs w:val="20"/>
              </w:rPr>
              <w:t>Platjoslu infrastruktūras (</w:t>
            </w:r>
            <w:proofErr w:type="spellStart"/>
            <w:r w:rsidRPr="00AF0E8F">
              <w:rPr>
                <w:rFonts w:ascii="Times New Roman" w:eastAsia="Calibri" w:hAnsi="Times New Roman" w:cs="Times New Roman"/>
                <w:color w:val="auto"/>
                <w:sz w:val="20"/>
                <w:szCs w:val="20"/>
              </w:rPr>
              <w:t>broadband</w:t>
            </w:r>
            <w:proofErr w:type="spellEnd"/>
            <w:r w:rsidRPr="00AF0E8F">
              <w:rPr>
                <w:rFonts w:ascii="Times New Roman" w:eastAsia="Calibri" w:hAnsi="Times New Roman" w:cs="Times New Roman"/>
                <w:color w:val="auto"/>
                <w:sz w:val="20"/>
                <w:szCs w:val="20"/>
              </w:rPr>
              <w:t xml:space="preserve">) “vidējā jūdze”, internets skolām, mācību satura </w:t>
            </w:r>
            <w:proofErr w:type="spellStart"/>
            <w:r w:rsidRPr="00AF0E8F">
              <w:rPr>
                <w:rFonts w:ascii="Times New Roman" w:eastAsia="Calibri" w:hAnsi="Times New Roman" w:cs="Times New Roman"/>
                <w:color w:val="auto"/>
                <w:sz w:val="20"/>
                <w:szCs w:val="20"/>
              </w:rPr>
              <w:t>digitalizācija</w:t>
            </w:r>
            <w:proofErr w:type="spellEnd"/>
            <w:r w:rsidRPr="00AF0E8F">
              <w:rPr>
                <w:rFonts w:ascii="Times New Roman" w:eastAsia="Calibri" w:hAnsi="Times New Roman" w:cs="Times New Roman"/>
                <w:color w:val="auto"/>
                <w:sz w:val="20"/>
                <w:szCs w:val="20"/>
              </w:rPr>
              <w:t>.</w:t>
            </w:r>
          </w:p>
        </w:tc>
        <w:tc>
          <w:tcPr>
            <w:tcW w:w="851" w:type="dxa"/>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P.2</w:t>
            </w:r>
          </w:p>
        </w:tc>
        <w:tc>
          <w:tcPr>
            <w:tcW w:w="1275" w:type="dxa"/>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12.03.2020.</w:t>
            </w:r>
          </w:p>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19.03.2020.</w:t>
            </w:r>
          </w:p>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color w:val="auto"/>
                <w:sz w:val="20"/>
                <w:szCs w:val="20"/>
              </w:rPr>
              <w:t>24.03.2020.</w:t>
            </w:r>
            <w:r>
              <w:rPr>
                <w:rFonts w:ascii="Times New Roman" w:hAnsi="Times New Roman" w:cs="Times New Roman"/>
                <w:color w:val="auto"/>
                <w:sz w:val="20"/>
                <w:szCs w:val="20"/>
              </w:rPr>
              <w:t xml:space="preserve"> 02.06.2020.</w:t>
            </w:r>
          </w:p>
        </w:tc>
        <w:tc>
          <w:tcPr>
            <w:tcW w:w="1418" w:type="dxa"/>
            <w:vAlign w:val="center"/>
          </w:tcPr>
          <w:p w:rsidR="00DF7139" w:rsidRPr="00F86F04"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3,8</w:t>
            </w:r>
          </w:p>
        </w:tc>
        <w:tc>
          <w:tcPr>
            <w:tcW w:w="1417" w:type="dxa"/>
            <w:vAlign w:val="center"/>
          </w:tcPr>
          <w:p w:rsidR="00DF7139" w:rsidRPr="00BA34B1"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-0,8</w:t>
            </w:r>
          </w:p>
        </w:tc>
        <w:tc>
          <w:tcPr>
            <w:tcW w:w="993" w:type="dxa"/>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-1,0</w:t>
            </w:r>
          </w:p>
        </w:tc>
        <w:tc>
          <w:tcPr>
            <w:tcW w:w="850" w:type="dxa"/>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-2,8</w:t>
            </w:r>
          </w:p>
        </w:tc>
        <w:tc>
          <w:tcPr>
            <w:tcW w:w="709" w:type="dxa"/>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296D93">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296D93">
            <w:pPr>
              <w:spacing w:after="0"/>
              <w:ind w:firstLine="0"/>
              <w:jc w:val="left"/>
              <w:rPr>
                <w:rFonts w:ascii="Times New Roman" w:eastAsia="Calibri" w:hAnsi="Times New Roman" w:cs="Times New Roman"/>
                <w:b w:val="0"/>
                <w:color w:val="auto"/>
                <w:sz w:val="20"/>
                <w:szCs w:val="20"/>
              </w:rPr>
            </w:pPr>
            <w:r w:rsidRPr="00284BE8">
              <w:rPr>
                <w:rFonts w:ascii="Times New Roman" w:eastAsia="Calibri" w:hAnsi="Times New Roman" w:cs="Times New Roman"/>
                <w:b w:val="0"/>
                <w:snapToGrid w:val="0"/>
                <w:color w:val="auto"/>
                <w:sz w:val="20"/>
                <w:szCs w:val="20"/>
              </w:rPr>
              <w:t>- Atbalsts medijiem un sabiedrības informēšanai</w:t>
            </w:r>
          </w:p>
        </w:tc>
        <w:tc>
          <w:tcPr>
            <w:tcW w:w="4536" w:type="dxa"/>
            <w:vAlign w:val="center"/>
          </w:tcPr>
          <w:p w:rsidR="00DF7139" w:rsidRPr="00284BE8" w:rsidRDefault="00DF7139" w:rsidP="00045B49">
            <w:pPr>
              <w:spacing w:after="0"/>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SIA "</w:t>
            </w:r>
            <w:proofErr w:type="spellStart"/>
            <w:r w:rsidRPr="00284BE8">
              <w:rPr>
                <w:rFonts w:ascii="Times New Roman" w:eastAsia="Calibri" w:hAnsi="Times New Roman" w:cs="Times New Roman"/>
                <w:color w:val="auto"/>
                <w:sz w:val="20"/>
                <w:szCs w:val="20"/>
              </w:rPr>
              <w:t>Tet</w:t>
            </w:r>
            <w:proofErr w:type="spellEnd"/>
            <w:r w:rsidRPr="00284BE8">
              <w:rPr>
                <w:rFonts w:ascii="Times New Roman" w:eastAsia="Calibri" w:hAnsi="Times New Roman" w:cs="Times New Roman"/>
                <w:color w:val="auto"/>
                <w:sz w:val="20"/>
                <w:szCs w:val="20"/>
              </w:rPr>
              <w:t>" izmaksām, kas saistītas ar saziņas nodrošināšanu un tīmekļa vietnes izveidi krīzes k</w:t>
            </w:r>
            <w:r w:rsidR="0096596A">
              <w:rPr>
                <w:rFonts w:ascii="Times New Roman" w:eastAsia="Calibri" w:hAnsi="Times New Roman" w:cs="Times New Roman"/>
                <w:color w:val="auto"/>
                <w:sz w:val="20"/>
                <w:szCs w:val="20"/>
              </w:rPr>
              <w:t>oordinācijai. „Latvijas Radio”,</w:t>
            </w:r>
            <w:r w:rsidRPr="00284BE8">
              <w:rPr>
                <w:rFonts w:ascii="Times New Roman" w:eastAsia="Calibri" w:hAnsi="Times New Roman" w:cs="Times New Roman"/>
                <w:color w:val="auto"/>
                <w:sz w:val="20"/>
                <w:szCs w:val="20"/>
              </w:rPr>
              <w:t xml:space="preserve"> „Latvijas Televīzija” un komerciālajiem plašsaziņas līdzekļiem, lai </w:t>
            </w:r>
            <w:r w:rsidRPr="00284BE8">
              <w:rPr>
                <w:rFonts w:ascii="Times New Roman" w:eastAsia="Calibri" w:hAnsi="Times New Roman" w:cs="Times New Roman"/>
                <w:color w:val="auto"/>
                <w:sz w:val="20"/>
                <w:szCs w:val="20"/>
              </w:rPr>
              <w:lastRenderedPageBreak/>
              <w:t>nodrošinātu iespējami plašu Latvijas iedzīvotāju apziņošanu un efektīvu sabiedrības informēšanu un izglītošanu par aktualitātēm saistībā ar Covid-19. Sabiedrības integrācijas fondam, lai nodrošinātu Mediju atbalsta fonda darbību un iespēju sabiedrībai saņemt daudzpusīgu informāciju un viedokļus par Covid-19 krīzes pārvarēšanu, kā arī nodrošinātu valsts informatīvās telpas drošību drukātajā presē un komerciālajos interneta ziņu portālos, sniegtu atbalstu saistībā ar abonēto preses izdevumu piegādes izmaksām (</w:t>
            </w:r>
            <w:r w:rsidR="00045B49">
              <w:rPr>
                <w:rFonts w:ascii="Times New Roman" w:eastAsia="Calibri" w:hAnsi="Times New Roman" w:cs="Times New Roman"/>
                <w:color w:val="auto"/>
                <w:sz w:val="20"/>
                <w:szCs w:val="20"/>
              </w:rPr>
              <w:t>VAS</w:t>
            </w:r>
            <w:r w:rsidRPr="00284BE8">
              <w:rPr>
                <w:rFonts w:ascii="Times New Roman" w:eastAsia="Calibri" w:hAnsi="Times New Roman" w:cs="Times New Roman"/>
                <w:color w:val="auto"/>
                <w:sz w:val="20"/>
                <w:szCs w:val="20"/>
              </w:rPr>
              <w:t xml:space="preserve"> "Latvijas Pasts") un elektronisko plašsaziņas līdzekļu programmu apraides izmaksām. Nacionālajai elektronisko plašsaziņas līdzekļu padomei, lai nodrošinātu sabiedrībai iespēju saņemt daudzpusīgu informāciju un viedokļus par Covid-19 krīzes pārvarēšanu, kā arī nodrošinātu valsts informatīvās telpas</w:t>
            </w:r>
            <w:r>
              <w:rPr>
                <w:rFonts w:ascii="Times New Roman" w:eastAsia="Calibri" w:hAnsi="Times New Roman" w:cs="Times New Roman"/>
                <w:color w:val="auto"/>
                <w:sz w:val="20"/>
                <w:szCs w:val="20"/>
              </w:rPr>
              <w:t xml:space="preserve"> </w:t>
            </w:r>
            <w:r w:rsidRPr="00284BE8">
              <w:rPr>
                <w:rFonts w:ascii="Times New Roman" w:eastAsia="Calibri" w:hAnsi="Times New Roman" w:cs="Times New Roman"/>
                <w:color w:val="auto"/>
                <w:sz w:val="20"/>
                <w:szCs w:val="20"/>
              </w:rPr>
              <w:t>drošību komerciālajos elektroniskajos plašsaziņas līdzekļos.</w:t>
            </w:r>
          </w:p>
        </w:tc>
        <w:tc>
          <w:tcPr>
            <w:tcW w:w="851" w:type="dxa"/>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lastRenderedPageBreak/>
              <w:t>P.2, D.7</w:t>
            </w:r>
          </w:p>
        </w:tc>
        <w:tc>
          <w:tcPr>
            <w:tcW w:w="1275" w:type="dxa"/>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19.03.2020.</w:t>
            </w:r>
          </w:p>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07.04.2020.</w:t>
            </w:r>
          </w:p>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284BE8">
              <w:rPr>
                <w:rFonts w:ascii="Times New Roman" w:hAnsi="Times New Roman" w:cs="Times New Roman"/>
                <w:color w:val="auto"/>
                <w:sz w:val="20"/>
                <w:szCs w:val="20"/>
              </w:rPr>
              <w:t>17.04.2020.</w:t>
            </w:r>
          </w:p>
        </w:tc>
        <w:tc>
          <w:tcPr>
            <w:tcW w:w="1418" w:type="dxa"/>
            <w:vAlign w:val="center"/>
          </w:tcPr>
          <w:p w:rsidR="00DF7139" w:rsidRPr="00F86F04"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2,5</w:t>
            </w:r>
          </w:p>
        </w:tc>
        <w:tc>
          <w:tcPr>
            <w:tcW w:w="1417" w:type="dxa"/>
            <w:vAlign w:val="center"/>
          </w:tcPr>
          <w:p w:rsidR="00DF7139" w:rsidRPr="00BA34B1"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-1,8</w:t>
            </w:r>
          </w:p>
        </w:tc>
        <w:tc>
          <w:tcPr>
            <w:tcW w:w="993" w:type="dxa"/>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-2,5</w:t>
            </w:r>
          </w:p>
        </w:tc>
        <w:tc>
          <w:tcPr>
            <w:tcW w:w="850" w:type="dxa"/>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296D93">
            <w:pPr>
              <w:spacing w:after="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color w:val="auto"/>
                <w:sz w:val="20"/>
                <w:szCs w:val="20"/>
              </w:rPr>
            </w:pPr>
            <w:r w:rsidRPr="00AF0E8F">
              <w:rPr>
                <w:rFonts w:ascii="Times New Roman" w:eastAsia="Calibri" w:hAnsi="Times New Roman" w:cs="Times New Roman"/>
                <w:b w:val="0"/>
                <w:snapToGrid w:val="0"/>
                <w:color w:val="auto"/>
                <w:sz w:val="20"/>
                <w:szCs w:val="20"/>
              </w:rPr>
              <w:t>- Finansiālo grūtību mazināšanai lauksaimniecības, mežsaimniecības, zivsaimniecības un pārtikas ražošanas nozarēm</w:t>
            </w:r>
          </w:p>
        </w:tc>
        <w:tc>
          <w:tcPr>
            <w:tcW w:w="4536" w:type="dxa"/>
            <w:vAlign w:val="center"/>
          </w:tcPr>
          <w:p w:rsidR="00DF7139" w:rsidRPr="00AF0E8F"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Atbalsts primārajiem lauksaimniecības ražotājiem, lauksaimniecības un pārtikas pārstrādes uzņēmumiem, kā arī uzņēmumiem un iestādēm, kas sniedz ēdināšanas pakalpojumus izglītības iestādēs.  Atbalsts paredzēts Covid-19 ietekmē radušos finansiālo grūtību mazināšanai, atbalstot apgrozāmo līdzekļu pieejamību, daļēji sedzot ienākumu samazinājumu, gatavo preču krājumu uzglabāšanas izmaksas, apgrozījuma samazinājumu, kā arī kompensējot to iznīcināto vai ziedoto produktu vērtību, kurus ārkārtas situācijas laikā nebija iespējams izlietot ēdināšanas pakalpojuma sniegšanā izglītības iestādēs.</w:t>
            </w:r>
          </w:p>
        </w:tc>
        <w:tc>
          <w:tcPr>
            <w:tcW w:w="851"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D.3</w:t>
            </w:r>
          </w:p>
        </w:tc>
        <w:tc>
          <w:tcPr>
            <w:tcW w:w="1275"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F0E8F">
              <w:rPr>
                <w:rFonts w:ascii="Times New Roman" w:hAnsi="Times New Roman" w:cs="Times New Roman"/>
                <w:color w:val="auto"/>
                <w:sz w:val="20"/>
                <w:szCs w:val="20"/>
              </w:rPr>
              <w:t>17.04.2020.</w:t>
            </w:r>
          </w:p>
        </w:tc>
        <w:tc>
          <w:tcPr>
            <w:tcW w:w="1418"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45,</w:t>
            </w:r>
            <w:r w:rsidRPr="00AF0E8F">
              <w:rPr>
                <w:rFonts w:ascii="Times New Roman" w:hAnsi="Times New Roman" w:cs="Times New Roman"/>
                <w:color w:val="auto"/>
                <w:sz w:val="20"/>
              </w:rPr>
              <w:t>5</w:t>
            </w:r>
          </w:p>
        </w:tc>
        <w:tc>
          <w:tcPr>
            <w:tcW w:w="1417"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-12,</w:t>
            </w:r>
            <w:r w:rsidRPr="00AF0E8F">
              <w:rPr>
                <w:rFonts w:ascii="Times New Roman" w:hAnsi="Times New Roman" w:cs="Times New Roman"/>
                <w:color w:val="auto"/>
                <w:sz w:val="20"/>
              </w:rPr>
              <w:t>6</w:t>
            </w:r>
          </w:p>
        </w:tc>
        <w:tc>
          <w:tcPr>
            <w:tcW w:w="993"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-45,</w:t>
            </w:r>
            <w:r w:rsidRPr="00AF0E8F">
              <w:rPr>
                <w:rFonts w:ascii="Times New Roman" w:hAnsi="Times New Roman" w:cs="Times New Roman"/>
                <w:iCs/>
                <w:color w:val="auto"/>
                <w:sz w:val="20"/>
                <w:szCs w:val="20"/>
              </w:rPr>
              <w:t>5</w:t>
            </w:r>
          </w:p>
        </w:tc>
        <w:tc>
          <w:tcPr>
            <w:tcW w:w="850"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F0E8F">
              <w:rPr>
                <w:rFonts w:ascii="Times New Roman" w:hAnsi="Times New Roman" w:cs="Times New Roman"/>
                <w:iCs/>
                <w:color w:val="auto"/>
                <w:sz w:val="20"/>
                <w:szCs w:val="20"/>
              </w:rPr>
              <w:t>0</w:t>
            </w:r>
            <w:r>
              <w:rPr>
                <w:rFonts w:ascii="Times New Roman" w:hAnsi="Times New Roman" w:cs="Times New Roman"/>
                <w:iCs/>
                <w:color w:val="auto"/>
                <w:sz w:val="20"/>
                <w:szCs w:val="20"/>
              </w:rPr>
              <w:t>,</w:t>
            </w:r>
            <w:r w:rsidRPr="00AF0E8F">
              <w:rPr>
                <w:rFonts w:ascii="Times New Roman" w:hAnsi="Times New Roman" w:cs="Times New Roman"/>
                <w:iCs/>
                <w:color w:val="auto"/>
                <w:sz w:val="20"/>
                <w:szCs w:val="20"/>
              </w:rPr>
              <w:t>0</w:t>
            </w:r>
          </w:p>
        </w:tc>
        <w:tc>
          <w:tcPr>
            <w:tcW w:w="709"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sidRPr="00AF0E8F">
              <w:rPr>
                <w:rFonts w:ascii="Times New Roman" w:hAnsi="Times New Roman" w:cs="Times New Roman"/>
                <w:iCs/>
                <w:color w:val="auto"/>
                <w:sz w:val="20"/>
                <w:szCs w:val="20"/>
              </w:rPr>
              <w:t>-</w:t>
            </w:r>
            <w:r>
              <w:rPr>
                <w:rFonts w:ascii="Times New Roman" w:hAnsi="Times New Roman" w:cs="Times New Roman"/>
                <w:iCs/>
                <w:color w:val="auto"/>
                <w:sz w:val="20"/>
                <w:szCs w:val="20"/>
              </w:rPr>
              <w:t>0,</w:t>
            </w:r>
            <w:r w:rsidRPr="00AF0E8F">
              <w:rPr>
                <w:rFonts w:ascii="Times New Roman" w:hAnsi="Times New Roman" w:cs="Times New Roman"/>
                <w:iCs/>
                <w:color w:val="auto"/>
                <w:sz w:val="20"/>
                <w:szCs w:val="20"/>
              </w:rPr>
              <w:t>2</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w:t>
            </w:r>
            <w:r w:rsidRPr="00AF0E8F">
              <w:rPr>
                <w:rFonts w:ascii="Times New Roman" w:hAnsi="Times New Roman" w:cs="Times New Roman"/>
                <w:iCs/>
                <w:color w:val="auto"/>
                <w:sz w:val="20"/>
                <w:szCs w:val="20"/>
              </w:rPr>
              <w:t>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lastRenderedPageBreak/>
              <w:t xml:space="preserve">- </w:t>
            </w:r>
            <w:r w:rsidRPr="000B2121">
              <w:rPr>
                <w:rFonts w:ascii="Times New Roman" w:eastAsia="Calibri" w:hAnsi="Times New Roman" w:cs="Times New Roman"/>
                <w:b w:val="0"/>
                <w:snapToGrid w:val="0"/>
                <w:color w:val="auto"/>
                <w:sz w:val="20"/>
                <w:szCs w:val="20"/>
              </w:rPr>
              <w:t>Valsts autoceļu būvniecībai un tiltu remontiem</w:t>
            </w:r>
          </w:p>
        </w:tc>
        <w:tc>
          <w:tcPr>
            <w:tcW w:w="4536" w:type="dxa"/>
            <w:vAlign w:val="center"/>
          </w:tcPr>
          <w:p w:rsidR="00DF7139" w:rsidRPr="00AF0E8F"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0B2121">
              <w:rPr>
                <w:rFonts w:ascii="Times New Roman" w:eastAsia="Calibri" w:hAnsi="Times New Roman" w:cs="Times New Roman"/>
                <w:color w:val="auto"/>
                <w:sz w:val="20"/>
                <w:szCs w:val="20"/>
              </w:rPr>
              <w:t>Piešķirts papildus finansējums valsts autoceļu būvniecībai un tiltu remontiem.</w:t>
            </w:r>
          </w:p>
        </w:tc>
        <w:tc>
          <w:tcPr>
            <w:tcW w:w="851"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P.51</w:t>
            </w:r>
          </w:p>
        </w:tc>
        <w:tc>
          <w:tcPr>
            <w:tcW w:w="1275"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29</w:t>
            </w:r>
            <w:r w:rsidRPr="00AF0E8F">
              <w:rPr>
                <w:rFonts w:ascii="Times New Roman" w:hAnsi="Times New Roman" w:cs="Times New Roman"/>
                <w:color w:val="auto"/>
                <w:sz w:val="20"/>
                <w:szCs w:val="20"/>
              </w:rPr>
              <w:t>.04.2020.</w:t>
            </w:r>
          </w:p>
        </w:tc>
        <w:tc>
          <w:tcPr>
            <w:tcW w:w="1418"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75,0</w:t>
            </w:r>
          </w:p>
        </w:tc>
        <w:tc>
          <w:tcPr>
            <w:tcW w:w="1417"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-9,3</w:t>
            </w:r>
          </w:p>
        </w:tc>
        <w:tc>
          <w:tcPr>
            <w:tcW w:w="993"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-75,0</w:t>
            </w:r>
          </w:p>
        </w:tc>
        <w:tc>
          <w:tcPr>
            <w:tcW w:w="850"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-0,3</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0B2121">
              <w:rPr>
                <w:rFonts w:ascii="Times New Roman" w:eastAsia="Calibri" w:hAnsi="Times New Roman" w:cs="Times New Roman"/>
                <w:b w:val="0"/>
                <w:snapToGrid w:val="0"/>
                <w:color w:val="auto"/>
                <w:sz w:val="20"/>
                <w:szCs w:val="20"/>
              </w:rPr>
              <w:t>Atbalsts zinātnei un izglītībai</w:t>
            </w:r>
          </w:p>
        </w:tc>
        <w:tc>
          <w:tcPr>
            <w:tcW w:w="4536" w:type="dxa"/>
            <w:vAlign w:val="center"/>
          </w:tcPr>
          <w:p w:rsidR="00DF7139" w:rsidRPr="00AF0E8F"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0B2121">
              <w:rPr>
                <w:rFonts w:ascii="Times New Roman" w:eastAsia="Calibri" w:hAnsi="Times New Roman" w:cs="Times New Roman"/>
                <w:color w:val="auto"/>
                <w:sz w:val="20"/>
                <w:szCs w:val="20"/>
              </w:rPr>
              <w:t xml:space="preserve">Finansējums 5 </w:t>
            </w:r>
            <w:r>
              <w:rPr>
                <w:rFonts w:ascii="Times New Roman" w:eastAsia="Calibri" w:hAnsi="Times New Roman" w:cs="Times New Roman"/>
                <w:color w:val="auto"/>
                <w:sz w:val="20"/>
                <w:szCs w:val="20"/>
              </w:rPr>
              <w:t xml:space="preserve">milj. </w:t>
            </w:r>
            <w:proofErr w:type="spellStart"/>
            <w:r w:rsidRPr="000B2121">
              <w:rPr>
                <w:rFonts w:ascii="Times New Roman" w:eastAsia="Calibri" w:hAnsi="Times New Roman" w:cs="Times New Roman"/>
                <w:i/>
                <w:color w:val="auto"/>
                <w:sz w:val="20"/>
                <w:szCs w:val="20"/>
              </w:rPr>
              <w:t>euro</w:t>
            </w:r>
            <w:proofErr w:type="spellEnd"/>
            <w:r w:rsidRPr="000B2121">
              <w:rPr>
                <w:rFonts w:ascii="Times New Roman" w:eastAsia="Calibri" w:hAnsi="Times New Roman" w:cs="Times New Roman"/>
                <w:color w:val="auto"/>
                <w:sz w:val="20"/>
                <w:szCs w:val="20"/>
              </w:rPr>
              <w:t xml:space="preserve"> apmērā valsts pētījumu programmas izveidei cīņā ar </w:t>
            </w:r>
            <w:r w:rsidRPr="00284BE8">
              <w:rPr>
                <w:rFonts w:ascii="Times New Roman" w:eastAsia="Calibri" w:hAnsi="Times New Roman" w:cs="Times New Roman"/>
                <w:color w:val="auto"/>
                <w:sz w:val="20"/>
                <w:szCs w:val="20"/>
              </w:rPr>
              <w:t xml:space="preserve">Covid-19 </w:t>
            </w:r>
            <w:r w:rsidRPr="000B2121">
              <w:rPr>
                <w:rFonts w:ascii="Times New Roman" w:eastAsia="Calibri" w:hAnsi="Times New Roman" w:cs="Times New Roman"/>
                <w:color w:val="auto"/>
                <w:sz w:val="20"/>
                <w:szCs w:val="20"/>
              </w:rPr>
              <w:t>sekām.</w:t>
            </w:r>
            <w:r>
              <w:rPr>
                <w:rFonts w:ascii="Times New Roman" w:eastAsia="Calibri" w:hAnsi="Times New Roman" w:cs="Times New Roman"/>
                <w:color w:val="auto"/>
                <w:sz w:val="20"/>
                <w:szCs w:val="20"/>
              </w:rPr>
              <w:t xml:space="preserve"> </w:t>
            </w:r>
            <w:r w:rsidRPr="000B2121">
              <w:rPr>
                <w:rFonts w:ascii="Times New Roman" w:eastAsia="Calibri" w:hAnsi="Times New Roman" w:cs="Times New Roman"/>
                <w:color w:val="auto"/>
                <w:sz w:val="20"/>
                <w:szCs w:val="20"/>
              </w:rPr>
              <w:t>Valsts pētī</w:t>
            </w:r>
            <w:r>
              <w:rPr>
                <w:rFonts w:ascii="Times New Roman" w:eastAsia="Calibri" w:hAnsi="Times New Roman" w:cs="Times New Roman"/>
                <w:color w:val="auto"/>
                <w:sz w:val="20"/>
                <w:szCs w:val="20"/>
              </w:rPr>
              <w:t>jumu programma Covid-19 izpētei, t</w:t>
            </w:r>
            <w:r w:rsidRPr="000B2121">
              <w:rPr>
                <w:rFonts w:ascii="Times New Roman" w:eastAsia="Calibri" w:hAnsi="Times New Roman" w:cs="Times New Roman"/>
                <w:color w:val="auto"/>
                <w:sz w:val="20"/>
                <w:szCs w:val="20"/>
              </w:rPr>
              <w:t>irgus orientēt</w:t>
            </w:r>
            <w:r>
              <w:rPr>
                <w:rFonts w:ascii="Times New Roman" w:eastAsia="Calibri" w:hAnsi="Times New Roman" w:cs="Times New Roman"/>
                <w:color w:val="auto"/>
                <w:sz w:val="20"/>
                <w:szCs w:val="20"/>
              </w:rPr>
              <w:t>o pētījumu programma 2021.gadam, a</w:t>
            </w:r>
            <w:r w:rsidRPr="000B2121">
              <w:rPr>
                <w:rFonts w:ascii="Times New Roman" w:eastAsia="Calibri" w:hAnsi="Times New Roman" w:cs="Times New Roman"/>
                <w:color w:val="auto"/>
                <w:sz w:val="20"/>
                <w:szCs w:val="20"/>
              </w:rPr>
              <w:t>ugs</w:t>
            </w:r>
            <w:r>
              <w:rPr>
                <w:rFonts w:ascii="Times New Roman" w:eastAsia="Calibri" w:hAnsi="Times New Roman" w:cs="Times New Roman"/>
                <w:color w:val="auto"/>
                <w:sz w:val="20"/>
                <w:szCs w:val="20"/>
              </w:rPr>
              <w:t xml:space="preserve">tākās izglītības </w:t>
            </w:r>
            <w:proofErr w:type="spellStart"/>
            <w:r>
              <w:rPr>
                <w:rFonts w:ascii="Times New Roman" w:eastAsia="Calibri" w:hAnsi="Times New Roman" w:cs="Times New Roman"/>
                <w:color w:val="auto"/>
                <w:sz w:val="20"/>
                <w:szCs w:val="20"/>
              </w:rPr>
              <w:t>digitalizācija</w:t>
            </w:r>
            <w:proofErr w:type="spellEnd"/>
            <w:r>
              <w:rPr>
                <w:rFonts w:ascii="Times New Roman" w:eastAsia="Calibri" w:hAnsi="Times New Roman" w:cs="Times New Roman"/>
                <w:color w:val="auto"/>
                <w:sz w:val="20"/>
                <w:szCs w:val="20"/>
              </w:rPr>
              <w:t>, p</w:t>
            </w:r>
            <w:r w:rsidRPr="000B2121">
              <w:rPr>
                <w:rFonts w:ascii="Times New Roman" w:eastAsia="Calibri" w:hAnsi="Times New Roman" w:cs="Times New Roman"/>
                <w:color w:val="auto"/>
                <w:sz w:val="20"/>
                <w:szCs w:val="20"/>
              </w:rPr>
              <w:t>apildu finansējums zinātnei, augstskolām un citiem IZM vienreizējiem, terminētiem pasākumiem.</w:t>
            </w:r>
          </w:p>
        </w:tc>
        <w:tc>
          <w:tcPr>
            <w:tcW w:w="851"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P</w:t>
            </w:r>
            <w:r w:rsidRPr="00AF0E8F">
              <w:rPr>
                <w:rFonts w:ascii="Times New Roman" w:eastAsia="Calibri" w:hAnsi="Times New Roman" w:cs="Times New Roman"/>
                <w:color w:val="auto"/>
                <w:sz w:val="20"/>
                <w:szCs w:val="20"/>
              </w:rPr>
              <w:t>.</w:t>
            </w:r>
            <w:r>
              <w:rPr>
                <w:rFonts w:ascii="Times New Roman" w:eastAsia="Calibri" w:hAnsi="Times New Roman" w:cs="Times New Roman"/>
                <w:color w:val="auto"/>
                <w:sz w:val="20"/>
                <w:szCs w:val="20"/>
              </w:rPr>
              <w:t>2</w:t>
            </w:r>
          </w:p>
        </w:tc>
        <w:tc>
          <w:tcPr>
            <w:tcW w:w="1275"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05</w:t>
            </w:r>
            <w:r w:rsidRPr="00AF0E8F">
              <w:rPr>
                <w:rFonts w:ascii="Times New Roman" w:hAnsi="Times New Roman" w:cs="Times New Roman"/>
                <w:color w:val="auto"/>
                <w:sz w:val="20"/>
                <w:szCs w:val="20"/>
              </w:rPr>
              <w:t>.0</w:t>
            </w:r>
            <w:r>
              <w:rPr>
                <w:rFonts w:ascii="Times New Roman" w:hAnsi="Times New Roman" w:cs="Times New Roman"/>
                <w:color w:val="auto"/>
                <w:sz w:val="20"/>
                <w:szCs w:val="20"/>
              </w:rPr>
              <w:t>5</w:t>
            </w:r>
            <w:r w:rsidRPr="00AF0E8F">
              <w:rPr>
                <w:rFonts w:ascii="Times New Roman" w:hAnsi="Times New Roman" w:cs="Times New Roman"/>
                <w:color w:val="auto"/>
                <w:sz w:val="20"/>
                <w:szCs w:val="20"/>
              </w:rPr>
              <w:t>.2020.</w:t>
            </w:r>
            <w:r>
              <w:rPr>
                <w:rFonts w:ascii="Times New Roman" w:hAnsi="Times New Roman" w:cs="Times New Roman"/>
                <w:color w:val="auto"/>
                <w:sz w:val="20"/>
                <w:szCs w:val="20"/>
              </w:rPr>
              <w:t xml:space="preserve"> 02.06.2020.</w:t>
            </w:r>
          </w:p>
        </w:tc>
        <w:tc>
          <w:tcPr>
            <w:tcW w:w="1418"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29,1</w:t>
            </w:r>
          </w:p>
        </w:tc>
        <w:tc>
          <w:tcPr>
            <w:tcW w:w="1417"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-5,0</w:t>
            </w:r>
          </w:p>
        </w:tc>
        <w:tc>
          <w:tcPr>
            <w:tcW w:w="993"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-15,1</w:t>
            </w:r>
          </w:p>
        </w:tc>
        <w:tc>
          <w:tcPr>
            <w:tcW w:w="850"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-14,0</w:t>
            </w:r>
          </w:p>
        </w:tc>
        <w:tc>
          <w:tcPr>
            <w:tcW w:w="709"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-0,1</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0B2121">
              <w:rPr>
                <w:rFonts w:ascii="Times New Roman" w:eastAsia="Calibri" w:hAnsi="Times New Roman" w:cs="Times New Roman"/>
                <w:b w:val="0"/>
                <w:snapToGrid w:val="0"/>
                <w:color w:val="auto"/>
                <w:sz w:val="20"/>
                <w:szCs w:val="20"/>
              </w:rPr>
              <w:t>Atbalsts pasažieru un kravu pārvadātājiem</w:t>
            </w:r>
          </w:p>
        </w:tc>
        <w:tc>
          <w:tcPr>
            <w:tcW w:w="4536" w:type="dxa"/>
            <w:vAlign w:val="center"/>
          </w:tcPr>
          <w:p w:rsidR="00DF7139" w:rsidRPr="00AF0E8F" w:rsidRDefault="00DF7139" w:rsidP="0096596A">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570EE">
              <w:rPr>
                <w:rFonts w:ascii="Times New Roman" w:eastAsia="Calibri" w:hAnsi="Times New Roman" w:cs="Times New Roman"/>
                <w:color w:val="auto"/>
                <w:sz w:val="20"/>
                <w:szCs w:val="20"/>
              </w:rPr>
              <w:t xml:space="preserve">Lai kompensētu zaudējumus, kas radušies reģionālās nozīmes pārvadājumos ar autobusiem un vilcieniem sakarā ar Covid-19 izplatības ierobežošanai noteiktajiem drošības un sociālās </w:t>
            </w:r>
            <w:proofErr w:type="spellStart"/>
            <w:r w:rsidRPr="003570EE">
              <w:rPr>
                <w:rFonts w:ascii="Times New Roman" w:eastAsia="Calibri" w:hAnsi="Times New Roman" w:cs="Times New Roman"/>
                <w:color w:val="auto"/>
                <w:sz w:val="20"/>
                <w:szCs w:val="20"/>
              </w:rPr>
              <w:t>distancēšanās</w:t>
            </w:r>
            <w:proofErr w:type="spellEnd"/>
            <w:r w:rsidRPr="003570EE">
              <w:rPr>
                <w:rFonts w:ascii="Times New Roman" w:eastAsia="Calibri" w:hAnsi="Times New Roman" w:cs="Times New Roman"/>
                <w:color w:val="auto"/>
                <w:sz w:val="20"/>
                <w:szCs w:val="20"/>
              </w:rPr>
              <w:t xml:space="preserve"> pasākumiem sabiedriskajā transportā ārkārtējās situācijas laikā, kā arī ārkārtē</w:t>
            </w:r>
            <w:r>
              <w:rPr>
                <w:rFonts w:ascii="Times New Roman" w:eastAsia="Calibri" w:hAnsi="Times New Roman" w:cs="Times New Roman"/>
                <w:color w:val="auto"/>
                <w:sz w:val="20"/>
                <w:szCs w:val="20"/>
              </w:rPr>
              <w:t>jās situācijas seku mazināšanai</w:t>
            </w:r>
            <w:r w:rsidRPr="003570EE">
              <w:rPr>
                <w:rFonts w:ascii="Times New Roman" w:eastAsia="Calibri" w:hAnsi="Times New Roman" w:cs="Times New Roman"/>
                <w:color w:val="auto"/>
                <w:sz w:val="20"/>
                <w:szCs w:val="20"/>
              </w:rPr>
              <w:t>.</w:t>
            </w:r>
            <w:r>
              <w:rPr>
                <w:rFonts w:ascii="Times New Roman" w:eastAsia="Calibri" w:hAnsi="Times New Roman" w:cs="Times New Roman"/>
                <w:color w:val="auto"/>
                <w:sz w:val="20"/>
                <w:szCs w:val="20"/>
              </w:rPr>
              <w:t xml:space="preserve"> </w:t>
            </w:r>
            <w:r w:rsidRPr="003570EE">
              <w:rPr>
                <w:rFonts w:ascii="Times New Roman" w:eastAsia="Calibri" w:hAnsi="Times New Roman" w:cs="Times New Roman"/>
                <w:color w:val="auto"/>
                <w:sz w:val="20"/>
                <w:szCs w:val="20"/>
              </w:rPr>
              <w:t>Lai kompensētu izdevumus saistībā ar pasažieru pārvadājumu pakalpojuma nodrošināšanu personām, kas ierodas no ārvalstīm ar repatriācijas reisiem.</w:t>
            </w:r>
            <w:r>
              <w:rPr>
                <w:rFonts w:ascii="Times New Roman" w:eastAsia="Calibri" w:hAnsi="Times New Roman" w:cs="Times New Roman"/>
                <w:color w:val="auto"/>
                <w:sz w:val="20"/>
                <w:szCs w:val="20"/>
              </w:rPr>
              <w:t xml:space="preserve"> </w:t>
            </w:r>
            <w:r w:rsidRPr="003570EE">
              <w:rPr>
                <w:rFonts w:ascii="Times New Roman" w:eastAsia="Calibri" w:hAnsi="Times New Roman" w:cs="Times New Roman"/>
                <w:color w:val="auto"/>
                <w:sz w:val="20"/>
                <w:szCs w:val="20"/>
              </w:rPr>
              <w:t xml:space="preserve">Lai nodrošinātu normatīvajos aktos noteikto izdevumu kompensēšanu par valsts publiskās lietošanas dzelzceļa infrastruktūras izmantošanu dzelzceļa pasažieru pārvadājumiem, ko sniedz saistībā ar </w:t>
            </w:r>
            <w:r>
              <w:rPr>
                <w:rFonts w:ascii="Times New Roman" w:eastAsia="Calibri" w:hAnsi="Times New Roman" w:cs="Times New Roman"/>
                <w:color w:val="auto"/>
                <w:sz w:val="20"/>
                <w:szCs w:val="20"/>
              </w:rPr>
              <w:t xml:space="preserve">sabiedrisko pakalpojumu līgumu </w:t>
            </w:r>
            <w:r w:rsidRPr="003570EE">
              <w:rPr>
                <w:rFonts w:ascii="Times New Roman" w:eastAsia="Calibri" w:hAnsi="Times New Roman" w:cs="Times New Roman"/>
                <w:color w:val="auto"/>
                <w:sz w:val="20"/>
                <w:szCs w:val="20"/>
              </w:rPr>
              <w:t>.</w:t>
            </w:r>
            <w:r>
              <w:rPr>
                <w:rFonts w:ascii="Times New Roman" w:eastAsia="Calibri" w:hAnsi="Times New Roman" w:cs="Times New Roman"/>
                <w:color w:val="auto"/>
                <w:sz w:val="20"/>
                <w:szCs w:val="20"/>
              </w:rPr>
              <w:t xml:space="preserve"> </w:t>
            </w:r>
            <w:r w:rsidRPr="003570EE">
              <w:rPr>
                <w:rFonts w:ascii="Times New Roman" w:eastAsia="Calibri" w:hAnsi="Times New Roman" w:cs="Times New Roman"/>
                <w:color w:val="auto"/>
                <w:sz w:val="20"/>
                <w:szCs w:val="20"/>
              </w:rPr>
              <w:t>Lai nodrošinātu normatīvajos aktos noteikto infrastruktūras pārvaldītāja fina</w:t>
            </w:r>
            <w:r>
              <w:rPr>
                <w:rFonts w:ascii="Times New Roman" w:eastAsia="Calibri" w:hAnsi="Times New Roman" w:cs="Times New Roman"/>
                <w:color w:val="auto"/>
                <w:sz w:val="20"/>
                <w:szCs w:val="20"/>
              </w:rPr>
              <w:t xml:space="preserve">nšu līdzsvara avansa maksājumu </w:t>
            </w:r>
            <w:r w:rsidRPr="003570EE">
              <w:rPr>
                <w:rFonts w:ascii="Times New Roman" w:eastAsia="Calibri" w:hAnsi="Times New Roman" w:cs="Times New Roman"/>
                <w:color w:val="auto"/>
                <w:sz w:val="20"/>
                <w:szCs w:val="20"/>
              </w:rPr>
              <w:t>.</w:t>
            </w:r>
            <w:r>
              <w:rPr>
                <w:rFonts w:ascii="Times New Roman" w:eastAsia="Calibri" w:hAnsi="Times New Roman" w:cs="Times New Roman"/>
                <w:color w:val="auto"/>
                <w:sz w:val="20"/>
                <w:szCs w:val="20"/>
              </w:rPr>
              <w:t xml:space="preserve"> VAS "Latvijas dzelzceļš</w:t>
            </w:r>
            <w:r w:rsidRPr="003570EE">
              <w:rPr>
                <w:rFonts w:ascii="Times New Roman" w:eastAsia="Calibri" w:hAnsi="Times New Roman" w:cs="Times New Roman"/>
                <w:color w:val="auto"/>
                <w:sz w:val="20"/>
                <w:szCs w:val="20"/>
              </w:rPr>
              <w:t>" pamatkapitāla palielināšana, ieguldot tajā finanšu līdzekļus 32</w:t>
            </w:r>
            <w:r w:rsidR="0096596A" w:rsidRPr="00284BE8">
              <w:rPr>
                <w:rFonts w:ascii="Times New Roman" w:eastAsia="Calibri" w:hAnsi="Times New Roman" w:cs="Times New Roman"/>
                <w:b/>
                <w:snapToGrid w:val="0"/>
                <w:color w:val="auto"/>
                <w:sz w:val="20"/>
                <w:szCs w:val="20"/>
              </w:rPr>
              <w:t> </w:t>
            </w:r>
            <w:r w:rsidRPr="003570EE">
              <w:rPr>
                <w:rFonts w:ascii="Times New Roman" w:eastAsia="Calibri" w:hAnsi="Times New Roman" w:cs="Times New Roman"/>
                <w:color w:val="auto"/>
                <w:sz w:val="20"/>
                <w:szCs w:val="20"/>
              </w:rPr>
              <w:t>422</w:t>
            </w:r>
            <w:r w:rsidR="0096596A" w:rsidRPr="00284BE8">
              <w:rPr>
                <w:rFonts w:ascii="Times New Roman" w:eastAsia="Calibri" w:hAnsi="Times New Roman" w:cs="Times New Roman"/>
                <w:b/>
                <w:snapToGrid w:val="0"/>
                <w:color w:val="auto"/>
                <w:sz w:val="20"/>
                <w:szCs w:val="20"/>
              </w:rPr>
              <w:t> </w:t>
            </w:r>
            <w:r w:rsidRPr="003570EE">
              <w:rPr>
                <w:rFonts w:ascii="Times New Roman" w:eastAsia="Calibri" w:hAnsi="Times New Roman" w:cs="Times New Roman"/>
                <w:color w:val="auto"/>
                <w:sz w:val="20"/>
                <w:szCs w:val="20"/>
              </w:rPr>
              <w:t xml:space="preserve">016 </w:t>
            </w:r>
            <w:proofErr w:type="spellStart"/>
            <w:r w:rsidRPr="00720AC6">
              <w:rPr>
                <w:rFonts w:ascii="Times New Roman" w:eastAsia="Calibri" w:hAnsi="Times New Roman" w:cs="Times New Roman"/>
                <w:i/>
                <w:color w:val="auto"/>
                <w:sz w:val="20"/>
                <w:szCs w:val="20"/>
              </w:rPr>
              <w:t>euro</w:t>
            </w:r>
            <w:proofErr w:type="spellEnd"/>
            <w:r w:rsidRPr="003570EE">
              <w:rPr>
                <w:rFonts w:ascii="Times New Roman" w:eastAsia="Calibri" w:hAnsi="Times New Roman" w:cs="Times New Roman"/>
                <w:color w:val="auto"/>
                <w:sz w:val="20"/>
                <w:szCs w:val="20"/>
              </w:rPr>
              <w:t xml:space="preserve"> apmērā publiskās lietošanas dzelzceļa infrastruktūras </w:t>
            </w:r>
            <w:r w:rsidRPr="003570EE">
              <w:rPr>
                <w:rFonts w:ascii="Times New Roman" w:eastAsia="Calibri" w:hAnsi="Times New Roman" w:cs="Times New Roman"/>
                <w:color w:val="auto"/>
                <w:sz w:val="20"/>
                <w:szCs w:val="20"/>
              </w:rPr>
              <w:lastRenderedPageBreak/>
              <w:t>uzturēšanai un attīstībai, ko konvertēt akcijās, lai nodrošinātu finanšu situācijas stabilizēšanu nozarē.</w:t>
            </w:r>
          </w:p>
        </w:tc>
        <w:tc>
          <w:tcPr>
            <w:tcW w:w="851"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lastRenderedPageBreak/>
              <w:t>D.3</w:t>
            </w:r>
            <w:r>
              <w:rPr>
                <w:rFonts w:ascii="Times New Roman" w:eastAsia="Calibri" w:hAnsi="Times New Roman" w:cs="Times New Roman"/>
                <w:color w:val="auto"/>
                <w:sz w:val="20"/>
                <w:szCs w:val="20"/>
              </w:rPr>
              <w:t>, D.7, D.9</w:t>
            </w:r>
          </w:p>
        </w:tc>
        <w:tc>
          <w:tcPr>
            <w:tcW w:w="1275"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sidRPr="00AF0E8F">
              <w:rPr>
                <w:rFonts w:ascii="Times New Roman" w:hAnsi="Times New Roman" w:cs="Times New Roman"/>
                <w:color w:val="auto"/>
                <w:sz w:val="20"/>
                <w:szCs w:val="20"/>
              </w:rPr>
              <w:t>1</w:t>
            </w:r>
            <w:r>
              <w:rPr>
                <w:rFonts w:ascii="Times New Roman" w:hAnsi="Times New Roman" w:cs="Times New Roman"/>
                <w:color w:val="auto"/>
                <w:sz w:val="20"/>
                <w:szCs w:val="20"/>
              </w:rPr>
              <w:t>4</w:t>
            </w:r>
            <w:r w:rsidRPr="00AF0E8F">
              <w:rPr>
                <w:rFonts w:ascii="Times New Roman" w:hAnsi="Times New Roman" w:cs="Times New Roman"/>
                <w:color w:val="auto"/>
                <w:sz w:val="20"/>
                <w:szCs w:val="20"/>
              </w:rPr>
              <w:t>.0</w:t>
            </w:r>
            <w:r>
              <w:rPr>
                <w:rFonts w:ascii="Times New Roman" w:hAnsi="Times New Roman" w:cs="Times New Roman"/>
                <w:color w:val="auto"/>
                <w:sz w:val="20"/>
                <w:szCs w:val="20"/>
              </w:rPr>
              <w:t>7</w:t>
            </w:r>
            <w:r w:rsidRPr="00AF0E8F">
              <w:rPr>
                <w:rFonts w:ascii="Times New Roman" w:hAnsi="Times New Roman" w:cs="Times New Roman"/>
                <w:color w:val="auto"/>
                <w:sz w:val="20"/>
                <w:szCs w:val="20"/>
              </w:rPr>
              <w:t>.2020.</w:t>
            </w:r>
          </w:p>
        </w:tc>
        <w:tc>
          <w:tcPr>
            <w:tcW w:w="1418"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66,0</w:t>
            </w:r>
          </w:p>
        </w:tc>
        <w:tc>
          <w:tcPr>
            <w:tcW w:w="1417"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-58,9</w:t>
            </w:r>
          </w:p>
        </w:tc>
        <w:tc>
          <w:tcPr>
            <w:tcW w:w="993"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-66,0</w:t>
            </w:r>
          </w:p>
        </w:tc>
        <w:tc>
          <w:tcPr>
            <w:tcW w:w="850"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-0,2</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CD63CE">
              <w:rPr>
                <w:rFonts w:ascii="Times New Roman" w:eastAsia="Calibri" w:hAnsi="Times New Roman" w:cs="Times New Roman"/>
                <w:b w:val="0"/>
                <w:snapToGrid w:val="0"/>
                <w:color w:val="auto"/>
                <w:sz w:val="20"/>
                <w:szCs w:val="20"/>
              </w:rPr>
              <w:t>Atbalsts sporta nozarei</w:t>
            </w:r>
          </w:p>
        </w:tc>
        <w:tc>
          <w:tcPr>
            <w:tcW w:w="4536" w:type="dxa"/>
            <w:vAlign w:val="center"/>
          </w:tcPr>
          <w:p w:rsidR="00DF7139" w:rsidRPr="00AF0E8F"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CD63CE">
              <w:rPr>
                <w:rFonts w:ascii="Times New Roman" w:eastAsia="Calibri" w:hAnsi="Times New Roman" w:cs="Times New Roman"/>
                <w:color w:val="auto"/>
                <w:sz w:val="20"/>
                <w:szCs w:val="20"/>
              </w:rPr>
              <w:t>Lai mazinātu Covid-19 krīzes radīto negatīvo seku ietekmi uz sporta</w:t>
            </w:r>
            <w:r>
              <w:rPr>
                <w:rFonts w:ascii="Times New Roman" w:eastAsia="Calibri" w:hAnsi="Times New Roman" w:cs="Times New Roman"/>
                <w:color w:val="auto"/>
                <w:sz w:val="20"/>
                <w:szCs w:val="20"/>
              </w:rPr>
              <w:t xml:space="preserve"> nozari, tai skaitā 2,0 milj. </w:t>
            </w:r>
            <w:proofErr w:type="spellStart"/>
            <w:r w:rsidRPr="00CD63CE">
              <w:rPr>
                <w:rFonts w:ascii="Times New Roman" w:eastAsia="Calibri" w:hAnsi="Times New Roman" w:cs="Times New Roman"/>
                <w:i/>
                <w:color w:val="auto"/>
                <w:sz w:val="20"/>
                <w:szCs w:val="20"/>
              </w:rPr>
              <w:t>euro</w:t>
            </w:r>
            <w:proofErr w:type="spellEnd"/>
            <w:r>
              <w:rPr>
                <w:rFonts w:ascii="Times New Roman" w:eastAsia="Calibri" w:hAnsi="Times New Roman" w:cs="Times New Roman"/>
                <w:color w:val="auto"/>
                <w:sz w:val="20"/>
                <w:szCs w:val="20"/>
              </w:rPr>
              <w:t xml:space="preserve"> LOK, 1,9 milj. </w:t>
            </w:r>
            <w:proofErr w:type="spellStart"/>
            <w:r w:rsidRPr="00CD63CE">
              <w:rPr>
                <w:rFonts w:ascii="Times New Roman" w:eastAsia="Calibri" w:hAnsi="Times New Roman" w:cs="Times New Roman"/>
                <w:i/>
                <w:color w:val="auto"/>
                <w:sz w:val="20"/>
                <w:szCs w:val="20"/>
              </w:rPr>
              <w:t>euro</w:t>
            </w:r>
            <w:proofErr w:type="spellEnd"/>
            <w:r w:rsidRPr="00CD63CE">
              <w:rPr>
                <w:rFonts w:ascii="Times New Roman" w:eastAsia="Calibri" w:hAnsi="Times New Roman" w:cs="Times New Roman"/>
                <w:color w:val="auto"/>
                <w:sz w:val="20"/>
                <w:szCs w:val="20"/>
              </w:rPr>
              <w:t xml:space="preserve"> Latvija</w:t>
            </w:r>
            <w:r>
              <w:rPr>
                <w:rFonts w:ascii="Times New Roman" w:eastAsia="Calibri" w:hAnsi="Times New Roman" w:cs="Times New Roman"/>
                <w:color w:val="auto"/>
                <w:sz w:val="20"/>
                <w:szCs w:val="20"/>
              </w:rPr>
              <w:t>s Sporta federāciju padomei u.c.</w:t>
            </w:r>
          </w:p>
        </w:tc>
        <w:tc>
          <w:tcPr>
            <w:tcW w:w="851"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D.</w:t>
            </w:r>
            <w:r>
              <w:rPr>
                <w:rFonts w:ascii="Times New Roman" w:eastAsia="Calibri" w:hAnsi="Times New Roman" w:cs="Times New Roman"/>
                <w:color w:val="auto"/>
                <w:sz w:val="20"/>
                <w:szCs w:val="20"/>
              </w:rPr>
              <w:t>7</w:t>
            </w:r>
          </w:p>
        </w:tc>
        <w:tc>
          <w:tcPr>
            <w:tcW w:w="1275"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30</w:t>
            </w:r>
            <w:r w:rsidRPr="00AF0E8F">
              <w:rPr>
                <w:rFonts w:ascii="Times New Roman" w:hAnsi="Times New Roman" w:cs="Times New Roman"/>
                <w:color w:val="auto"/>
                <w:sz w:val="20"/>
                <w:szCs w:val="20"/>
              </w:rPr>
              <w:t>.0</w:t>
            </w:r>
            <w:r>
              <w:rPr>
                <w:rFonts w:ascii="Times New Roman" w:hAnsi="Times New Roman" w:cs="Times New Roman"/>
                <w:color w:val="auto"/>
                <w:sz w:val="20"/>
                <w:szCs w:val="20"/>
              </w:rPr>
              <w:t>6</w:t>
            </w:r>
            <w:r w:rsidRPr="00AF0E8F">
              <w:rPr>
                <w:rFonts w:ascii="Times New Roman" w:hAnsi="Times New Roman" w:cs="Times New Roman"/>
                <w:color w:val="auto"/>
                <w:sz w:val="20"/>
                <w:szCs w:val="20"/>
              </w:rPr>
              <w:t>.2020.</w:t>
            </w:r>
          </w:p>
        </w:tc>
        <w:tc>
          <w:tcPr>
            <w:tcW w:w="1418"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5,0</w:t>
            </w:r>
          </w:p>
        </w:tc>
        <w:tc>
          <w:tcPr>
            <w:tcW w:w="1417"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-2,5</w:t>
            </w:r>
          </w:p>
        </w:tc>
        <w:tc>
          <w:tcPr>
            <w:tcW w:w="993"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-5,0</w:t>
            </w:r>
          </w:p>
        </w:tc>
        <w:tc>
          <w:tcPr>
            <w:tcW w:w="850"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CD63CE">
              <w:rPr>
                <w:rFonts w:ascii="Times New Roman" w:eastAsia="Calibri" w:hAnsi="Times New Roman" w:cs="Times New Roman"/>
                <w:b w:val="0"/>
                <w:snapToGrid w:val="0"/>
                <w:color w:val="auto"/>
                <w:sz w:val="20"/>
                <w:szCs w:val="20"/>
              </w:rPr>
              <w:t>Demogrāfija</w:t>
            </w:r>
          </w:p>
        </w:tc>
        <w:tc>
          <w:tcPr>
            <w:tcW w:w="4536" w:type="dxa"/>
            <w:vAlign w:val="center"/>
          </w:tcPr>
          <w:p w:rsidR="00DF7139" w:rsidRPr="00AF0E8F"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Demogrāfijas atbalsta pasākumiem.</w:t>
            </w:r>
          </w:p>
        </w:tc>
        <w:tc>
          <w:tcPr>
            <w:tcW w:w="851"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D.</w:t>
            </w:r>
            <w:r>
              <w:rPr>
                <w:rFonts w:ascii="Times New Roman" w:eastAsia="Calibri" w:hAnsi="Times New Roman" w:cs="Times New Roman"/>
                <w:color w:val="auto"/>
                <w:sz w:val="20"/>
                <w:szCs w:val="20"/>
              </w:rPr>
              <w:t>7</w:t>
            </w:r>
          </w:p>
        </w:tc>
        <w:tc>
          <w:tcPr>
            <w:tcW w:w="1275"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r>
              <w:rPr>
                <w:rFonts w:ascii="Times New Roman" w:hAnsi="Times New Roman" w:cs="Times New Roman"/>
                <w:color w:val="auto"/>
                <w:sz w:val="20"/>
                <w:szCs w:val="20"/>
              </w:rPr>
              <w:t>/konceptuāli</w:t>
            </w:r>
          </w:p>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02</w:t>
            </w:r>
            <w:r w:rsidRPr="00AF0E8F">
              <w:rPr>
                <w:rFonts w:ascii="Times New Roman" w:hAnsi="Times New Roman" w:cs="Times New Roman"/>
                <w:color w:val="auto"/>
                <w:sz w:val="20"/>
                <w:szCs w:val="20"/>
              </w:rPr>
              <w:t>.0</w:t>
            </w:r>
            <w:r>
              <w:rPr>
                <w:rFonts w:ascii="Times New Roman" w:hAnsi="Times New Roman" w:cs="Times New Roman"/>
                <w:color w:val="auto"/>
                <w:sz w:val="20"/>
                <w:szCs w:val="20"/>
              </w:rPr>
              <w:t>6</w:t>
            </w:r>
            <w:r w:rsidRPr="00AF0E8F">
              <w:rPr>
                <w:rFonts w:ascii="Times New Roman" w:hAnsi="Times New Roman" w:cs="Times New Roman"/>
                <w:color w:val="auto"/>
                <w:sz w:val="20"/>
                <w:szCs w:val="20"/>
              </w:rPr>
              <w:t>.2020.</w:t>
            </w:r>
          </w:p>
        </w:tc>
        <w:tc>
          <w:tcPr>
            <w:tcW w:w="1418"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15,0</w:t>
            </w:r>
          </w:p>
        </w:tc>
        <w:tc>
          <w:tcPr>
            <w:tcW w:w="1417"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850"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-15,0</w:t>
            </w:r>
          </w:p>
        </w:tc>
        <w:tc>
          <w:tcPr>
            <w:tcW w:w="709"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52279B">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CD63CE">
              <w:rPr>
                <w:rFonts w:ascii="Times New Roman" w:eastAsia="Calibri" w:hAnsi="Times New Roman" w:cs="Times New Roman"/>
                <w:b w:val="0"/>
                <w:snapToGrid w:val="0"/>
                <w:color w:val="auto"/>
                <w:sz w:val="20"/>
                <w:szCs w:val="20"/>
              </w:rPr>
              <w:t>I</w:t>
            </w:r>
            <w:r w:rsidR="0052279B">
              <w:rPr>
                <w:rFonts w:ascii="Times New Roman" w:eastAsia="Calibri" w:hAnsi="Times New Roman" w:cs="Times New Roman"/>
                <w:b w:val="0"/>
                <w:snapToGrid w:val="0"/>
                <w:color w:val="auto"/>
                <w:sz w:val="20"/>
                <w:szCs w:val="20"/>
              </w:rPr>
              <w:t xml:space="preserve">EM </w:t>
            </w:r>
            <w:r w:rsidRPr="00CD63CE">
              <w:rPr>
                <w:rFonts w:ascii="Times New Roman" w:eastAsia="Calibri" w:hAnsi="Times New Roman" w:cs="Times New Roman"/>
                <w:b w:val="0"/>
                <w:snapToGrid w:val="0"/>
                <w:color w:val="auto"/>
                <w:sz w:val="20"/>
                <w:szCs w:val="20"/>
              </w:rPr>
              <w:t>padotības iestādēm un amatpersonām</w:t>
            </w:r>
          </w:p>
        </w:tc>
        <w:tc>
          <w:tcPr>
            <w:tcW w:w="4536" w:type="dxa"/>
            <w:vAlign w:val="center"/>
          </w:tcPr>
          <w:p w:rsidR="00DF7139" w:rsidRPr="00AF0E8F" w:rsidRDefault="0052279B"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2279B">
              <w:rPr>
                <w:rFonts w:ascii="Times New Roman" w:eastAsia="Calibri" w:hAnsi="Times New Roman" w:cs="Times New Roman"/>
                <w:snapToGrid w:val="0"/>
                <w:color w:val="auto"/>
                <w:sz w:val="20"/>
                <w:szCs w:val="20"/>
              </w:rPr>
              <w:t>IEM</w:t>
            </w:r>
            <w:r w:rsidRPr="0052279B">
              <w:rPr>
                <w:rFonts w:ascii="Times New Roman" w:eastAsia="Calibri" w:hAnsi="Times New Roman" w:cs="Times New Roman"/>
                <w:color w:val="auto"/>
                <w:sz w:val="20"/>
                <w:szCs w:val="20"/>
              </w:rPr>
              <w:t xml:space="preserve"> </w:t>
            </w:r>
            <w:r w:rsidR="00DF7139" w:rsidRPr="00CD63CE">
              <w:rPr>
                <w:rFonts w:ascii="Times New Roman" w:eastAsia="Calibri" w:hAnsi="Times New Roman" w:cs="Times New Roman"/>
                <w:color w:val="auto"/>
                <w:sz w:val="20"/>
                <w:szCs w:val="20"/>
              </w:rPr>
              <w:t>Informācijas centram</w:t>
            </w:r>
            <w:r w:rsidR="00DF7139">
              <w:rPr>
                <w:rFonts w:ascii="Times New Roman" w:eastAsia="Calibri" w:hAnsi="Times New Roman" w:cs="Times New Roman"/>
                <w:color w:val="auto"/>
                <w:sz w:val="20"/>
                <w:szCs w:val="20"/>
              </w:rPr>
              <w:t xml:space="preserve">. </w:t>
            </w:r>
            <w:r w:rsidR="00DF7139" w:rsidRPr="00CD63CE">
              <w:rPr>
                <w:rFonts w:ascii="Times New Roman" w:eastAsia="Calibri" w:hAnsi="Times New Roman" w:cs="Times New Roman"/>
                <w:color w:val="auto"/>
                <w:sz w:val="20"/>
                <w:szCs w:val="20"/>
              </w:rPr>
              <w:t xml:space="preserve">Formastērpu iegāde </w:t>
            </w:r>
            <w:proofErr w:type="spellStart"/>
            <w:r w:rsidR="00DF7139" w:rsidRPr="00CD63CE">
              <w:rPr>
                <w:rFonts w:ascii="Times New Roman" w:eastAsia="Calibri" w:hAnsi="Times New Roman" w:cs="Times New Roman"/>
                <w:color w:val="auto"/>
                <w:sz w:val="20"/>
                <w:szCs w:val="20"/>
              </w:rPr>
              <w:t>robežs</w:t>
            </w:r>
            <w:r w:rsidR="00EE6214">
              <w:rPr>
                <w:rFonts w:ascii="Times New Roman" w:eastAsia="Calibri" w:hAnsi="Times New Roman" w:cs="Times New Roman"/>
                <w:color w:val="auto"/>
                <w:sz w:val="20"/>
                <w:szCs w:val="20"/>
              </w:rPr>
              <w:t>i</w:t>
            </w:r>
            <w:r w:rsidR="00DF7139" w:rsidRPr="00CD63CE">
              <w:rPr>
                <w:rFonts w:ascii="Times New Roman" w:eastAsia="Calibri" w:hAnsi="Times New Roman" w:cs="Times New Roman"/>
                <w:color w:val="auto"/>
                <w:sz w:val="20"/>
                <w:szCs w:val="20"/>
              </w:rPr>
              <w:t>ardzei</w:t>
            </w:r>
            <w:proofErr w:type="spellEnd"/>
            <w:r w:rsidR="00DF7139" w:rsidRPr="00CD63CE">
              <w:rPr>
                <w:rFonts w:ascii="Times New Roman" w:eastAsia="Calibri" w:hAnsi="Times New Roman" w:cs="Times New Roman"/>
                <w:color w:val="auto"/>
                <w:sz w:val="20"/>
                <w:szCs w:val="20"/>
              </w:rPr>
              <w:t>, ugunsdzēsējiem</w:t>
            </w:r>
            <w:r w:rsidR="00DF7139">
              <w:rPr>
                <w:rFonts w:ascii="Times New Roman" w:eastAsia="Calibri" w:hAnsi="Times New Roman" w:cs="Times New Roman"/>
                <w:color w:val="auto"/>
                <w:sz w:val="20"/>
                <w:szCs w:val="20"/>
              </w:rPr>
              <w:t>.</w:t>
            </w:r>
          </w:p>
        </w:tc>
        <w:tc>
          <w:tcPr>
            <w:tcW w:w="851"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D.</w:t>
            </w:r>
            <w:r>
              <w:rPr>
                <w:rFonts w:ascii="Times New Roman" w:eastAsia="Calibri" w:hAnsi="Times New Roman" w:cs="Times New Roman"/>
                <w:color w:val="auto"/>
                <w:sz w:val="20"/>
                <w:szCs w:val="20"/>
              </w:rPr>
              <w:t>7, P.2</w:t>
            </w:r>
          </w:p>
        </w:tc>
        <w:tc>
          <w:tcPr>
            <w:tcW w:w="1275"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02</w:t>
            </w:r>
            <w:r w:rsidRPr="00AF0E8F">
              <w:rPr>
                <w:rFonts w:ascii="Times New Roman" w:hAnsi="Times New Roman" w:cs="Times New Roman"/>
                <w:color w:val="auto"/>
                <w:sz w:val="20"/>
                <w:szCs w:val="20"/>
              </w:rPr>
              <w:t>.</w:t>
            </w:r>
            <w:r>
              <w:rPr>
                <w:rFonts w:ascii="Times New Roman" w:hAnsi="Times New Roman" w:cs="Times New Roman"/>
                <w:color w:val="auto"/>
                <w:sz w:val="20"/>
                <w:szCs w:val="20"/>
              </w:rPr>
              <w:t>06</w:t>
            </w:r>
            <w:r w:rsidRPr="00AF0E8F">
              <w:rPr>
                <w:rFonts w:ascii="Times New Roman" w:hAnsi="Times New Roman" w:cs="Times New Roman"/>
                <w:color w:val="auto"/>
                <w:sz w:val="20"/>
                <w:szCs w:val="20"/>
              </w:rPr>
              <w:t>.2020.</w:t>
            </w:r>
          </w:p>
        </w:tc>
        <w:tc>
          <w:tcPr>
            <w:tcW w:w="1418"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8,2</w:t>
            </w:r>
          </w:p>
        </w:tc>
        <w:tc>
          <w:tcPr>
            <w:tcW w:w="1417"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-0,7</w:t>
            </w:r>
          </w:p>
        </w:tc>
        <w:tc>
          <w:tcPr>
            <w:tcW w:w="993"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-0,7</w:t>
            </w:r>
          </w:p>
        </w:tc>
        <w:tc>
          <w:tcPr>
            <w:tcW w:w="850"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-7,4</w:t>
            </w:r>
          </w:p>
        </w:tc>
        <w:tc>
          <w:tcPr>
            <w:tcW w:w="709" w:type="dxa"/>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AF0E8F" w:rsidRDefault="00DF7139" w:rsidP="00EB17A4">
            <w:pPr>
              <w:ind w:firstLine="0"/>
              <w:jc w:val="left"/>
              <w:rPr>
                <w:rFonts w:ascii="Times New Roman" w:eastAsia="Calibri" w:hAnsi="Times New Roman" w:cs="Times New Roman"/>
                <w:b w:val="0"/>
                <w:snapToGrid w:val="0"/>
                <w:color w:val="auto"/>
                <w:sz w:val="20"/>
                <w:szCs w:val="20"/>
              </w:rPr>
            </w:pPr>
            <w:r w:rsidRPr="00284BE8">
              <w:rPr>
                <w:rFonts w:ascii="Times New Roman" w:eastAsia="Calibri" w:hAnsi="Times New Roman" w:cs="Times New Roman"/>
                <w:b w:val="0"/>
                <w:snapToGrid w:val="0"/>
                <w:color w:val="auto"/>
                <w:sz w:val="20"/>
                <w:szCs w:val="20"/>
              </w:rPr>
              <w:t xml:space="preserve">- </w:t>
            </w:r>
            <w:r w:rsidRPr="00CD63CE">
              <w:rPr>
                <w:rFonts w:ascii="Times New Roman" w:eastAsia="Calibri" w:hAnsi="Times New Roman" w:cs="Times New Roman"/>
                <w:b w:val="0"/>
                <w:snapToGrid w:val="0"/>
                <w:color w:val="auto"/>
                <w:sz w:val="20"/>
                <w:szCs w:val="20"/>
              </w:rPr>
              <w:t>Atbalsts kultūras nozarei</w:t>
            </w:r>
          </w:p>
        </w:tc>
        <w:tc>
          <w:tcPr>
            <w:tcW w:w="4536" w:type="dxa"/>
            <w:vAlign w:val="center"/>
          </w:tcPr>
          <w:p w:rsidR="00DF7139" w:rsidRPr="00AF0E8F"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AC5F1F">
              <w:rPr>
                <w:rFonts w:ascii="Times New Roman" w:eastAsia="Calibri" w:hAnsi="Times New Roman" w:cs="Times New Roman"/>
                <w:color w:val="auto"/>
                <w:sz w:val="20"/>
                <w:szCs w:val="20"/>
              </w:rPr>
              <w:t>Atbalsts KM kapitālsabiedrībām, LNB, Latvijas Nacionālajam arhīva</w:t>
            </w:r>
            <w:r>
              <w:rPr>
                <w:rFonts w:ascii="Times New Roman" w:eastAsia="Calibri" w:hAnsi="Times New Roman" w:cs="Times New Roman"/>
                <w:color w:val="auto"/>
                <w:sz w:val="20"/>
                <w:szCs w:val="20"/>
              </w:rPr>
              <w:t xml:space="preserve">m, muzejiem zaudējumu segšanai, </w:t>
            </w:r>
            <w:r w:rsidRPr="00AC5F1F">
              <w:rPr>
                <w:rFonts w:ascii="Times New Roman" w:eastAsia="Calibri" w:hAnsi="Times New Roman" w:cs="Times New Roman"/>
                <w:color w:val="auto"/>
                <w:sz w:val="20"/>
                <w:szCs w:val="20"/>
              </w:rPr>
              <w:t>Radošo personu nodarbinātības programma</w:t>
            </w:r>
            <w:r>
              <w:rPr>
                <w:rFonts w:ascii="Times New Roman" w:eastAsia="Calibri" w:hAnsi="Times New Roman" w:cs="Times New Roman"/>
                <w:color w:val="auto"/>
                <w:sz w:val="20"/>
                <w:szCs w:val="20"/>
              </w:rPr>
              <w:t>i</w:t>
            </w:r>
            <w:r w:rsidRPr="00AC5F1F">
              <w:rPr>
                <w:rFonts w:ascii="Times New Roman" w:eastAsia="Calibri" w:hAnsi="Times New Roman" w:cs="Times New Roman"/>
                <w:color w:val="auto"/>
                <w:sz w:val="20"/>
                <w:szCs w:val="20"/>
              </w:rPr>
              <w:t>.</w:t>
            </w:r>
            <w:r>
              <w:rPr>
                <w:rFonts w:ascii="Times New Roman" w:eastAsia="Calibri" w:hAnsi="Times New Roman" w:cs="Times New Roman"/>
                <w:color w:val="auto"/>
                <w:sz w:val="20"/>
                <w:szCs w:val="20"/>
              </w:rPr>
              <w:t xml:space="preserve"> </w:t>
            </w:r>
            <w:r w:rsidRPr="00AC5F1F">
              <w:rPr>
                <w:rFonts w:ascii="Times New Roman" w:eastAsia="Calibri" w:hAnsi="Times New Roman" w:cs="Times New Roman"/>
                <w:color w:val="auto"/>
                <w:sz w:val="20"/>
                <w:szCs w:val="20"/>
              </w:rPr>
              <w:t>Kultūras infrastruktūra</w:t>
            </w:r>
            <w:r>
              <w:rPr>
                <w:rFonts w:ascii="Times New Roman" w:eastAsia="Calibri" w:hAnsi="Times New Roman" w:cs="Times New Roman"/>
                <w:color w:val="auto"/>
                <w:sz w:val="20"/>
                <w:szCs w:val="20"/>
              </w:rPr>
              <w:t xml:space="preserve">i, attīstības plānam. </w:t>
            </w:r>
            <w:r w:rsidRPr="00AC5F1F">
              <w:rPr>
                <w:rFonts w:ascii="Times New Roman" w:eastAsia="Calibri" w:hAnsi="Times New Roman" w:cs="Times New Roman"/>
                <w:color w:val="auto"/>
                <w:sz w:val="20"/>
                <w:szCs w:val="20"/>
              </w:rPr>
              <w:t>Lai nodrošinātu attālinātā mācību procesu un klātienes studijas un lai nodrošinātu neatliekamu kultūras infrastruktūras sakārtošanas darbu veikšanu</w:t>
            </w:r>
            <w:r>
              <w:rPr>
                <w:rFonts w:ascii="Times New Roman" w:eastAsia="Calibri" w:hAnsi="Times New Roman" w:cs="Times New Roman"/>
                <w:color w:val="auto"/>
                <w:sz w:val="20"/>
                <w:szCs w:val="20"/>
              </w:rPr>
              <w:t>.</w:t>
            </w:r>
          </w:p>
        </w:tc>
        <w:tc>
          <w:tcPr>
            <w:tcW w:w="851"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AF0E8F">
              <w:rPr>
                <w:rFonts w:ascii="Times New Roman" w:eastAsia="Calibri" w:hAnsi="Times New Roman" w:cs="Times New Roman"/>
                <w:color w:val="auto"/>
                <w:sz w:val="20"/>
                <w:szCs w:val="20"/>
              </w:rPr>
              <w:t>D.</w:t>
            </w:r>
            <w:r>
              <w:rPr>
                <w:rFonts w:ascii="Times New Roman" w:eastAsia="Calibri" w:hAnsi="Times New Roman" w:cs="Times New Roman"/>
                <w:color w:val="auto"/>
                <w:sz w:val="20"/>
                <w:szCs w:val="20"/>
              </w:rPr>
              <w:t>7, P.2</w:t>
            </w:r>
          </w:p>
        </w:tc>
        <w:tc>
          <w:tcPr>
            <w:tcW w:w="1275"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AF0E8F">
              <w:rPr>
                <w:rFonts w:ascii="Times New Roman" w:hAnsi="Times New Roman" w:cs="Times New Roman"/>
                <w:color w:val="auto"/>
                <w:sz w:val="20"/>
                <w:szCs w:val="20"/>
              </w:rPr>
              <w:t>Apstiprināts</w:t>
            </w:r>
          </w:p>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02</w:t>
            </w:r>
            <w:r w:rsidRPr="00AF0E8F">
              <w:rPr>
                <w:rFonts w:ascii="Times New Roman" w:hAnsi="Times New Roman" w:cs="Times New Roman"/>
                <w:color w:val="auto"/>
                <w:sz w:val="20"/>
                <w:szCs w:val="20"/>
              </w:rPr>
              <w:t>.0</w:t>
            </w:r>
            <w:r>
              <w:rPr>
                <w:rFonts w:ascii="Times New Roman" w:hAnsi="Times New Roman" w:cs="Times New Roman"/>
                <w:color w:val="auto"/>
                <w:sz w:val="20"/>
                <w:szCs w:val="20"/>
              </w:rPr>
              <w:t>6</w:t>
            </w:r>
            <w:r w:rsidRPr="00AF0E8F">
              <w:rPr>
                <w:rFonts w:ascii="Times New Roman" w:hAnsi="Times New Roman" w:cs="Times New Roman"/>
                <w:color w:val="auto"/>
                <w:sz w:val="20"/>
                <w:szCs w:val="20"/>
              </w:rPr>
              <w:t>.2020.</w:t>
            </w:r>
            <w:r>
              <w:rPr>
                <w:rFonts w:ascii="Times New Roman" w:hAnsi="Times New Roman" w:cs="Times New Roman"/>
                <w:color w:val="auto"/>
                <w:sz w:val="20"/>
                <w:szCs w:val="20"/>
              </w:rPr>
              <w:t xml:space="preserve"> 05.06.2020. 18.06.2020. 25.09.2020.</w:t>
            </w:r>
          </w:p>
        </w:tc>
        <w:tc>
          <w:tcPr>
            <w:tcW w:w="1418"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32,7</w:t>
            </w:r>
          </w:p>
        </w:tc>
        <w:tc>
          <w:tcPr>
            <w:tcW w:w="1417"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-9,3</w:t>
            </w:r>
          </w:p>
        </w:tc>
        <w:tc>
          <w:tcPr>
            <w:tcW w:w="993"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-21,4</w:t>
            </w:r>
          </w:p>
        </w:tc>
        <w:tc>
          <w:tcPr>
            <w:tcW w:w="850"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-11,2</w:t>
            </w:r>
          </w:p>
        </w:tc>
        <w:tc>
          <w:tcPr>
            <w:tcW w:w="709" w:type="dxa"/>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-0,1</w:t>
            </w:r>
          </w:p>
        </w:tc>
        <w:tc>
          <w:tcPr>
            <w:tcW w:w="709" w:type="dxa"/>
            <w:tcBorders>
              <w:right w:val="single" w:sz="12" w:space="0" w:color="95B3D7" w:themeColor="accent1" w:themeTint="99"/>
            </w:tcBorders>
            <w:vAlign w:val="center"/>
          </w:tcPr>
          <w:p w:rsidR="00DF7139" w:rsidRPr="00AF0E8F"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284BE8"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Pārējie</w:t>
            </w:r>
          </w:p>
        </w:tc>
        <w:tc>
          <w:tcPr>
            <w:tcW w:w="4536" w:type="dxa"/>
            <w:vAlign w:val="center"/>
          </w:tcPr>
          <w:p w:rsidR="00DF7139" w:rsidRPr="00284BE8"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A</w:t>
            </w:r>
            <w:r w:rsidRPr="00284BE8">
              <w:rPr>
                <w:rFonts w:ascii="Times New Roman" w:eastAsia="Calibri" w:hAnsi="Times New Roman" w:cs="Times New Roman"/>
                <w:color w:val="auto"/>
                <w:sz w:val="20"/>
                <w:szCs w:val="20"/>
              </w:rPr>
              <w:t xml:space="preserve">tbrīvojums no telpu nomas maksas vai tās samazinājums. </w:t>
            </w:r>
            <w:r w:rsidRPr="00AC5F1F">
              <w:rPr>
                <w:rFonts w:ascii="Times New Roman" w:eastAsia="Calibri" w:hAnsi="Times New Roman" w:cs="Times New Roman"/>
                <w:color w:val="auto"/>
                <w:sz w:val="20"/>
                <w:szCs w:val="20"/>
              </w:rPr>
              <w:t>Atbalsts reliģiskām organizācijām</w:t>
            </w:r>
            <w:r>
              <w:rPr>
                <w:rFonts w:ascii="Times New Roman" w:eastAsia="Calibri" w:hAnsi="Times New Roman" w:cs="Times New Roman"/>
                <w:color w:val="auto"/>
                <w:sz w:val="20"/>
                <w:szCs w:val="20"/>
              </w:rPr>
              <w:t>, L</w:t>
            </w:r>
            <w:r w:rsidRPr="00AC5F1F">
              <w:rPr>
                <w:rFonts w:ascii="Times New Roman" w:eastAsia="Calibri" w:hAnsi="Times New Roman" w:cs="Times New Roman"/>
                <w:color w:val="auto"/>
                <w:sz w:val="20"/>
                <w:szCs w:val="20"/>
              </w:rPr>
              <w:t>atvijas Zvērinātu notāru padomei servera iegādei</w:t>
            </w:r>
            <w:r>
              <w:rPr>
                <w:rFonts w:ascii="Times New Roman" w:eastAsia="Calibri" w:hAnsi="Times New Roman" w:cs="Times New Roman"/>
                <w:color w:val="auto"/>
                <w:sz w:val="20"/>
                <w:szCs w:val="20"/>
              </w:rPr>
              <w:t>, p</w:t>
            </w:r>
            <w:r w:rsidRPr="00AC5F1F">
              <w:rPr>
                <w:rFonts w:ascii="Times New Roman" w:eastAsia="Calibri" w:hAnsi="Times New Roman" w:cs="Times New Roman"/>
                <w:color w:val="auto"/>
                <w:sz w:val="20"/>
                <w:szCs w:val="20"/>
              </w:rPr>
              <w:t>iemaksas Ieslodzījuma vietu pārvaldes darbiniekiem</w:t>
            </w:r>
            <w:r>
              <w:rPr>
                <w:rFonts w:ascii="Times New Roman" w:eastAsia="Calibri" w:hAnsi="Times New Roman" w:cs="Times New Roman"/>
                <w:color w:val="auto"/>
                <w:sz w:val="20"/>
                <w:szCs w:val="20"/>
              </w:rPr>
              <w:t xml:space="preserve">, ieguldījumiem </w:t>
            </w:r>
            <w:proofErr w:type="spellStart"/>
            <w:r>
              <w:rPr>
                <w:rFonts w:ascii="Times New Roman" w:eastAsia="Calibri" w:hAnsi="Times New Roman" w:cs="Times New Roman"/>
                <w:color w:val="auto"/>
                <w:sz w:val="20"/>
                <w:szCs w:val="20"/>
              </w:rPr>
              <w:t>cilvēkkapitālā</w:t>
            </w:r>
            <w:proofErr w:type="spellEnd"/>
            <w:r>
              <w:rPr>
                <w:rFonts w:ascii="Times New Roman" w:eastAsia="Calibri" w:hAnsi="Times New Roman" w:cs="Times New Roman"/>
                <w:color w:val="auto"/>
                <w:sz w:val="20"/>
                <w:szCs w:val="20"/>
              </w:rPr>
              <w:t>, r</w:t>
            </w:r>
            <w:r w:rsidRPr="00AC5F1F">
              <w:rPr>
                <w:rFonts w:ascii="Times New Roman" w:eastAsia="Calibri" w:hAnsi="Times New Roman" w:cs="Times New Roman"/>
                <w:color w:val="auto"/>
                <w:sz w:val="20"/>
                <w:szCs w:val="20"/>
              </w:rPr>
              <w:t>epatriācijas izde</w:t>
            </w:r>
            <w:r>
              <w:rPr>
                <w:rFonts w:ascii="Times New Roman" w:eastAsia="Calibri" w:hAnsi="Times New Roman" w:cs="Times New Roman"/>
                <w:color w:val="auto"/>
                <w:sz w:val="20"/>
                <w:szCs w:val="20"/>
              </w:rPr>
              <w:t>vumu segšana tūrisma operatoriem, ē</w:t>
            </w:r>
            <w:r w:rsidRPr="00AC5F1F">
              <w:rPr>
                <w:rFonts w:ascii="Times New Roman" w:eastAsia="Calibri" w:hAnsi="Times New Roman" w:cs="Times New Roman"/>
                <w:color w:val="auto"/>
                <w:sz w:val="20"/>
                <w:szCs w:val="20"/>
              </w:rPr>
              <w:t>ku siltināšanai</w:t>
            </w:r>
            <w:r>
              <w:rPr>
                <w:rFonts w:ascii="Times New Roman" w:eastAsia="Calibri" w:hAnsi="Times New Roman" w:cs="Times New Roman"/>
                <w:color w:val="auto"/>
                <w:sz w:val="20"/>
                <w:szCs w:val="20"/>
              </w:rPr>
              <w:t xml:space="preserve">, </w:t>
            </w:r>
            <w:r w:rsidRPr="00CB05C8">
              <w:rPr>
                <w:rFonts w:ascii="Times New Roman" w:eastAsia="Calibri" w:hAnsi="Times New Roman" w:cs="Times New Roman"/>
                <w:color w:val="auto"/>
                <w:sz w:val="20"/>
                <w:szCs w:val="20"/>
              </w:rPr>
              <w:t>Atbalsts valsts sociālās aprūpes centriem</w:t>
            </w:r>
            <w:r>
              <w:rPr>
                <w:rFonts w:ascii="Times New Roman" w:eastAsia="Calibri" w:hAnsi="Times New Roman" w:cs="Times New Roman"/>
                <w:color w:val="auto"/>
                <w:sz w:val="20"/>
                <w:szCs w:val="20"/>
              </w:rPr>
              <w:t xml:space="preserve">, </w:t>
            </w:r>
            <w:r w:rsidRPr="00AC5F1F">
              <w:rPr>
                <w:rFonts w:ascii="Times New Roman" w:eastAsia="Calibri" w:hAnsi="Times New Roman" w:cs="Times New Roman"/>
                <w:color w:val="auto"/>
                <w:sz w:val="20"/>
                <w:szCs w:val="20"/>
              </w:rPr>
              <w:t>Valsts administrācijas skolai finanšu stabilizēšanai</w:t>
            </w:r>
            <w:r>
              <w:rPr>
                <w:rFonts w:ascii="Times New Roman" w:eastAsia="Calibri" w:hAnsi="Times New Roman" w:cs="Times New Roman"/>
                <w:color w:val="auto"/>
                <w:sz w:val="20"/>
                <w:szCs w:val="20"/>
              </w:rPr>
              <w:t>, Atbalsts ārlietu politikas nodrošināšanai.</w:t>
            </w:r>
          </w:p>
        </w:tc>
        <w:tc>
          <w:tcPr>
            <w:tcW w:w="851"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84BE8">
              <w:rPr>
                <w:rFonts w:ascii="Times New Roman" w:eastAsia="Calibri" w:hAnsi="Times New Roman" w:cs="Times New Roman"/>
                <w:color w:val="auto"/>
                <w:sz w:val="20"/>
                <w:szCs w:val="20"/>
              </w:rPr>
              <w:t>D.1, D.7</w:t>
            </w:r>
            <w:r>
              <w:rPr>
                <w:rFonts w:ascii="Times New Roman" w:eastAsia="Calibri" w:hAnsi="Times New Roman" w:cs="Times New Roman"/>
                <w:color w:val="auto"/>
                <w:sz w:val="20"/>
                <w:szCs w:val="20"/>
              </w:rPr>
              <w:t>, P.2, P.51</w:t>
            </w:r>
          </w:p>
        </w:tc>
        <w:tc>
          <w:tcPr>
            <w:tcW w:w="1275"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84BE8">
              <w:rPr>
                <w:rFonts w:ascii="Times New Roman" w:hAnsi="Times New Roman" w:cs="Times New Roman"/>
                <w:color w:val="auto"/>
                <w:sz w:val="20"/>
                <w:szCs w:val="20"/>
              </w:rPr>
              <w:t>Apstiprināts</w:t>
            </w:r>
          </w:p>
          <w:p w:rsidR="00DF7139"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02.04.2020. </w:t>
            </w:r>
          </w:p>
          <w:p w:rsidR="00DF7139" w:rsidRDefault="00DF7139" w:rsidP="0096596A">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08.05.2020. 14.05.2020. 02.06.2020. 18.06.2020. 14.07.2020. 30.07.2020. </w:t>
            </w:r>
            <w:r>
              <w:rPr>
                <w:rFonts w:ascii="Times New Roman" w:hAnsi="Times New Roman" w:cs="Times New Roman"/>
                <w:color w:val="auto"/>
                <w:sz w:val="20"/>
                <w:szCs w:val="20"/>
              </w:rPr>
              <w:lastRenderedPageBreak/>
              <w:t>13.08.2020. 19.08.2020.</w:t>
            </w:r>
          </w:p>
          <w:p w:rsidR="00DF7139" w:rsidRPr="00284BE8" w:rsidRDefault="00DF7139" w:rsidP="0096596A">
            <w:pPr>
              <w:spacing w:after="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szCs w:val="20"/>
              </w:rPr>
              <w:t>02.09.2020.</w:t>
            </w:r>
          </w:p>
        </w:tc>
        <w:tc>
          <w:tcPr>
            <w:tcW w:w="1418" w:type="dxa"/>
            <w:vAlign w:val="center"/>
          </w:tcPr>
          <w:p w:rsidR="00DF7139" w:rsidRPr="00F86F04"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lastRenderedPageBreak/>
              <w:t>8,3</w:t>
            </w:r>
          </w:p>
        </w:tc>
        <w:tc>
          <w:tcPr>
            <w:tcW w:w="1417" w:type="dxa"/>
            <w:vAlign w:val="center"/>
          </w:tcPr>
          <w:p w:rsidR="00DF7139" w:rsidRPr="00BA34B1"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-0,1</w:t>
            </w:r>
          </w:p>
        </w:tc>
        <w:tc>
          <w:tcPr>
            <w:tcW w:w="993"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-2,8</w:t>
            </w:r>
          </w:p>
        </w:tc>
        <w:tc>
          <w:tcPr>
            <w:tcW w:w="850"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-5,5</w:t>
            </w:r>
          </w:p>
        </w:tc>
        <w:tc>
          <w:tcPr>
            <w:tcW w:w="709" w:type="dxa"/>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6374" w:type="dxa"/>
            <w:gridSpan w:val="2"/>
            <w:vAlign w:val="center"/>
          </w:tcPr>
          <w:p w:rsidR="00DF7139" w:rsidRPr="00284BE8" w:rsidRDefault="00DF7139" w:rsidP="00EB17A4">
            <w:pPr>
              <w:ind w:firstLine="0"/>
              <w:jc w:val="left"/>
              <w:rPr>
                <w:rFonts w:ascii="Times New Roman" w:eastAsia="Calibri" w:hAnsi="Times New Roman" w:cs="Times New Roman"/>
                <w:sz w:val="20"/>
                <w:szCs w:val="20"/>
              </w:rPr>
            </w:pPr>
            <w:r w:rsidRPr="00780047">
              <w:rPr>
                <w:rFonts w:ascii="Times New Roman" w:eastAsia="Calibri" w:hAnsi="Times New Roman" w:cs="Times New Roman"/>
                <w:snapToGrid w:val="0"/>
                <w:color w:val="auto"/>
                <w:sz w:val="20"/>
                <w:szCs w:val="20"/>
              </w:rPr>
              <w:t>5. ES fondu finansējuma atbalsts</w:t>
            </w:r>
          </w:p>
        </w:tc>
        <w:tc>
          <w:tcPr>
            <w:tcW w:w="851"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275"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8" w:type="dxa"/>
            <w:vAlign w:val="center"/>
          </w:tcPr>
          <w:p w:rsidR="00DF7139" w:rsidRPr="00F86F04"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417" w:type="dxa"/>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c>
          <w:tcPr>
            <w:tcW w:w="993" w:type="dxa"/>
            <w:vAlign w:val="center"/>
          </w:tcPr>
          <w:p w:rsidR="00DF7139" w:rsidRPr="00BA34B1"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850"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c>
          <w:tcPr>
            <w:tcW w:w="709" w:type="dxa"/>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c>
          <w:tcPr>
            <w:tcW w:w="709" w:type="dxa"/>
            <w:tcBorders>
              <w:right w:val="single" w:sz="12" w:space="0" w:color="95B3D7" w:themeColor="accent1" w:themeTint="99"/>
            </w:tcBorders>
            <w:vAlign w:val="center"/>
          </w:tcPr>
          <w:p w:rsidR="00DF7139" w:rsidRPr="00284BE8"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0"/>
                <w:szCs w:val="20"/>
              </w:rPr>
            </w:pP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98499F" w:rsidRDefault="00DF7139" w:rsidP="00EB17A4">
            <w:pPr>
              <w:ind w:firstLine="0"/>
              <w:jc w:val="left"/>
              <w:rPr>
                <w:rFonts w:ascii="Times New Roman" w:eastAsia="Calibri" w:hAnsi="Times New Roman" w:cs="Times New Roman"/>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Īstermiņa aizdevumi  lauksaimniekiem</w:t>
            </w:r>
          </w:p>
        </w:tc>
        <w:tc>
          <w:tcPr>
            <w:tcW w:w="4536" w:type="dxa"/>
            <w:vAlign w:val="center"/>
          </w:tcPr>
          <w:p w:rsidR="00DF7139" w:rsidRPr="009B3C1C"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BE4B30">
              <w:rPr>
                <w:rFonts w:ascii="Times New Roman" w:eastAsia="Calibri" w:hAnsi="Times New Roman" w:cs="Times New Roman"/>
                <w:snapToGrid w:val="0"/>
                <w:color w:val="auto"/>
                <w:sz w:val="20"/>
                <w:szCs w:val="20"/>
              </w:rPr>
              <w:t>Lai stabilizētu naudas plūsmu lauksaimniecības produkcijas ražotājiem, nodrošinot īstermiņa aizdevumu piešķiršanu no vienotam platības maksājumam paredzētā avansa maksājuma summas, vai aprēķinātā gala maksājuma par kārtējā gadā vienotajam platības maksājumam apstiprinātajām platībām.</w:t>
            </w:r>
          </w:p>
        </w:tc>
        <w:tc>
          <w:tcPr>
            <w:tcW w:w="851"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9B3C1C">
              <w:rPr>
                <w:rFonts w:ascii="Times New Roman" w:eastAsia="Calibri" w:hAnsi="Times New Roman" w:cs="Times New Roman"/>
                <w:color w:val="auto"/>
                <w:sz w:val="20"/>
                <w:szCs w:val="20"/>
              </w:rPr>
              <w:t>D.7</w:t>
            </w:r>
          </w:p>
        </w:tc>
        <w:tc>
          <w:tcPr>
            <w:tcW w:w="1275"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Apstiprināts 14.05.2020.</w:t>
            </w:r>
          </w:p>
        </w:tc>
        <w:tc>
          <w:tcPr>
            <w:tcW w:w="1418"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59,8</w:t>
            </w:r>
          </w:p>
        </w:tc>
        <w:tc>
          <w:tcPr>
            <w:tcW w:w="1417"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850"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780047" w:rsidRDefault="00DF7139" w:rsidP="00EB17A4">
            <w:pPr>
              <w:ind w:firstLine="0"/>
              <w:jc w:val="left"/>
              <w:rPr>
                <w:rFonts w:ascii="Times New Roman" w:eastAsia="Calibri" w:hAnsi="Times New Roman" w:cs="Times New Roman"/>
                <w:b w:val="0"/>
                <w:bCs w:val="0"/>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ES fondu pārdales</w:t>
            </w:r>
          </w:p>
        </w:tc>
        <w:tc>
          <w:tcPr>
            <w:tcW w:w="4536" w:type="dxa"/>
            <w:vAlign w:val="center"/>
          </w:tcPr>
          <w:p w:rsidR="00DF7139" w:rsidRPr="009B3C1C"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sidRPr="00BE4B30">
              <w:rPr>
                <w:rFonts w:ascii="Times New Roman" w:eastAsia="Calibri" w:hAnsi="Times New Roman" w:cs="Times New Roman"/>
                <w:snapToGrid w:val="0"/>
                <w:color w:val="auto"/>
                <w:sz w:val="20"/>
                <w:szCs w:val="20"/>
              </w:rPr>
              <w:t xml:space="preserve">Ar mērķi nodrošināt iespēju vieglāk un ātrāk reaģēt, mazinot </w:t>
            </w:r>
            <w:r w:rsidRPr="00284BE8">
              <w:rPr>
                <w:rFonts w:ascii="Times New Roman" w:eastAsia="Calibri" w:hAnsi="Times New Roman" w:cs="Times New Roman"/>
                <w:color w:val="auto"/>
                <w:sz w:val="20"/>
                <w:szCs w:val="20"/>
              </w:rPr>
              <w:t xml:space="preserve">Covid-19 </w:t>
            </w:r>
            <w:r w:rsidRPr="00BE4B30">
              <w:rPr>
                <w:rFonts w:ascii="Times New Roman" w:eastAsia="Calibri" w:hAnsi="Times New Roman" w:cs="Times New Roman"/>
                <w:snapToGrid w:val="0"/>
                <w:color w:val="auto"/>
                <w:sz w:val="20"/>
                <w:szCs w:val="20"/>
              </w:rPr>
              <w:t xml:space="preserve">izraisītās sekas dalībvalstu visvairāk skartajām teritorijām un to iedzīvotājiem, ES fondu regulu grozījumi ļauj dalībvalstīm pārstrukturēt investīcijas, paplašinot izdevumu </w:t>
            </w:r>
            <w:proofErr w:type="spellStart"/>
            <w:r w:rsidRPr="00BE4B30">
              <w:rPr>
                <w:rFonts w:ascii="Times New Roman" w:eastAsia="Calibri" w:hAnsi="Times New Roman" w:cs="Times New Roman"/>
                <w:snapToGrid w:val="0"/>
                <w:color w:val="auto"/>
                <w:sz w:val="20"/>
                <w:szCs w:val="20"/>
              </w:rPr>
              <w:t>attiecināmības</w:t>
            </w:r>
            <w:proofErr w:type="spellEnd"/>
            <w:r w:rsidRPr="00BE4B30">
              <w:rPr>
                <w:rFonts w:ascii="Times New Roman" w:eastAsia="Calibri" w:hAnsi="Times New Roman" w:cs="Times New Roman"/>
                <w:snapToGrid w:val="0"/>
                <w:color w:val="auto"/>
                <w:sz w:val="20"/>
                <w:szCs w:val="20"/>
              </w:rPr>
              <w:t xml:space="preserve"> tvērumu un pieļaujot dalībvalstu ES fondu darbības programmu grozījumus pirms EK oficiāla lēmuma.</w:t>
            </w:r>
          </w:p>
        </w:tc>
        <w:tc>
          <w:tcPr>
            <w:tcW w:w="851"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w:t>
            </w:r>
          </w:p>
        </w:tc>
        <w:tc>
          <w:tcPr>
            <w:tcW w:w="1275"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Apstiprināts 19.05.2020.</w:t>
            </w:r>
          </w:p>
        </w:tc>
        <w:tc>
          <w:tcPr>
            <w:tcW w:w="1418"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496,0</w:t>
            </w:r>
          </w:p>
        </w:tc>
        <w:tc>
          <w:tcPr>
            <w:tcW w:w="1417"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850"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780047" w:rsidRDefault="00DF7139" w:rsidP="00EB17A4">
            <w:pPr>
              <w:ind w:firstLine="0"/>
              <w:jc w:val="left"/>
              <w:rPr>
                <w:rFonts w:ascii="Times New Roman" w:eastAsia="Calibri" w:hAnsi="Times New Roman" w:cs="Times New Roman"/>
                <w:b w:val="0"/>
                <w:bCs w:val="0"/>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Atbalsts zivsaimniecības nozarei</w:t>
            </w:r>
          </w:p>
        </w:tc>
        <w:tc>
          <w:tcPr>
            <w:tcW w:w="4536" w:type="dxa"/>
            <w:vAlign w:val="center"/>
          </w:tcPr>
          <w:p w:rsidR="00DF7139" w:rsidRPr="009B3C1C" w:rsidRDefault="00DF7139"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BE4B30">
              <w:rPr>
                <w:rFonts w:ascii="Times New Roman" w:eastAsia="Calibri" w:hAnsi="Times New Roman" w:cs="Times New Roman"/>
                <w:snapToGrid w:val="0"/>
                <w:color w:val="auto"/>
                <w:sz w:val="20"/>
                <w:szCs w:val="20"/>
              </w:rPr>
              <w:t>Papildus ES fondu finansējuma pārdales, lai sniegtu atbalstu zi</w:t>
            </w:r>
            <w:r>
              <w:rPr>
                <w:rFonts w:ascii="Times New Roman" w:eastAsia="Calibri" w:hAnsi="Times New Roman" w:cs="Times New Roman"/>
                <w:snapToGrid w:val="0"/>
                <w:color w:val="auto"/>
                <w:sz w:val="20"/>
                <w:szCs w:val="20"/>
              </w:rPr>
              <w:t>vsaimniecības nozares uzņēmumiem.</w:t>
            </w:r>
          </w:p>
        </w:tc>
        <w:tc>
          <w:tcPr>
            <w:tcW w:w="851"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9B3C1C">
              <w:rPr>
                <w:rFonts w:ascii="Times New Roman" w:eastAsia="Calibri" w:hAnsi="Times New Roman" w:cs="Times New Roman"/>
                <w:color w:val="auto"/>
                <w:sz w:val="20"/>
                <w:szCs w:val="20"/>
              </w:rPr>
              <w:t>D.7</w:t>
            </w:r>
          </w:p>
        </w:tc>
        <w:tc>
          <w:tcPr>
            <w:tcW w:w="1275"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Apstiprināts 02.06.2020.</w:t>
            </w:r>
          </w:p>
        </w:tc>
        <w:tc>
          <w:tcPr>
            <w:tcW w:w="1418"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6,7</w:t>
            </w:r>
          </w:p>
        </w:tc>
        <w:tc>
          <w:tcPr>
            <w:tcW w:w="1417"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850"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780047" w:rsidRDefault="00DF7139" w:rsidP="00EB17A4">
            <w:pPr>
              <w:ind w:firstLine="0"/>
              <w:jc w:val="left"/>
              <w:rPr>
                <w:rFonts w:ascii="Times New Roman" w:eastAsia="Calibri" w:hAnsi="Times New Roman" w:cs="Times New Roman"/>
                <w:b w:val="0"/>
                <w:bCs w:val="0"/>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 xml:space="preserve">ES fondu </w:t>
            </w:r>
            <w:proofErr w:type="spellStart"/>
            <w:r>
              <w:rPr>
                <w:rFonts w:ascii="Times New Roman" w:eastAsia="Calibri" w:hAnsi="Times New Roman" w:cs="Times New Roman"/>
                <w:b w:val="0"/>
                <w:snapToGrid w:val="0"/>
                <w:color w:val="auto"/>
                <w:sz w:val="20"/>
                <w:szCs w:val="20"/>
              </w:rPr>
              <w:t>virssaistības</w:t>
            </w:r>
            <w:proofErr w:type="spellEnd"/>
          </w:p>
        </w:tc>
        <w:tc>
          <w:tcPr>
            <w:tcW w:w="4536" w:type="dxa"/>
            <w:vAlign w:val="center"/>
          </w:tcPr>
          <w:p w:rsidR="00DF7139" w:rsidRPr="009B3C1C" w:rsidRDefault="00DF7139" w:rsidP="00DF7139">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napToGrid w:val="0"/>
                <w:color w:val="auto"/>
                <w:sz w:val="20"/>
                <w:szCs w:val="20"/>
              </w:rPr>
            </w:pPr>
            <w:r>
              <w:rPr>
                <w:rFonts w:ascii="Times New Roman" w:eastAsia="Calibri" w:hAnsi="Times New Roman" w:cs="Times New Roman"/>
                <w:snapToGrid w:val="0"/>
                <w:color w:val="auto"/>
                <w:sz w:val="20"/>
                <w:szCs w:val="20"/>
              </w:rPr>
              <w:t xml:space="preserve">Papildus </w:t>
            </w:r>
            <w:proofErr w:type="spellStart"/>
            <w:r>
              <w:rPr>
                <w:rFonts w:ascii="Times New Roman" w:eastAsia="Calibri" w:hAnsi="Times New Roman" w:cs="Times New Roman"/>
                <w:snapToGrid w:val="0"/>
                <w:color w:val="auto"/>
                <w:sz w:val="20"/>
                <w:szCs w:val="20"/>
              </w:rPr>
              <w:t>virssaistības</w:t>
            </w:r>
            <w:proofErr w:type="spellEnd"/>
            <w:r>
              <w:rPr>
                <w:rFonts w:ascii="Times New Roman" w:eastAsia="Calibri" w:hAnsi="Times New Roman" w:cs="Times New Roman"/>
                <w:snapToGrid w:val="0"/>
                <w:color w:val="auto"/>
                <w:sz w:val="20"/>
                <w:szCs w:val="20"/>
              </w:rPr>
              <w:t xml:space="preserve"> Kohēzijas politikas fondu projektu īstenošanai.</w:t>
            </w:r>
          </w:p>
        </w:tc>
        <w:tc>
          <w:tcPr>
            <w:tcW w:w="851"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w:t>
            </w:r>
          </w:p>
        </w:tc>
        <w:tc>
          <w:tcPr>
            <w:tcW w:w="1275"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Apstiprināts 02.06.2020.</w:t>
            </w:r>
          </w:p>
        </w:tc>
        <w:tc>
          <w:tcPr>
            <w:tcW w:w="1418"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141,4</w:t>
            </w:r>
          </w:p>
        </w:tc>
        <w:tc>
          <w:tcPr>
            <w:tcW w:w="1417"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rPr>
              <w:t>0,0</w:t>
            </w:r>
          </w:p>
        </w:tc>
        <w:tc>
          <w:tcPr>
            <w:tcW w:w="850"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rPr>
              <w:t>0,0</w:t>
            </w:r>
          </w:p>
        </w:tc>
        <w:tc>
          <w:tcPr>
            <w:tcW w:w="709" w:type="dxa"/>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color w:val="auto"/>
                <w:sz w:val="20"/>
              </w:rPr>
              <w:t>0,0</w:t>
            </w:r>
          </w:p>
        </w:tc>
        <w:tc>
          <w:tcPr>
            <w:tcW w:w="709" w:type="dxa"/>
            <w:tcBorders>
              <w:right w:val="single" w:sz="12" w:space="0" w:color="95B3D7" w:themeColor="accent1" w:themeTint="99"/>
            </w:tcBorders>
            <w:vAlign w:val="center"/>
          </w:tcPr>
          <w:p w:rsidR="00DF7139" w:rsidRPr="009B3C1C" w:rsidRDefault="00DF7139" w:rsidP="00DF7139">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r w:rsidR="00DF7139" w:rsidRPr="00284BE8" w:rsidTr="00B757C1">
        <w:trPr>
          <w:trHeight w:val="21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rsidR="00DF7139" w:rsidRPr="00780047" w:rsidRDefault="00DF7139" w:rsidP="00EB17A4">
            <w:pPr>
              <w:ind w:firstLine="0"/>
              <w:jc w:val="left"/>
              <w:rPr>
                <w:rFonts w:ascii="Times New Roman" w:eastAsia="Calibri" w:hAnsi="Times New Roman" w:cs="Times New Roman"/>
                <w:b w:val="0"/>
                <w:bCs w:val="0"/>
                <w:snapToGrid w:val="0"/>
                <w:sz w:val="20"/>
                <w:szCs w:val="20"/>
              </w:rPr>
            </w:pPr>
            <w:r w:rsidRPr="00284BE8">
              <w:rPr>
                <w:rFonts w:ascii="Times New Roman" w:eastAsia="Calibri" w:hAnsi="Times New Roman" w:cs="Times New Roman"/>
                <w:b w:val="0"/>
                <w:snapToGrid w:val="0"/>
                <w:color w:val="auto"/>
                <w:sz w:val="20"/>
                <w:szCs w:val="20"/>
              </w:rPr>
              <w:t xml:space="preserve">- </w:t>
            </w:r>
            <w:r>
              <w:rPr>
                <w:rFonts w:ascii="Times New Roman" w:eastAsia="Calibri" w:hAnsi="Times New Roman" w:cs="Times New Roman"/>
                <w:b w:val="0"/>
                <w:snapToGrid w:val="0"/>
                <w:color w:val="auto"/>
                <w:sz w:val="20"/>
                <w:szCs w:val="20"/>
              </w:rPr>
              <w:t xml:space="preserve">Lauksamniecības fondu </w:t>
            </w:r>
            <w:proofErr w:type="spellStart"/>
            <w:r>
              <w:rPr>
                <w:rFonts w:ascii="Times New Roman" w:eastAsia="Calibri" w:hAnsi="Times New Roman" w:cs="Times New Roman"/>
                <w:b w:val="0"/>
                <w:snapToGrid w:val="0"/>
                <w:color w:val="auto"/>
                <w:sz w:val="20"/>
                <w:szCs w:val="20"/>
              </w:rPr>
              <w:t>virssaistības</w:t>
            </w:r>
            <w:proofErr w:type="spellEnd"/>
          </w:p>
        </w:tc>
        <w:tc>
          <w:tcPr>
            <w:tcW w:w="4536" w:type="dxa"/>
            <w:vAlign w:val="center"/>
          </w:tcPr>
          <w:p w:rsidR="00DF7139" w:rsidRPr="009B3C1C" w:rsidRDefault="00C2462D" w:rsidP="00DF7139">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napToGrid w:val="0"/>
                <w:color w:val="auto"/>
                <w:sz w:val="20"/>
                <w:szCs w:val="20"/>
              </w:rPr>
            </w:pPr>
            <w:r w:rsidRPr="00BE4B30">
              <w:rPr>
                <w:rFonts w:ascii="Times New Roman" w:eastAsia="Calibri" w:hAnsi="Times New Roman" w:cs="Times New Roman"/>
                <w:snapToGrid w:val="0"/>
                <w:color w:val="auto"/>
                <w:sz w:val="20"/>
                <w:szCs w:val="20"/>
              </w:rPr>
              <w:t>Z</w:t>
            </w:r>
            <w:r>
              <w:rPr>
                <w:rFonts w:ascii="Times New Roman" w:eastAsia="Calibri" w:hAnsi="Times New Roman" w:cs="Times New Roman"/>
                <w:snapToGrid w:val="0"/>
                <w:color w:val="auto"/>
                <w:sz w:val="20"/>
                <w:szCs w:val="20"/>
              </w:rPr>
              <w:t>emkopības ministrija</w:t>
            </w:r>
            <w:r w:rsidRPr="00BE4B30">
              <w:rPr>
                <w:rFonts w:ascii="Times New Roman" w:eastAsia="Calibri" w:hAnsi="Times New Roman" w:cs="Times New Roman"/>
                <w:snapToGrid w:val="0"/>
                <w:color w:val="auto"/>
                <w:sz w:val="20"/>
                <w:szCs w:val="20"/>
              </w:rPr>
              <w:t xml:space="preserve"> </w:t>
            </w:r>
            <w:r w:rsidR="00DF7139">
              <w:rPr>
                <w:rFonts w:ascii="Times New Roman" w:eastAsia="Calibri" w:hAnsi="Times New Roman" w:cs="Times New Roman"/>
                <w:snapToGrid w:val="0"/>
                <w:color w:val="auto"/>
                <w:sz w:val="20"/>
                <w:szCs w:val="20"/>
              </w:rPr>
              <w:t xml:space="preserve">plāno </w:t>
            </w:r>
            <w:proofErr w:type="spellStart"/>
            <w:r w:rsidR="0065644E">
              <w:rPr>
                <w:rFonts w:ascii="Times New Roman" w:eastAsia="Calibri" w:hAnsi="Times New Roman" w:cs="Times New Roman"/>
                <w:snapToGrid w:val="0"/>
                <w:color w:val="auto"/>
                <w:sz w:val="20"/>
                <w:szCs w:val="20"/>
              </w:rPr>
              <w:t>virssaistības</w:t>
            </w:r>
            <w:proofErr w:type="spellEnd"/>
            <w:r w:rsidR="0065644E">
              <w:rPr>
                <w:rFonts w:ascii="Times New Roman" w:eastAsia="Calibri" w:hAnsi="Times New Roman" w:cs="Times New Roman"/>
                <w:snapToGrid w:val="0"/>
                <w:color w:val="auto"/>
                <w:sz w:val="20"/>
                <w:szCs w:val="20"/>
              </w:rPr>
              <w:t xml:space="preserve"> </w:t>
            </w:r>
            <w:r w:rsidR="009A0916">
              <w:rPr>
                <w:rFonts w:ascii="Times New Roman" w:eastAsia="Calibri" w:hAnsi="Times New Roman" w:cs="Times New Roman"/>
                <w:snapToGrid w:val="0"/>
                <w:color w:val="auto"/>
                <w:sz w:val="20"/>
                <w:szCs w:val="20"/>
              </w:rPr>
              <w:br/>
            </w:r>
            <w:r w:rsidR="0065644E">
              <w:rPr>
                <w:rFonts w:ascii="Times New Roman" w:eastAsia="Calibri" w:hAnsi="Times New Roman" w:cs="Times New Roman"/>
                <w:snapToGrid w:val="0"/>
                <w:color w:val="auto"/>
                <w:sz w:val="20"/>
                <w:szCs w:val="20"/>
              </w:rPr>
              <w:t>2014.–2020.</w:t>
            </w:r>
            <w:r w:rsidR="00DF7139" w:rsidRPr="00BE4B30">
              <w:rPr>
                <w:rFonts w:ascii="Times New Roman" w:eastAsia="Calibri" w:hAnsi="Times New Roman" w:cs="Times New Roman"/>
                <w:snapToGrid w:val="0"/>
                <w:color w:val="auto"/>
                <w:sz w:val="20"/>
                <w:szCs w:val="20"/>
              </w:rPr>
              <w:t xml:space="preserve">gada plānošanas periodā </w:t>
            </w:r>
            <w:r w:rsidR="009A0916">
              <w:rPr>
                <w:rFonts w:ascii="Times New Roman" w:eastAsia="Calibri" w:hAnsi="Times New Roman" w:cs="Times New Roman"/>
                <w:snapToGrid w:val="0"/>
                <w:color w:val="auto"/>
                <w:sz w:val="20"/>
                <w:szCs w:val="20"/>
              </w:rPr>
              <w:t>Lauku attīstības programmas</w:t>
            </w:r>
            <w:r w:rsidR="00DF7139" w:rsidRPr="00BE4B30">
              <w:rPr>
                <w:rFonts w:ascii="Times New Roman" w:eastAsia="Calibri" w:hAnsi="Times New Roman" w:cs="Times New Roman"/>
                <w:snapToGrid w:val="0"/>
                <w:color w:val="auto"/>
                <w:sz w:val="20"/>
                <w:szCs w:val="20"/>
              </w:rPr>
              <w:t xml:space="preserve"> pasākumos ar finansējumu 58</w:t>
            </w:r>
            <w:r w:rsidR="00DF7139">
              <w:rPr>
                <w:rFonts w:ascii="Times New Roman" w:eastAsia="Calibri" w:hAnsi="Times New Roman" w:cs="Times New Roman"/>
                <w:snapToGrid w:val="0"/>
                <w:color w:val="auto"/>
                <w:sz w:val="20"/>
                <w:szCs w:val="20"/>
              </w:rPr>
              <w:t xml:space="preserve">.8 milj. </w:t>
            </w:r>
            <w:proofErr w:type="spellStart"/>
            <w:r w:rsidR="00DF7139" w:rsidRPr="00A44502">
              <w:rPr>
                <w:rFonts w:ascii="Times New Roman" w:eastAsia="Calibri" w:hAnsi="Times New Roman" w:cs="Times New Roman"/>
                <w:i/>
                <w:snapToGrid w:val="0"/>
                <w:color w:val="auto"/>
                <w:sz w:val="20"/>
                <w:szCs w:val="20"/>
              </w:rPr>
              <w:t>euro</w:t>
            </w:r>
            <w:proofErr w:type="spellEnd"/>
            <w:r w:rsidR="00DF7139">
              <w:rPr>
                <w:rFonts w:ascii="Times New Roman" w:eastAsia="Calibri" w:hAnsi="Times New Roman" w:cs="Times New Roman"/>
                <w:snapToGrid w:val="0"/>
                <w:color w:val="auto"/>
                <w:sz w:val="20"/>
                <w:szCs w:val="20"/>
              </w:rPr>
              <w:t xml:space="preserve"> apmērā.</w:t>
            </w:r>
          </w:p>
        </w:tc>
        <w:tc>
          <w:tcPr>
            <w:tcW w:w="851"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9B3C1C">
              <w:rPr>
                <w:rFonts w:ascii="Times New Roman" w:eastAsia="Calibri" w:hAnsi="Times New Roman" w:cs="Times New Roman"/>
                <w:color w:val="auto"/>
                <w:sz w:val="20"/>
                <w:szCs w:val="20"/>
              </w:rPr>
              <w:t>P.51</w:t>
            </w:r>
          </w:p>
        </w:tc>
        <w:tc>
          <w:tcPr>
            <w:tcW w:w="1275"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Apstiprināts 02.06.2020.</w:t>
            </w:r>
          </w:p>
        </w:tc>
        <w:tc>
          <w:tcPr>
            <w:tcW w:w="1418"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58,0</w:t>
            </w:r>
          </w:p>
        </w:tc>
        <w:tc>
          <w:tcPr>
            <w:tcW w:w="1417"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Pr>
                <w:rFonts w:ascii="Times New Roman" w:hAnsi="Times New Roman" w:cs="Times New Roman"/>
                <w:color w:val="auto"/>
                <w:sz w:val="20"/>
              </w:rPr>
              <w:t>0,0</w:t>
            </w:r>
          </w:p>
        </w:tc>
        <w:tc>
          <w:tcPr>
            <w:tcW w:w="993"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850"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-8,0</w:t>
            </w:r>
          </w:p>
        </w:tc>
        <w:tc>
          <w:tcPr>
            <w:tcW w:w="709" w:type="dxa"/>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c>
          <w:tcPr>
            <w:tcW w:w="709" w:type="dxa"/>
            <w:tcBorders>
              <w:right w:val="single" w:sz="12" w:space="0" w:color="95B3D7" w:themeColor="accent1" w:themeTint="99"/>
            </w:tcBorders>
            <w:vAlign w:val="center"/>
          </w:tcPr>
          <w:p w:rsidR="00DF7139" w:rsidRPr="009B3C1C" w:rsidRDefault="00DF7139" w:rsidP="00DF7139">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auto"/>
                <w:sz w:val="20"/>
                <w:szCs w:val="20"/>
              </w:rPr>
            </w:pPr>
            <w:r>
              <w:rPr>
                <w:rFonts w:ascii="Times New Roman" w:hAnsi="Times New Roman" w:cs="Times New Roman"/>
                <w:iCs/>
                <w:color w:val="auto"/>
                <w:sz w:val="20"/>
                <w:szCs w:val="20"/>
              </w:rPr>
              <w:t>-0,0</w:t>
            </w:r>
          </w:p>
        </w:tc>
      </w:tr>
    </w:tbl>
    <w:p w:rsidR="00DF7139" w:rsidRPr="00BF5371" w:rsidRDefault="00DF7139">
      <w:pPr>
        <w:spacing w:after="0"/>
        <w:ind w:firstLine="0"/>
        <w:jc w:val="left"/>
        <w:rPr>
          <w:color w:val="18185F"/>
          <w:highlight w:val="yellow"/>
        </w:rPr>
        <w:sectPr w:rsidR="00DF7139" w:rsidRPr="00BF5371" w:rsidSect="005119CA">
          <w:pgSz w:w="16838" w:h="11906" w:orient="landscape"/>
          <w:pgMar w:top="1701" w:right="1418" w:bottom="1134" w:left="709" w:header="1077" w:footer="624" w:gutter="0"/>
          <w:cols w:space="708"/>
          <w:docGrid w:linePitch="360"/>
        </w:sectPr>
      </w:pPr>
    </w:p>
    <w:bookmarkEnd w:id="19"/>
    <w:p w:rsidR="004B33D4" w:rsidRPr="004B33D4" w:rsidRDefault="004B33D4" w:rsidP="004B33D4">
      <w:pPr>
        <w:spacing w:after="0"/>
        <w:ind w:firstLine="720"/>
        <w:rPr>
          <w:noProof/>
          <w:color w:val="000000" w:themeColor="text1"/>
          <w:szCs w:val="24"/>
        </w:rPr>
      </w:pPr>
      <w:r w:rsidRPr="004B33D4">
        <w:rPr>
          <w:color w:val="000000" w:themeColor="text1"/>
          <w:szCs w:val="24"/>
        </w:rPr>
        <w:lastRenderedPageBreak/>
        <w:t>Atbilstoši 2020</w:t>
      </w:r>
      <w:r>
        <w:rPr>
          <w:color w:val="000000" w:themeColor="text1"/>
          <w:szCs w:val="24"/>
        </w:rPr>
        <w:t>.</w:t>
      </w:r>
      <w:r w:rsidRPr="004B33D4">
        <w:rPr>
          <w:color w:val="000000" w:themeColor="text1"/>
          <w:szCs w:val="24"/>
        </w:rPr>
        <w:t xml:space="preserve">gada aprīļa vispārējās valdības budžeta deficīta un parāda notifikācijai vispārējās valdības budžeta deficīts </w:t>
      </w:r>
      <w:r w:rsidRPr="004B33D4">
        <w:rPr>
          <w:b/>
          <w:color w:val="000000" w:themeColor="text1"/>
          <w:szCs w:val="24"/>
        </w:rPr>
        <w:t>2019</w:t>
      </w:r>
      <w:r>
        <w:rPr>
          <w:b/>
          <w:color w:val="000000" w:themeColor="text1"/>
          <w:szCs w:val="24"/>
        </w:rPr>
        <w:t>.</w:t>
      </w:r>
      <w:r w:rsidRPr="004B33D4">
        <w:rPr>
          <w:b/>
          <w:color w:val="000000" w:themeColor="text1"/>
          <w:szCs w:val="24"/>
        </w:rPr>
        <w:t>gadā</w:t>
      </w:r>
      <w:r w:rsidRPr="004B33D4">
        <w:rPr>
          <w:color w:val="000000" w:themeColor="text1"/>
          <w:szCs w:val="24"/>
        </w:rPr>
        <w:t xml:space="preserve"> bija 0,2% no IKP. 2020</w:t>
      </w:r>
      <w:r>
        <w:rPr>
          <w:color w:val="000000" w:themeColor="text1"/>
          <w:szCs w:val="24"/>
        </w:rPr>
        <w:t>.gada 30.</w:t>
      </w:r>
      <w:r w:rsidRPr="004B33D4">
        <w:rPr>
          <w:color w:val="000000" w:themeColor="text1"/>
          <w:szCs w:val="24"/>
        </w:rPr>
        <w:t>septembrī C</w:t>
      </w:r>
      <w:r>
        <w:rPr>
          <w:color w:val="000000" w:themeColor="text1"/>
          <w:szCs w:val="24"/>
        </w:rPr>
        <w:t xml:space="preserve">SP </w:t>
      </w:r>
      <w:r w:rsidRPr="004B33D4">
        <w:rPr>
          <w:color w:val="000000" w:themeColor="text1"/>
          <w:szCs w:val="24"/>
        </w:rPr>
        <w:t xml:space="preserve">ir iesniegusi </w:t>
      </w:r>
      <w:r w:rsidRPr="004B33D4">
        <w:rPr>
          <w:noProof/>
          <w:color w:val="000000" w:themeColor="text1"/>
          <w:szCs w:val="24"/>
        </w:rPr>
        <w:t>Eurostat šā gada rudens notifikāciju, kuras rezultāti par 2019</w:t>
      </w:r>
      <w:r>
        <w:rPr>
          <w:noProof/>
          <w:color w:val="000000" w:themeColor="text1"/>
          <w:szCs w:val="24"/>
        </w:rPr>
        <w:t>.</w:t>
      </w:r>
      <w:r w:rsidRPr="004B33D4">
        <w:rPr>
          <w:noProof/>
          <w:color w:val="000000" w:themeColor="text1"/>
          <w:szCs w:val="24"/>
        </w:rPr>
        <w:t>gada un iepriekšējo gadu deficīta un parāda līmeni būs publicēti oktobra beigās.</w:t>
      </w:r>
    </w:p>
    <w:p w:rsidR="004B33D4" w:rsidRPr="004B33D4" w:rsidRDefault="004B33D4" w:rsidP="004B33D4">
      <w:pPr>
        <w:spacing w:after="0"/>
        <w:ind w:firstLine="720"/>
        <w:rPr>
          <w:noProof/>
          <w:color w:val="000000" w:themeColor="text1"/>
          <w:szCs w:val="24"/>
        </w:rPr>
      </w:pPr>
      <w:r w:rsidRPr="004B33D4">
        <w:rPr>
          <w:color w:val="000000" w:themeColor="text1"/>
          <w:szCs w:val="24"/>
        </w:rPr>
        <w:t xml:space="preserve">Vispārējās valdības budžeta deficīts </w:t>
      </w:r>
      <w:r>
        <w:rPr>
          <w:b/>
          <w:color w:val="000000" w:themeColor="text1"/>
          <w:szCs w:val="24"/>
        </w:rPr>
        <w:t>2020.</w:t>
      </w:r>
      <w:r w:rsidRPr="004B33D4">
        <w:rPr>
          <w:b/>
          <w:color w:val="000000" w:themeColor="text1"/>
          <w:szCs w:val="24"/>
        </w:rPr>
        <w:t>gadam</w:t>
      </w:r>
      <w:r w:rsidRPr="004B33D4">
        <w:rPr>
          <w:color w:val="000000" w:themeColor="text1"/>
          <w:szCs w:val="24"/>
        </w:rPr>
        <w:t xml:space="preserve"> tiek prognozēts 7,6% no IKP, kas ir būtiski augstāks nekā plānots, izstrādājot likuma “Par vidēja termiņa budžet</w:t>
      </w:r>
      <w:r>
        <w:rPr>
          <w:color w:val="000000" w:themeColor="text1"/>
          <w:szCs w:val="24"/>
        </w:rPr>
        <w:t>a ietvaru 2020., 2021. un 2022.</w:t>
      </w:r>
      <w:r w:rsidRPr="004B33D4">
        <w:rPr>
          <w:color w:val="000000" w:themeColor="text1"/>
          <w:szCs w:val="24"/>
        </w:rPr>
        <w:t>gadam”, kad Covid-19 infekcijas izplatība vēl nebija prognozējama. Vienlaikus deficīts tiek prognozēts nedaudz mazāks nekā šā gada pavasarī Stabilitātes programmā, kas tika gatavota augstas nenoteiktības apstākļos.</w:t>
      </w:r>
    </w:p>
    <w:p w:rsidR="004B33D4" w:rsidRPr="004B33D4" w:rsidRDefault="004B33D4" w:rsidP="004B33D4">
      <w:pPr>
        <w:spacing w:after="0"/>
        <w:rPr>
          <w:color w:val="000000" w:themeColor="text1"/>
          <w:szCs w:val="24"/>
        </w:rPr>
      </w:pPr>
      <w:r w:rsidRPr="004B33D4">
        <w:rPr>
          <w:color w:val="000000" w:themeColor="text1"/>
          <w:szCs w:val="24"/>
        </w:rPr>
        <w:t>Pēc ierobežojumu mīkstināšanas jūnijā, atjaunojoties ekonomiskajai aktivitātei, ir vērojams pakāpenisks nodokļu ieņēmumu pieaugums, tomēr prognozēts, ka gadā kopumā tie nesasniegs plānoto līmeni un v</w:t>
      </w:r>
      <w:r>
        <w:rPr>
          <w:color w:val="000000" w:themeColor="text1"/>
          <w:szCs w:val="24"/>
        </w:rPr>
        <w:t>arētu būt pat zemāki nekā 2019.</w:t>
      </w:r>
      <w:r w:rsidRPr="004B33D4">
        <w:rPr>
          <w:color w:val="000000" w:themeColor="text1"/>
          <w:szCs w:val="24"/>
        </w:rPr>
        <w:t xml:space="preserve">gadā. Jāatzīmē, ka negatīvu ietekmi uz ieņēmumiem atstāj arī valdības apstiprinātie Covid-19 atbalsta pasākumi, kas paredz nodokļa samaksas termiņa pagarinājumus krīzes skartajiem nodokļu maksātājiem. Ņemot to vērā, kā arī </w:t>
      </w:r>
      <w:r>
        <w:rPr>
          <w:color w:val="000000" w:themeColor="text1"/>
          <w:szCs w:val="24"/>
        </w:rPr>
        <w:t>IKP</w:t>
      </w:r>
      <w:r w:rsidRPr="004B33D4">
        <w:rPr>
          <w:color w:val="000000" w:themeColor="text1"/>
          <w:szCs w:val="24"/>
        </w:rPr>
        <w:t xml:space="preserve"> kritumu, nodokļu slogs pieaugs no 31,4% no IKP 201</w:t>
      </w:r>
      <w:r>
        <w:rPr>
          <w:color w:val="000000" w:themeColor="text1"/>
          <w:szCs w:val="24"/>
        </w:rPr>
        <w:t>9.gadā līdz 32,2% no IKP 2020.</w:t>
      </w:r>
      <w:r w:rsidRPr="004B33D4">
        <w:rPr>
          <w:color w:val="000000" w:themeColor="text1"/>
          <w:szCs w:val="24"/>
        </w:rPr>
        <w:t xml:space="preserve">gadā.  </w:t>
      </w:r>
    </w:p>
    <w:p w:rsidR="004B33D4" w:rsidRPr="004B33D4" w:rsidRDefault="004B33D4" w:rsidP="004B33D4">
      <w:pPr>
        <w:spacing w:after="0"/>
        <w:rPr>
          <w:color w:val="000000" w:themeColor="text1"/>
          <w:szCs w:val="24"/>
        </w:rPr>
      </w:pPr>
      <w:r w:rsidRPr="004B33D4">
        <w:rPr>
          <w:color w:val="000000" w:themeColor="text1"/>
          <w:szCs w:val="24"/>
        </w:rPr>
        <w:t>Lielu daļu no prognozētā deficīta veido Covid-19 atbalsta pasākumu fiskālā ietekme. Atbilstoši F</w:t>
      </w:r>
      <w:r>
        <w:rPr>
          <w:color w:val="000000" w:themeColor="text1"/>
          <w:szCs w:val="24"/>
        </w:rPr>
        <w:t xml:space="preserve">M </w:t>
      </w:r>
      <w:r w:rsidRPr="004B33D4">
        <w:rPr>
          <w:color w:val="000000" w:themeColor="text1"/>
          <w:szCs w:val="24"/>
        </w:rPr>
        <w:t xml:space="preserve">novērtējumam līdz šā gada 20.septembrim apstiprinātais tautsaimniecības atbalsta pasākumu apmērs sasniedza 3,1 miljardu </w:t>
      </w:r>
      <w:r w:rsidRPr="004B33D4">
        <w:rPr>
          <w:i/>
          <w:noProof/>
          <w:color w:val="000000" w:themeColor="text1"/>
          <w:szCs w:val="24"/>
        </w:rPr>
        <w:t>euro</w:t>
      </w:r>
      <w:r w:rsidRPr="004B33D4">
        <w:rPr>
          <w:noProof/>
          <w:color w:val="000000" w:themeColor="text1"/>
          <w:szCs w:val="24"/>
        </w:rPr>
        <w:t xml:space="preserve"> jeb</w:t>
      </w:r>
      <w:r w:rsidRPr="004B33D4">
        <w:rPr>
          <w:color w:val="000000" w:themeColor="text1"/>
          <w:szCs w:val="24"/>
        </w:rPr>
        <w:t xml:space="preserve"> 11,1% no IKP, tostarp par 1 212 milj. </w:t>
      </w:r>
      <w:r w:rsidRPr="004B33D4">
        <w:rPr>
          <w:i/>
          <w:noProof/>
          <w:color w:val="000000" w:themeColor="text1"/>
          <w:szCs w:val="24"/>
        </w:rPr>
        <w:t>euro</w:t>
      </w:r>
      <w:r w:rsidRPr="004B33D4">
        <w:rPr>
          <w:noProof/>
          <w:color w:val="000000" w:themeColor="text1"/>
          <w:szCs w:val="24"/>
        </w:rPr>
        <w:t xml:space="preserve"> jeb 4,3% no IKP palielinot vispārējās valdības budžeta deficītu šogad un par 149,8 milj. </w:t>
      </w:r>
      <w:r w:rsidRPr="004B33D4">
        <w:rPr>
          <w:i/>
          <w:noProof/>
          <w:color w:val="000000" w:themeColor="text1"/>
          <w:szCs w:val="24"/>
        </w:rPr>
        <w:t>euro</w:t>
      </w:r>
      <w:r>
        <w:rPr>
          <w:noProof/>
          <w:color w:val="000000" w:themeColor="text1"/>
          <w:szCs w:val="24"/>
        </w:rPr>
        <w:t xml:space="preserve"> jeb 0,5% no IKP 2021.</w:t>
      </w:r>
      <w:r w:rsidRPr="004B33D4">
        <w:rPr>
          <w:noProof/>
          <w:color w:val="000000" w:themeColor="text1"/>
          <w:szCs w:val="24"/>
        </w:rPr>
        <w:t>gadā. Papildus pasākumiem nodokļu jomā tika finansēti</w:t>
      </w:r>
      <w:r w:rsidRPr="004B33D4">
        <w:rPr>
          <w:color w:val="000000" w:themeColor="text1"/>
          <w:szCs w:val="24"/>
        </w:rPr>
        <w:t xml:space="preserve"> dīkstāves pabalsti un turpināts subsidēt darbavietas tūrisma un eksportējošajos uzņēmumos, novirzīts atbalsts aizdevumiem, garantijām, tai skaitā pašvaldību investīciju veicināšanai, tika atbalstīta aviopārvadājumu nozare, citi pasažieru pārvadātāji, tiek novirzīti līdzekļi veselības aprūpei – gan medicīniskam aprīkojumam, gan veselības infrastruktūras uzlabošanai, tāpat attālinātajam mācību procesam, kultūras un sporta nozarēm zaudējumu segšanai, pārstrukturēti esošie ES fondi Covid-19 krīzes pārvarēšanai. </w:t>
      </w:r>
    </w:p>
    <w:p w:rsidR="004B33D4" w:rsidRPr="004B33D4" w:rsidRDefault="004B33D4" w:rsidP="004B33D4">
      <w:pPr>
        <w:spacing w:after="0"/>
        <w:ind w:firstLine="720"/>
        <w:rPr>
          <w:noProof/>
          <w:color w:val="000000" w:themeColor="text1"/>
          <w:szCs w:val="24"/>
        </w:rPr>
      </w:pPr>
      <w:r>
        <w:rPr>
          <w:b/>
          <w:noProof/>
          <w:color w:val="000000" w:themeColor="text1"/>
          <w:szCs w:val="24"/>
        </w:rPr>
        <w:t>2021.</w:t>
      </w:r>
      <w:r w:rsidRPr="004B33D4">
        <w:rPr>
          <w:b/>
          <w:noProof/>
          <w:color w:val="000000" w:themeColor="text1"/>
          <w:szCs w:val="24"/>
        </w:rPr>
        <w:t xml:space="preserve">gadā </w:t>
      </w:r>
      <w:r w:rsidRPr="004B33D4">
        <w:rPr>
          <w:noProof/>
          <w:color w:val="000000" w:themeColor="text1"/>
          <w:szCs w:val="24"/>
        </w:rPr>
        <w:t xml:space="preserve">vispārējās valdības budžeta deficīts tiek prognozēts 3,9% no IKP, galvenokārt samazinoties kopējiem izdevumiem, jo tik apjomīgs atbalsts Covid-19 krīzes pārvarēšanai nākamgad vairs netiek paredzēts. Taču tiek paredzēts papildus finansējums valdības prioritātēm, kuru finansēšanai ir plānots veikt izmaiņas nodokļu likumdošanā. </w:t>
      </w:r>
      <w:r>
        <w:rPr>
          <w:color w:val="000000" w:themeColor="text1"/>
          <w:szCs w:val="24"/>
        </w:rPr>
        <w:t>Tiek prognozēts, ka 2021.</w:t>
      </w:r>
      <w:r w:rsidRPr="004B33D4">
        <w:rPr>
          <w:color w:val="000000" w:themeColor="text1"/>
          <w:szCs w:val="24"/>
        </w:rPr>
        <w:t>gadā nodokļu ieņēmumu pieaugums atjaunosies un pieaugums būs vērojams visā vidējā termiņā. Nodokļu ieņēmumu pieaugumu sekmēs gan sagaidāmais ekonomiskās aktivitātes pieaugums, gan arī tādi valdības apstiprinātie pasākumi kā minimā</w:t>
      </w:r>
      <w:r>
        <w:rPr>
          <w:color w:val="000000" w:themeColor="text1"/>
          <w:szCs w:val="24"/>
        </w:rPr>
        <w:t xml:space="preserve">lās algas celšana 2021.gadā līdz 500 </w:t>
      </w:r>
      <w:proofErr w:type="spellStart"/>
      <w:r w:rsidRPr="004B33D4">
        <w:rPr>
          <w:i/>
          <w:color w:val="000000" w:themeColor="text1"/>
          <w:szCs w:val="24"/>
        </w:rPr>
        <w:t>euro</w:t>
      </w:r>
      <w:proofErr w:type="spellEnd"/>
      <w:r w:rsidRPr="004B33D4">
        <w:rPr>
          <w:color w:val="000000" w:themeColor="text1"/>
          <w:szCs w:val="24"/>
        </w:rPr>
        <w:t xml:space="preserve"> un minimālā V</w:t>
      </w:r>
      <w:r>
        <w:rPr>
          <w:color w:val="000000" w:themeColor="text1"/>
          <w:szCs w:val="24"/>
        </w:rPr>
        <w:t>SAOI objekta ieviešana ar 2021.</w:t>
      </w:r>
      <w:r w:rsidRPr="004B33D4">
        <w:rPr>
          <w:color w:val="000000" w:themeColor="text1"/>
          <w:szCs w:val="24"/>
        </w:rPr>
        <w:t>gada 1.jūliju, tāpat arī atgriezeniskais efekts no atlīdzības palielināšanas ārstni</w:t>
      </w:r>
      <w:r>
        <w:rPr>
          <w:color w:val="000000" w:themeColor="text1"/>
          <w:szCs w:val="24"/>
        </w:rPr>
        <w:t xml:space="preserve">ecības personām, pedagogiem 5-6 </w:t>
      </w:r>
      <w:r w:rsidRPr="004B33D4">
        <w:rPr>
          <w:color w:val="000000" w:themeColor="text1"/>
          <w:szCs w:val="24"/>
        </w:rPr>
        <w:t>gadīgo izglītībā un vispārējā izglītībā, kā arī akadēmi</w:t>
      </w:r>
      <w:r>
        <w:rPr>
          <w:color w:val="000000" w:themeColor="text1"/>
          <w:szCs w:val="24"/>
        </w:rPr>
        <w:t>skajam personālam augstskolās. Tāpat 2021.</w:t>
      </w:r>
      <w:r w:rsidRPr="004B33D4">
        <w:rPr>
          <w:color w:val="000000" w:themeColor="text1"/>
          <w:szCs w:val="24"/>
        </w:rPr>
        <w:t>gada vispārējās valdības budžetā nozīmīgā apjomā ir ieplānots finansējuma pieaugums Satversmes tiesas spriedumu izpildei labklājības jomā minimālo pensiju un valsts sociālā nodrošinājuma pabalsta paaugstināšanai, garantētā minimālā ienākuma (GMI) un mājokļa pabalsta finansēšanai, kā arī sociālo garantiju palielināšanai bāreņiem un bez vecāku gādības palikušiem bērniem.</w:t>
      </w:r>
    </w:p>
    <w:p w:rsidR="000124BF" w:rsidRDefault="000124BF" w:rsidP="000124BF">
      <w:pPr>
        <w:rPr>
          <w:highlight w:val="yellow"/>
          <w:lang w:val="x-none" w:eastAsia="x-none"/>
        </w:rPr>
      </w:pPr>
    </w:p>
    <w:p w:rsidR="004B33D4" w:rsidRPr="00BF5371" w:rsidRDefault="004B33D4" w:rsidP="000124BF">
      <w:pPr>
        <w:rPr>
          <w:highlight w:val="yellow"/>
          <w:lang w:val="x-none" w:eastAsia="x-none"/>
        </w:rPr>
      </w:pPr>
    </w:p>
    <w:p w:rsidR="004B33D4" w:rsidRDefault="004B33D4">
      <w:pPr>
        <w:spacing w:after="0"/>
        <w:ind w:firstLine="0"/>
        <w:jc w:val="left"/>
        <w:rPr>
          <w:b/>
          <w:bCs/>
          <w:color w:val="18185F"/>
          <w:szCs w:val="28"/>
          <w:lang w:val="x-none" w:eastAsia="x-none"/>
        </w:rPr>
      </w:pPr>
      <w:r>
        <w:rPr>
          <w:color w:val="18185F"/>
        </w:rPr>
        <w:br w:type="page"/>
      </w:r>
    </w:p>
    <w:p w:rsidR="00237652" w:rsidRPr="00A36A1C" w:rsidRDefault="00237652" w:rsidP="004171A5">
      <w:pPr>
        <w:pStyle w:val="Heading1"/>
        <w:tabs>
          <w:tab w:val="left" w:pos="1276"/>
        </w:tabs>
        <w:spacing w:before="120" w:after="120"/>
        <w:ind w:left="1276" w:hanging="1276"/>
        <w:jc w:val="left"/>
        <w:rPr>
          <w:rFonts w:ascii="Times New Roman" w:hAnsi="Times New Roman"/>
        </w:rPr>
      </w:pPr>
      <w:bookmarkStart w:id="38" w:name="_Toc53388943"/>
      <w:r w:rsidRPr="00A36A1C">
        <w:rPr>
          <w:rFonts w:ascii="Times New Roman" w:hAnsi="Times New Roman"/>
          <w:color w:val="18185F"/>
          <w:sz w:val="24"/>
        </w:rPr>
        <w:lastRenderedPageBreak/>
        <w:t>Tabula 7: Salīdzinājums ar Stabilitātes programmu 20</w:t>
      </w:r>
      <w:r w:rsidR="00A36A1C" w:rsidRPr="00A36A1C">
        <w:rPr>
          <w:rFonts w:ascii="Times New Roman" w:hAnsi="Times New Roman"/>
          <w:color w:val="18185F"/>
          <w:sz w:val="24"/>
          <w:lang w:val="lv-LV"/>
        </w:rPr>
        <w:t>20</w:t>
      </w:r>
      <w:r w:rsidR="000D29EE" w:rsidRPr="00A36A1C">
        <w:rPr>
          <w:rFonts w:ascii="Times New Roman" w:hAnsi="Times New Roman"/>
          <w:color w:val="18185F"/>
          <w:sz w:val="24"/>
          <w:lang w:val="lv-LV"/>
        </w:rPr>
        <w:t>.</w:t>
      </w:r>
      <w:r w:rsidR="00614666" w:rsidRPr="00A36A1C">
        <w:rPr>
          <w:rFonts w:ascii="Times New Roman" w:hAnsi="Times New Roman"/>
          <w:noProof/>
          <w:color w:val="000000" w:themeColor="text1"/>
        </w:rPr>
        <w:t>–</w:t>
      </w:r>
      <w:r w:rsidR="006B28DB" w:rsidRPr="00A36A1C">
        <w:rPr>
          <w:rFonts w:ascii="Times New Roman" w:hAnsi="Times New Roman"/>
          <w:color w:val="18185F"/>
          <w:sz w:val="24"/>
        </w:rPr>
        <w:t>202</w:t>
      </w:r>
      <w:r w:rsidR="00A36A1C" w:rsidRPr="00A36A1C">
        <w:rPr>
          <w:rFonts w:ascii="Times New Roman" w:hAnsi="Times New Roman"/>
          <w:color w:val="18185F"/>
          <w:sz w:val="24"/>
          <w:lang w:val="lv-LV"/>
        </w:rPr>
        <w:t>3</w:t>
      </w:r>
      <w:r w:rsidR="000D29EE" w:rsidRPr="00A36A1C">
        <w:rPr>
          <w:rFonts w:ascii="Times New Roman" w:hAnsi="Times New Roman"/>
          <w:color w:val="18185F"/>
          <w:sz w:val="24"/>
          <w:lang w:val="lv-LV"/>
        </w:rPr>
        <w:t>.gadam</w:t>
      </w:r>
      <w:bookmarkEnd w:id="38"/>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95442F" w:rsidRPr="00A36A1C"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rsidR="0095442F" w:rsidRPr="00A36A1C" w:rsidRDefault="0095442F" w:rsidP="0095442F">
            <w:pPr>
              <w:spacing w:after="0"/>
              <w:ind w:firstLine="0"/>
              <w:jc w:val="left"/>
              <w:rPr>
                <w:color w:val="000000"/>
                <w:szCs w:val="24"/>
                <w:lang w:eastAsia="lv-LV"/>
              </w:rPr>
            </w:pPr>
            <w:r w:rsidRPr="00A36A1C">
              <w:rPr>
                <w:color w:val="000000"/>
                <w:szCs w:val="24"/>
                <w:lang w:eastAsia="lv-LV"/>
              </w:rPr>
              <w:t> </w:t>
            </w:r>
          </w:p>
        </w:tc>
        <w:tc>
          <w:tcPr>
            <w:tcW w:w="960" w:type="dxa"/>
            <w:vAlign w:val="center"/>
            <w:hideMark/>
          </w:tcPr>
          <w:p w:rsidR="0095442F" w:rsidRPr="00A36A1C"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A36A1C">
              <w:rPr>
                <w:color w:val="000000"/>
                <w:szCs w:val="24"/>
                <w:lang w:eastAsia="lv-LV"/>
              </w:rPr>
              <w:t>EKS kods</w:t>
            </w:r>
          </w:p>
        </w:tc>
        <w:tc>
          <w:tcPr>
            <w:tcW w:w="858" w:type="dxa"/>
            <w:vAlign w:val="center"/>
            <w:hideMark/>
          </w:tcPr>
          <w:p w:rsidR="0095442F" w:rsidRPr="00A36A1C"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A36A1C">
              <w:rPr>
                <w:bCs w:val="0"/>
                <w:color w:val="000000"/>
                <w:szCs w:val="24"/>
              </w:rPr>
              <w:t>201</w:t>
            </w:r>
            <w:r w:rsidR="00A36A1C" w:rsidRPr="00A36A1C">
              <w:rPr>
                <w:bCs w:val="0"/>
                <w:color w:val="000000"/>
                <w:szCs w:val="24"/>
              </w:rPr>
              <w:t>9</w:t>
            </w:r>
          </w:p>
        </w:tc>
        <w:tc>
          <w:tcPr>
            <w:tcW w:w="851" w:type="dxa"/>
            <w:vAlign w:val="center"/>
            <w:hideMark/>
          </w:tcPr>
          <w:p w:rsidR="0095442F" w:rsidRPr="00A36A1C"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A36A1C">
              <w:rPr>
                <w:bCs w:val="0"/>
                <w:color w:val="000000"/>
                <w:szCs w:val="24"/>
              </w:rPr>
              <w:t>20</w:t>
            </w:r>
            <w:r w:rsidR="00A36A1C" w:rsidRPr="00A36A1C">
              <w:rPr>
                <w:bCs w:val="0"/>
                <w:color w:val="000000"/>
                <w:szCs w:val="24"/>
              </w:rPr>
              <w:t>20</w:t>
            </w:r>
          </w:p>
        </w:tc>
        <w:tc>
          <w:tcPr>
            <w:tcW w:w="850" w:type="dxa"/>
            <w:vAlign w:val="center"/>
            <w:hideMark/>
          </w:tcPr>
          <w:p w:rsidR="0095442F" w:rsidRPr="00A36A1C" w:rsidRDefault="0095442F" w:rsidP="00A36A1C">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A36A1C">
              <w:rPr>
                <w:bCs w:val="0"/>
                <w:color w:val="000000"/>
                <w:szCs w:val="24"/>
              </w:rPr>
              <w:t>202</w:t>
            </w:r>
            <w:r w:rsidR="00A36A1C" w:rsidRPr="00A36A1C">
              <w:rPr>
                <w:bCs w:val="0"/>
                <w:color w:val="000000"/>
                <w:szCs w:val="24"/>
              </w:rPr>
              <w:t>1</w:t>
            </w:r>
          </w:p>
        </w:tc>
      </w:tr>
      <w:tr w:rsidR="00237652" w:rsidRPr="00A36A1C"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rsidR="00237652" w:rsidRPr="00A36A1C" w:rsidRDefault="00237652" w:rsidP="002E4551">
            <w:pPr>
              <w:spacing w:after="0"/>
              <w:ind w:firstLine="0"/>
              <w:jc w:val="center"/>
              <w:rPr>
                <w:color w:val="000000"/>
                <w:szCs w:val="24"/>
                <w:lang w:eastAsia="lv-LV"/>
              </w:rPr>
            </w:pPr>
          </w:p>
        </w:tc>
        <w:tc>
          <w:tcPr>
            <w:tcW w:w="960" w:type="dxa"/>
            <w:hideMark/>
          </w:tcPr>
          <w:p w:rsidR="00237652" w:rsidRPr="00A36A1C"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xml:space="preserve"> </w:t>
            </w:r>
          </w:p>
        </w:tc>
        <w:tc>
          <w:tcPr>
            <w:tcW w:w="2559" w:type="dxa"/>
            <w:gridSpan w:val="3"/>
            <w:hideMark/>
          </w:tcPr>
          <w:p w:rsidR="00237652" w:rsidRPr="00A36A1C"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xml:space="preserve">% no IKP  </w:t>
            </w:r>
          </w:p>
        </w:tc>
      </w:tr>
      <w:tr w:rsidR="00237652" w:rsidRPr="00A36A1C"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237652" w:rsidRPr="00A36A1C" w:rsidRDefault="00237652" w:rsidP="00323B3B">
            <w:pPr>
              <w:spacing w:after="0"/>
              <w:ind w:firstLine="0"/>
              <w:jc w:val="left"/>
              <w:rPr>
                <w:bCs w:val="0"/>
                <w:color w:val="000000"/>
                <w:szCs w:val="24"/>
                <w:lang w:eastAsia="lv-LV"/>
              </w:rPr>
            </w:pPr>
            <w:r w:rsidRPr="00A36A1C">
              <w:rPr>
                <w:color w:val="000000"/>
                <w:szCs w:val="24"/>
                <w:lang w:eastAsia="lv-LV"/>
              </w:rPr>
              <w:t>Vispārējās valdības budžeta bilance</w:t>
            </w:r>
          </w:p>
        </w:tc>
        <w:tc>
          <w:tcPr>
            <w:tcW w:w="960" w:type="dxa"/>
            <w:vAlign w:val="center"/>
            <w:hideMark/>
          </w:tcPr>
          <w:p w:rsidR="00237652" w:rsidRPr="00A36A1C"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A36A1C">
              <w:rPr>
                <w:bCs/>
                <w:color w:val="000000"/>
                <w:szCs w:val="24"/>
                <w:lang w:eastAsia="lv-LV"/>
              </w:rPr>
              <w:t>B.9</w:t>
            </w:r>
          </w:p>
        </w:tc>
        <w:tc>
          <w:tcPr>
            <w:tcW w:w="2559" w:type="dxa"/>
            <w:gridSpan w:val="3"/>
            <w:hideMark/>
          </w:tcPr>
          <w:p w:rsidR="00237652" w:rsidRPr="00A36A1C"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A36A1C">
              <w:rPr>
                <w:bCs/>
                <w:color w:val="000000"/>
                <w:szCs w:val="24"/>
                <w:lang w:eastAsia="lv-LV"/>
              </w:rPr>
              <w:t> </w:t>
            </w:r>
          </w:p>
        </w:tc>
      </w:tr>
      <w:tr w:rsidR="00A36A1C" w:rsidRPr="00A36A1C" w:rsidTr="00C22F2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Stabilitātes programma</w:t>
            </w:r>
          </w:p>
        </w:tc>
        <w:tc>
          <w:tcPr>
            <w:tcW w:w="960" w:type="dxa"/>
            <w:hideMark/>
          </w:tcPr>
          <w:p w:rsidR="00A36A1C" w:rsidRPr="00A36A1C" w:rsidRDefault="00A36A1C" w:rsidP="00A36A1C">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-0,2</w:t>
            </w:r>
          </w:p>
        </w:tc>
        <w:tc>
          <w:tcPr>
            <w:tcW w:w="851"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-9,4</w:t>
            </w:r>
          </w:p>
        </w:tc>
        <w:tc>
          <w:tcPr>
            <w:tcW w:w="850"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-5,0</w:t>
            </w:r>
          </w:p>
        </w:tc>
      </w:tr>
      <w:tr w:rsidR="00A36A1C" w:rsidRPr="00A36A1C" w:rsidTr="00C22F2C">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Vispārējās valdības budžeta plāna projekts</w:t>
            </w:r>
          </w:p>
        </w:tc>
        <w:tc>
          <w:tcPr>
            <w:tcW w:w="960" w:type="dxa"/>
            <w:hideMark/>
          </w:tcPr>
          <w:p w:rsidR="00A36A1C" w:rsidRPr="00A36A1C" w:rsidRDefault="00A36A1C" w:rsidP="00A36A1C">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-0,2</w:t>
            </w:r>
          </w:p>
        </w:tc>
        <w:tc>
          <w:tcPr>
            <w:tcW w:w="851"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-7,6</w:t>
            </w:r>
          </w:p>
        </w:tc>
        <w:tc>
          <w:tcPr>
            <w:tcW w:w="850"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-3,9</w:t>
            </w:r>
          </w:p>
        </w:tc>
      </w:tr>
      <w:tr w:rsidR="00A36A1C" w:rsidRPr="00A36A1C" w:rsidTr="00C22F2C">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Starpība</w:t>
            </w:r>
          </w:p>
        </w:tc>
        <w:tc>
          <w:tcPr>
            <w:tcW w:w="960" w:type="dxa"/>
            <w:hideMark/>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0,0</w:t>
            </w:r>
          </w:p>
        </w:tc>
        <w:tc>
          <w:tcPr>
            <w:tcW w:w="851"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1,8</w:t>
            </w:r>
          </w:p>
        </w:tc>
        <w:tc>
          <w:tcPr>
            <w:tcW w:w="850"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1,0</w:t>
            </w:r>
          </w:p>
        </w:tc>
      </w:tr>
      <w:tr w:rsidR="00237652" w:rsidRPr="00A36A1C"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237652" w:rsidRPr="00A36A1C" w:rsidRDefault="00237652" w:rsidP="00323B3B">
            <w:pPr>
              <w:spacing w:after="0"/>
              <w:ind w:firstLine="0"/>
              <w:jc w:val="left"/>
              <w:rPr>
                <w:bCs w:val="0"/>
                <w:color w:val="000000"/>
                <w:szCs w:val="24"/>
                <w:lang w:eastAsia="lv-LV"/>
              </w:rPr>
            </w:pPr>
            <w:r w:rsidRPr="00A36A1C">
              <w:rPr>
                <w:color w:val="000000"/>
                <w:szCs w:val="24"/>
                <w:lang w:eastAsia="lv-LV"/>
              </w:rPr>
              <w:t>Vispārējās valdības budžeta bilance pie nemainīgas politikas</w:t>
            </w:r>
          </w:p>
        </w:tc>
        <w:tc>
          <w:tcPr>
            <w:tcW w:w="960" w:type="dxa"/>
            <w:vAlign w:val="center"/>
            <w:hideMark/>
          </w:tcPr>
          <w:p w:rsidR="00237652" w:rsidRPr="00A36A1C"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A36A1C">
              <w:rPr>
                <w:bCs/>
                <w:color w:val="000000"/>
                <w:szCs w:val="24"/>
                <w:lang w:eastAsia="lv-LV"/>
              </w:rPr>
              <w:t>B.9</w:t>
            </w:r>
          </w:p>
        </w:tc>
        <w:tc>
          <w:tcPr>
            <w:tcW w:w="2559" w:type="dxa"/>
            <w:gridSpan w:val="3"/>
            <w:vAlign w:val="center"/>
          </w:tcPr>
          <w:p w:rsidR="00237652" w:rsidRPr="00A36A1C"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lang w:eastAsia="lv-LV"/>
              </w:rPr>
            </w:pPr>
          </w:p>
        </w:tc>
      </w:tr>
      <w:tr w:rsidR="00A36A1C" w:rsidRPr="00A36A1C" w:rsidTr="00C22F2C">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Stabilitātes programma</w:t>
            </w:r>
          </w:p>
        </w:tc>
        <w:tc>
          <w:tcPr>
            <w:tcW w:w="960" w:type="dxa"/>
            <w:hideMark/>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-0,2</w:t>
            </w:r>
          </w:p>
        </w:tc>
        <w:tc>
          <w:tcPr>
            <w:tcW w:w="851"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-9,4</w:t>
            </w:r>
          </w:p>
        </w:tc>
        <w:tc>
          <w:tcPr>
            <w:tcW w:w="850"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-5,0</w:t>
            </w:r>
          </w:p>
        </w:tc>
      </w:tr>
      <w:tr w:rsidR="00A36A1C" w:rsidRPr="00A36A1C" w:rsidTr="00C22F2C">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Vispārējās valdības budžeta plāna projekts</w:t>
            </w:r>
          </w:p>
        </w:tc>
        <w:tc>
          <w:tcPr>
            <w:tcW w:w="960" w:type="dxa"/>
            <w:hideMark/>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-0,2</w:t>
            </w:r>
          </w:p>
        </w:tc>
        <w:tc>
          <w:tcPr>
            <w:tcW w:w="851"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-7,6</w:t>
            </w:r>
          </w:p>
        </w:tc>
        <w:tc>
          <w:tcPr>
            <w:tcW w:w="850" w:type="dxa"/>
            <w:vAlign w:val="center"/>
          </w:tcPr>
          <w:p w:rsidR="00A36A1C" w:rsidRPr="00A36A1C" w:rsidRDefault="00A36A1C" w:rsidP="00A36A1C">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A36A1C">
              <w:rPr>
                <w:color w:val="000000"/>
                <w:szCs w:val="24"/>
              </w:rPr>
              <w:t>-3,9</w:t>
            </w:r>
          </w:p>
        </w:tc>
      </w:tr>
      <w:tr w:rsidR="00A36A1C" w:rsidRPr="00A36A1C" w:rsidTr="00C22F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rsidR="00A36A1C" w:rsidRPr="00A36A1C" w:rsidRDefault="00A36A1C" w:rsidP="00A36A1C">
            <w:pPr>
              <w:spacing w:after="0"/>
              <w:ind w:firstLine="0"/>
              <w:jc w:val="left"/>
              <w:rPr>
                <w:b w:val="0"/>
                <w:color w:val="000000"/>
                <w:szCs w:val="24"/>
                <w:lang w:eastAsia="lv-LV"/>
              </w:rPr>
            </w:pPr>
            <w:r w:rsidRPr="00A36A1C">
              <w:rPr>
                <w:b w:val="0"/>
                <w:color w:val="000000"/>
                <w:szCs w:val="24"/>
                <w:lang w:eastAsia="lv-LV"/>
              </w:rPr>
              <w:t>Starpība</w:t>
            </w:r>
          </w:p>
        </w:tc>
        <w:tc>
          <w:tcPr>
            <w:tcW w:w="960" w:type="dxa"/>
            <w:hideMark/>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lang w:eastAsia="lv-LV"/>
              </w:rPr>
              <w:t> </w:t>
            </w:r>
          </w:p>
        </w:tc>
        <w:tc>
          <w:tcPr>
            <w:tcW w:w="858"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0,0</w:t>
            </w:r>
          </w:p>
        </w:tc>
        <w:tc>
          <w:tcPr>
            <w:tcW w:w="851"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1,8</w:t>
            </w:r>
          </w:p>
        </w:tc>
        <w:tc>
          <w:tcPr>
            <w:tcW w:w="850" w:type="dxa"/>
            <w:vAlign w:val="center"/>
          </w:tcPr>
          <w:p w:rsidR="00A36A1C" w:rsidRPr="00A36A1C" w:rsidRDefault="00A36A1C" w:rsidP="00A36A1C">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A36A1C">
              <w:rPr>
                <w:color w:val="000000"/>
                <w:szCs w:val="24"/>
              </w:rPr>
              <w:t>1,0</w:t>
            </w:r>
          </w:p>
        </w:tc>
      </w:tr>
    </w:tbl>
    <w:p w:rsidR="00237652" w:rsidRPr="00BF5371" w:rsidRDefault="00237652" w:rsidP="00237652">
      <w:pPr>
        <w:spacing w:after="0"/>
        <w:ind w:firstLine="0"/>
        <w:jc w:val="left"/>
        <w:rPr>
          <w:color w:val="000000" w:themeColor="text1"/>
          <w:szCs w:val="24"/>
          <w:highlight w:val="yellow"/>
        </w:rPr>
      </w:pPr>
    </w:p>
    <w:p w:rsidR="000062EE" w:rsidRPr="00BF5371" w:rsidRDefault="000062EE" w:rsidP="008E74DD">
      <w:pPr>
        <w:spacing w:after="0"/>
        <w:ind w:firstLine="0"/>
        <w:rPr>
          <w:color w:val="000000" w:themeColor="text1"/>
          <w:szCs w:val="24"/>
          <w:highlight w:val="yellow"/>
        </w:rPr>
      </w:pPr>
    </w:p>
    <w:p w:rsidR="0012489F" w:rsidRPr="00BF5371" w:rsidRDefault="0012489F">
      <w:pPr>
        <w:spacing w:after="0"/>
        <w:ind w:firstLine="0"/>
        <w:jc w:val="left"/>
        <w:rPr>
          <w:b/>
          <w:bCs/>
          <w:color w:val="18185E"/>
          <w:sz w:val="28"/>
          <w:szCs w:val="28"/>
          <w:highlight w:val="yellow"/>
          <w:lang w:eastAsia="x-none"/>
        </w:rPr>
      </w:pPr>
      <w:r w:rsidRPr="00BF5371">
        <w:rPr>
          <w:color w:val="18185E"/>
          <w:sz w:val="28"/>
          <w:highlight w:val="yellow"/>
        </w:rPr>
        <w:br w:type="page"/>
      </w:r>
    </w:p>
    <w:p w:rsidR="00B71106" w:rsidRPr="000B10C4" w:rsidRDefault="00B71106" w:rsidP="00B71106">
      <w:pPr>
        <w:pStyle w:val="Heading1"/>
        <w:tabs>
          <w:tab w:val="left" w:pos="1276"/>
        </w:tabs>
        <w:spacing w:before="0" w:after="240"/>
        <w:ind w:firstLine="0"/>
        <w:jc w:val="center"/>
        <w:rPr>
          <w:rFonts w:ascii="Times New Roman" w:hAnsi="Times New Roman"/>
          <w:color w:val="18185E"/>
          <w:sz w:val="28"/>
        </w:rPr>
      </w:pPr>
      <w:bookmarkStart w:id="39" w:name="_Toc53388944"/>
      <w:r w:rsidRPr="000B10C4">
        <w:rPr>
          <w:rFonts w:ascii="Times New Roman" w:hAnsi="Times New Roman"/>
          <w:color w:val="18185E"/>
          <w:sz w:val="28"/>
          <w:lang w:val="lv-LV"/>
        </w:rPr>
        <w:lastRenderedPageBreak/>
        <w:t>Pielikums: Metodoloģiskie aspekti</w:t>
      </w:r>
      <w:bookmarkEnd w:id="39"/>
    </w:p>
    <w:p w:rsidR="005C0B54" w:rsidRPr="000B10C4" w:rsidRDefault="005C0B54" w:rsidP="005B7285">
      <w:pPr>
        <w:spacing w:after="0"/>
        <w:ind w:firstLine="720"/>
        <w:rPr>
          <w:sz w:val="22"/>
        </w:rPr>
      </w:pPr>
      <w:r w:rsidRPr="000B10C4">
        <w:t xml:space="preserve">Makroekonomiskās prognozes tiek veidotas vidēja termiņa makroekonomiskajā modelī, kas nodrošina makroekonomisko </w:t>
      </w:r>
      <w:r w:rsidR="00A94225" w:rsidRPr="000B10C4">
        <w:t xml:space="preserve">likumsakarību </w:t>
      </w:r>
      <w:r w:rsidRPr="000B10C4">
        <w:t xml:space="preserve">ievērošanu </w:t>
      </w:r>
      <w:r w:rsidR="00146D1F" w:rsidRPr="000B10C4">
        <w:t xml:space="preserve">prognozēs un par pamatu izmanto </w:t>
      </w:r>
      <w:r w:rsidRPr="000B10C4">
        <w:t>īstermiņa un vidēja termiņa ekonometrisko modeļu rezultātus, kā arī eksperta vērtējumus.</w:t>
      </w:r>
    </w:p>
    <w:p w:rsidR="005C0B54" w:rsidRPr="000B10C4" w:rsidRDefault="005C0B54" w:rsidP="005030D2">
      <w:pPr>
        <w:spacing w:after="0"/>
        <w:ind w:firstLine="720"/>
      </w:pPr>
      <w:r w:rsidRPr="000B10C4">
        <w:t>Sagatavojot nodokļu ieņēmumu prognozes</w:t>
      </w:r>
      <w:r w:rsidR="00CA759A" w:rsidRPr="000B10C4">
        <w:t>,</w:t>
      </w:r>
      <w:r w:rsidRPr="000B10C4">
        <w:t xml:space="preserve"> tiek izmantotas plaši pazīstamas prognozēšanas metodes un pieņēmumi, tomēr visvairāk tiek izmantots prognozēšanai speciāli izstrādāts rīks, t.i., modelis LATIM</w:t>
      </w:r>
      <w:r w:rsidR="00A67950" w:rsidRPr="000B10C4">
        <w:t>–</w:t>
      </w:r>
      <w:r w:rsidRPr="000B10C4">
        <w:t>F. Biežāk izmantotie nodokļu ieņēmumu prognozēšanas paņēmieni:</w:t>
      </w:r>
    </w:p>
    <w:p w:rsidR="00E0622C" w:rsidRPr="000B10C4" w:rsidRDefault="005C0B54" w:rsidP="00DF7139">
      <w:pPr>
        <w:pStyle w:val="ListParagraph"/>
        <w:numPr>
          <w:ilvl w:val="0"/>
          <w:numId w:val="9"/>
        </w:numPr>
        <w:spacing w:after="0" w:line="240" w:lineRule="auto"/>
        <w:contextualSpacing w:val="0"/>
        <w:rPr>
          <w:rFonts w:ascii="Times New Roman" w:hAnsi="Times New Roman"/>
        </w:rPr>
      </w:pPr>
      <w:r w:rsidRPr="000B10C4">
        <w:rPr>
          <w:rFonts w:ascii="Times New Roman" w:hAnsi="Times New Roman"/>
          <w:sz w:val="24"/>
          <w:szCs w:val="24"/>
        </w:rPr>
        <w:t>izmantojot detalizētu nodokļa ieņēmumu aprēķinu;</w:t>
      </w:r>
    </w:p>
    <w:p w:rsidR="00E0622C" w:rsidRPr="000B10C4" w:rsidRDefault="005C0B54" w:rsidP="00DF7139">
      <w:pPr>
        <w:pStyle w:val="ListParagraph"/>
        <w:numPr>
          <w:ilvl w:val="0"/>
          <w:numId w:val="9"/>
        </w:numPr>
        <w:spacing w:after="0" w:line="240" w:lineRule="auto"/>
        <w:contextualSpacing w:val="0"/>
        <w:rPr>
          <w:rFonts w:ascii="Times New Roman" w:hAnsi="Times New Roman"/>
        </w:rPr>
      </w:pPr>
      <w:r w:rsidRPr="000B10C4">
        <w:rPr>
          <w:rFonts w:ascii="Times New Roman" w:hAnsi="Times New Roman"/>
          <w:sz w:val="24"/>
          <w:szCs w:val="24"/>
        </w:rPr>
        <w:t>prognozējot nodokļu ieņēmumu īpatsvaru IKP, %;</w:t>
      </w:r>
    </w:p>
    <w:p w:rsidR="00E0622C" w:rsidRPr="000B10C4" w:rsidRDefault="005C0B54" w:rsidP="00DF7139">
      <w:pPr>
        <w:pStyle w:val="ListParagraph"/>
        <w:numPr>
          <w:ilvl w:val="0"/>
          <w:numId w:val="9"/>
        </w:numPr>
        <w:spacing w:after="0" w:line="240" w:lineRule="auto"/>
        <w:contextualSpacing w:val="0"/>
        <w:rPr>
          <w:rFonts w:ascii="Times New Roman" w:hAnsi="Times New Roman"/>
        </w:rPr>
      </w:pPr>
      <w:r w:rsidRPr="000B10C4">
        <w:rPr>
          <w:rFonts w:ascii="Times New Roman" w:hAnsi="Times New Roman"/>
          <w:sz w:val="24"/>
          <w:szCs w:val="24"/>
        </w:rPr>
        <w:t xml:space="preserve">prognozējot </w:t>
      </w:r>
      <w:r w:rsidR="00521399" w:rsidRPr="000B10C4">
        <w:rPr>
          <w:rFonts w:ascii="Times New Roman" w:hAnsi="Times New Roman"/>
          <w:sz w:val="24"/>
          <w:szCs w:val="24"/>
        </w:rPr>
        <w:t>nodokļa reālās apliekamās bāzes/</w:t>
      </w:r>
      <w:r w:rsidRPr="000B10C4">
        <w:rPr>
          <w:rFonts w:ascii="Times New Roman" w:hAnsi="Times New Roman"/>
          <w:sz w:val="24"/>
          <w:szCs w:val="24"/>
        </w:rPr>
        <w:t>modelētās bāzes attiecību;</w:t>
      </w:r>
    </w:p>
    <w:p w:rsidR="00E0622C" w:rsidRPr="000B10C4" w:rsidRDefault="005C0B54" w:rsidP="00DF7139">
      <w:pPr>
        <w:pStyle w:val="ListParagraph"/>
        <w:numPr>
          <w:ilvl w:val="0"/>
          <w:numId w:val="9"/>
        </w:numPr>
        <w:spacing w:after="0" w:line="240" w:lineRule="auto"/>
        <w:contextualSpacing w:val="0"/>
        <w:rPr>
          <w:rFonts w:ascii="Times New Roman" w:hAnsi="Times New Roman"/>
        </w:rPr>
      </w:pPr>
      <w:r w:rsidRPr="000B10C4">
        <w:rPr>
          <w:rFonts w:ascii="Times New Roman" w:hAnsi="Times New Roman"/>
          <w:sz w:val="24"/>
          <w:szCs w:val="24"/>
        </w:rPr>
        <w:t>izmantojot eksperta novērtējumu;</w:t>
      </w:r>
    </w:p>
    <w:p w:rsidR="005C0B54" w:rsidRPr="000B10C4" w:rsidRDefault="005C0B54" w:rsidP="00DF7139">
      <w:pPr>
        <w:pStyle w:val="ListParagraph"/>
        <w:numPr>
          <w:ilvl w:val="0"/>
          <w:numId w:val="9"/>
        </w:numPr>
        <w:spacing w:after="0" w:line="240" w:lineRule="auto"/>
        <w:contextualSpacing w:val="0"/>
        <w:rPr>
          <w:rFonts w:ascii="Times New Roman" w:hAnsi="Times New Roman"/>
        </w:rPr>
      </w:pPr>
      <w:r w:rsidRPr="000B10C4">
        <w:rPr>
          <w:rFonts w:ascii="Times New Roman" w:hAnsi="Times New Roman"/>
          <w:sz w:val="24"/>
          <w:szCs w:val="24"/>
        </w:rPr>
        <w:t>izmantojot citus paņēmienus.</w:t>
      </w:r>
    </w:p>
    <w:p w:rsidR="005C0B54" w:rsidRPr="000B10C4" w:rsidRDefault="005C0B54" w:rsidP="005030D2">
      <w:pPr>
        <w:spacing w:after="0"/>
        <w:ind w:firstLine="720"/>
      </w:pPr>
      <w:r w:rsidRPr="000B10C4">
        <w:t xml:space="preserve">Lai aprēķinātu nodokļu ieņēmumu prognozes, </w:t>
      </w:r>
      <w:r w:rsidR="007D2E71" w:rsidRPr="000B10C4">
        <w:t>FM</w:t>
      </w:r>
      <w:r w:rsidRPr="000B10C4">
        <w:t>, kā tika minēts iepriekš, izmanto nodokļu ieņēmumu prognožu modeli LATIM</w:t>
      </w:r>
      <w:r w:rsidR="00A67950" w:rsidRPr="000B10C4">
        <w:t>–</w:t>
      </w:r>
      <w:r w:rsidRPr="000B10C4">
        <w:t>F, kura galvenās sastāvdaļas ir makroekonomisko rādītāju datu bāze, faktisko nodokļu ieņēmumu datu bāze un likumdošanas izmaiņas (ieskaitot nodokļu likmes utt.). Tāpat analīzē tiek izmatota V</w:t>
      </w:r>
      <w:r w:rsidR="00990341">
        <w:t>alsts kases</w:t>
      </w:r>
      <w:r w:rsidRPr="000B10C4">
        <w:t>, V</w:t>
      </w:r>
      <w:r w:rsidR="00990341">
        <w:t xml:space="preserve">ID, </w:t>
      </w:r>
      <w:r w:rsidR="00412152" w:rsidRPr="000B10C4">
        <w:t>CSP</w:t>
      </w:r>
      <w:r w:rsidRPr="000B10C4">
        <w:t xml:space="preserve"> u.c. informācija.</w:t>
      </w:r>
    </w:p>
    <w:p w:rsidR="000430B8" w:rsidRPr="000B10C4" w:rsidRDefault="000430B8" w:rsidP="000430B8">
      <w:pPr>
        <w:spacing w:after="60" w:line="276" w:lineRule="auto"/>
        <w:ind w:firstLine="0"/>
      </w:pPr>
    </w:p>
    <w:p w:rsidR="000430B8" w:rsidRDefault="000430B8" w:rsidP="000430B8">
      <w:pPr>
        <w:spacing w:after="60" w:line="276" w:lineRule="auto"/>
        <w:ind w:firstLine="0"/>
      </w:pPr>
    </w:p>
    <w:p w:rsidR="00E63C68" w:rsidRDefault="00E63C68" w:rsidP="000430B8">
      <w:pPr>
        <w:spacing w:after="60" w:line="276" w:lineRule="auto"/>
        <w:ind w:firstLine="0"/>
      </w:pPr>
    </w:p>
    <w:p w:rsidR="00E63C68" w:rsidRDefault="00E63C68" w:rsidP="000430B8">
      <w:pPr>
        <w:spacing w:after="60" w:line="276" w:lineRule="auto"/>
        <w:ind w:firstLine="0"/>
      </w:pPr>
    </w:p>
    <w:p w:rsidR="00E63C68" w:rsidRPr="000B10C4" w:rsidRDefault="00E63C68" w:rsidP="000430B8">
      <w:pPr>
        <w:spacing w:after="60" w:line="276" w:lineRule="auto"/>
        <w:ind w:firstLine="0"/>
      </w:pPr>
    </w:p>
    <w:p w:rsidR="007E44AF" w:rsidRPr="000B10C4" w:rsidRDefault="007E44AF" w:rsidP="000430B8">
      <w:pPr>
        <w:spacing w:after="60" w:line="276" w:lineRule="auto"/>
        <w:ind w:firstLine="0"/>
      </w:pPr>
    </w:p>
    <w:p w:rsidR="003E1533" w:rsidRPr="000B10C4" w:rsidRDefault="003E1533" w:rsidP="003E1533">
      <w:pPr>
        <w:pStyle w:val="PlainText"/>
        <w:ind w:right="-1"/>
        <w:rPr>
          <w:rFonts w:ascii="Times New Roman" w:hAnsi="Times New Roman"/>
          <w:sz w:val="24"/>
          <w:szCs w:val="24"/>
        </w:rPr>
      </w:pPr>
      <w:r w:rsidRPr="000B10C4">
        <w:rPr>
          <w:rFonts w:ascii="Times New Roman" w:hAnsi="Times New Roman"/>
          <w:sz w:val="24"/>
          <w:szCs w:val="24"/>
        </w:rPr>
        <w:t>Finanšu ministrs</w:t>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r>
      <w:r w:rsidRPr="000B10C4">
        <w:rPr>
          <w:rFonts w:ascii="Times New Roman" w:hAnsi="Times New Roman"/>
          <w:sz w:val="24"/>
          <w:szCs w:val="24"/>
        </w:rPr>
        <w:tab/>
        <w:t xml:space="preserve">    J. Reirs</w:t>
      </w:r>
    </w:p>
    <w:p w:rsidR="000430B8" w:rsidRPr="000B10C4" w:rsidRDefault="000430B8" w:rsidP="000430B8">
      <w:pPr>
        <w:spacing w:after="60" w:line="276" w:lineRule="auto"/>
        <w:ind w:firstLine="0"/>
        <w:rPr>
          <w:szCs w:val="24"/>
        </w:rPr>
      </w:pPr>
    </w:p>
    <w:p w:rsidR="000430B8" w:rsidRPr="000B10C4" w:rsidRDefault="000430B8" w:rsidP="000430B8">
      <w:pPr>
        <w:spacing w:after="60" w:line="276" w:lineRule="auto"/>
        <w:ind w:firstLine="0"/>
      </w:pPr>
    </w:p>
    <w:p w:rsidR="00D10C8F" w:rsidRPr="000B10C4" w:rsidRDefault="00D10C8F" w:rsidP="000430B8">
      <w:pPr>
        <w:spacing w:after="60" w:line="276" w:lineRule="auto"/>
        <w:ind w:firstLine="0"/>
      </w:pPr>
    </w:p>
    <w:p w:rsidR="00D10C8F" w:rsidRPr="000B10C4" w:rsidRDefault="00D10C8F" w:rsidP="000430B8">
      <w:pPr>
        <w:spacing w:after="60" w:line="276" w:lineRule="auto"/>
        <w:ind w:firstLine="0"/>
      </w:pPr>
    </w:p>
    <w:p w:rsidR="00D10C8F" w:rsidRPr="000B10C4" w:rsidRDefault="00D10C8F" w:rsidP="000430B8">
      <w:pPr>
        <w:spacing w:after="60" w:line="276" w:lineRule="auto"/>
        <w:ind w:firstLine="0"/>
      </w:pPr>
    </w:p>
    <w:p w:rsidR="00D10C8F" w:rsidRPr="000B10C4" w:rsidRDefault="00D10C8F" w:rsidP="000430B8">
      <w:pPr>
        <w:spacing w:after="60" w:line="276" w:lineRule="auto"/>
        <w:ind w:firstLine="0"/>
      </w:pPr>
    </w:p>
    <w:p w:rsidR="00D10C8F" w:rsidRPr="000B10C4" w:rsidRDefault="00D10C8F" w:rsidP="000430B8">
      <w:pPr>
        <w:spacing w:after="60" w:line="276" w:lineRule="auto"/>
        <w:ind w:firstLine="0"/>
      </w:pPr>
    </w:p>
    <w:p w:rsidR="00D10C8F" w:rsidRPr="000B10C4" w:rsidRDefault="00D10C8F" w:rsidP="000430B8">
      <w:pPr>
        <w:spacing w:after="60" w:line="276" w:lineRule="auto"/>
        <w:ind w:firstLine="0"/>
      </w:pPr>
    </w:p>
    <w:p w:rsidR="000430B8" w:rsidRPr="000B10C4" w:rsidRDefault="000430B8" w:rsidP="000430B8">
      <w:pPr>
        <w:spacing w:after="0"/>
        <w:ind w:firstLine="0"/>
        <w:rPr>
          <w:sz w:val="20"/>
        </w:rPr>
      </w:pPr>
    </w:p>
    <w:p w:rsidR="00D23DA4" w:rsidRPr="000B10C4" w:rsidRDefault="00D23DA4" w:rsidP="00D23DA4">
      <w:pPr>
        <w:spacing w:after="0"/>
        <w:ind w:firstLine="0"/>
        <w:rPr>
          <w:sz w:val="20"/>
        </w:rPr>
      </w:pPr>
      <w:r w:rsidRPr="000B10C4">
        <w:rPr>
          <w:sz w:val="20"/>
        </w:rPr>
        <w:t>Gusāre, 67083911</w:t>
      </w:r>
    </w:p>
    <w:p w:rsidR="00D23DA4" w:rsidRDefault="00D23DA4" w:rsidP="00D23DA4">
      <w:pPr>
        <w:spacing w:after="0"/>
        <w:ind w:firstLine="0"/>
        <w:rPr>
          <w:szCs w:val="24"/>
        </w:rPr>
      </w:pPr>
      <w:r w:rsidRPr="000B10C4">
        <w:rPr>
          <w:sz w:val="20"/>
        </w:rPr>
        <w:t>elina.gusare@fm.gov.lv</w:t>
      </w:r>
    </w:p>
    <w:p w:rsidR="000430B8" w:rsidRDefault="000430B8" w:rsidP="000430B8">
      <w:pPr>
        <w:spacing w:after="60" w:line="276" w:lineRule="auto"/>
        <w:ind w:firstLine="0"/>
      </w:pPr>
    </w:p>
    <w:p w:rsidR="00B07F78" w:rsidRDefault="00B07F78" w:rsidP="00B07F78">
      <w:pPr>
        <w:spacing w:after="60" w:line="276" w:lineRule="auto"/>
        <w:ind w:firstLine="0"/>
      </w:pPr>
    </w:p>
    <w:p w:rsidR="0015701E" w:rsidRPr="0015701E" w:rsidRDefault="0015701E" w:rsidP="00E97D92">
      <w:pPr>
        <w:ind w:firstLine="0"/>
      </w:pPr>
    </w:p>
    <w:p w:rsidR="0015701E" w:rsidRPr="0015701E" w:rsidRDefault="0015701E" w:rsidP="0015701E"/>
    <w:p w:rsidR="0015701E" w:rsidRPr="0015701E" w:rsidRDefault="0015701E" w:rsidP="0015701E"/>
    <w:p w:rsidR="00FB505D" w:rsidRPr="0015701E" w:rsidRDefault="00FB505D" w:rsidP="0015701E"/>
    <w:sectPr w:rsidR="00FB505D" w:rsidRPr="0015701E" w:rsidSect="008A4D03">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DB" w:rsidRDefault="00326CDB" w:rsidP="000F6956">
      <w:pPr>
        <w:spacing w:after="0"/>
      </w:pPr>
      <w:r>
        <w:separator/>
      </w:r>
    </w:p>
    <w:p w:rsidR="00326CDB" w:rsidRDefault="00326CDB"/>
  </w:endnote>
  <w:endnote w:type="continuationSeparator" w:id="0">
    <w:p w:rsidR="00326CDB" w:rsidRDefault="00326CDB" w:rsidP="000F6956">
      <w:pPr>
        <w:spacing w:after="0"/>
      </w:pPr>
      <w:r>
        <w:continuationSeparator/>
      </w:r>
    </w:p>
    <w:p w:rsidR="00326CDB" w:rsidRDefault="00326CDB"/>
  </w:endnote>
  <w:endnote w:type="continuationNotice" w:id="1">
    <w:p w:rsidR="00326CDB" w:rsidRDefault="00326CDB">
      <w:pPr>
        <w:spacing w:after="0"/>
      </w:pPr>
    </w:p>
    <w:p w:rsidR="00326CDB" w:rsidRDefault="0032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99" w:rsidRPr="00FC074B" w:rsidRDefault="006A4499" w:rsidP="00FC074B">
    <w:pPr>
      <w:pStyle w:val="Footer"/>
      <w:ind w:firstLine="0"/>
      <w:rPr>
        <w:sz w:val="20"/>
        <w:lang w:val="lv-LV"/>
      </w:rPr>
    </w:pPr>
    <w:r>
      <w:rPr>
        <w:sz w:val="20"/>
        <w:lang w:val="lv-LV"/>
      </w:rPr>
      <w:t>FMInf_1310</w:t>
    </w:r>
    <w:r w:rsidRPr="00FC074B">
      <w:rPr>
        <w:sz w:val="20"/>
        <w:lang w:val="lv-LV"/>
      </w:rPr>
      <w:t>20</w:t>
    </w:r>
    <w:r>
      <w:rPr>
        <w:sz w:val="20"/>
        <w:lang w:val="lv-LV"/>
      </w:rPr>
      <w:t>20</w:t>
    </w:r>
    <w:r w:rsidRPr="00FC074B">
      <w:rPr>
        <w:sz w:val="20"/>
        <w:lang w:val="lv-LV"/>
      </w:rPr>
      <w:t>_DBP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99" w:rsidRPr="00FC074B" w:rsidRDefault="006A4499" w:rsidP="00FC074B">
    <w:pPr>
      <w:pStyle w:val="Footer"/>
      <w:ind w:firstLine="0"/>
      <w:rPr>
        <w:sz w:val="20"/>
        <w:lang w:val="lv-LV"/>
      </w:rPr>
    </w:pPr>
    <w:r>
      <w:rPr>
        <w:sz w:val="20"/>
        <w:lang w:val="lv-LV"/>
      </w:rPr>
      <w:t>FMInfo_04</w:t>
    </w:r>
    <w:r w:rsidRPr="00FC074B">
      <w:rPr>
        <w:sz w:val="20"/>
        <w:lang w:val="lv-LV"/>
      </w:rPr>
      <w:t>10201</w:t>
    </w:r>
    <w:r>
      <w:rPr>
        <w:sz w:val="20"/>
        <w:lang w:val="lv-LV"/>
      </w:rPr>
      <w:t>8</w:t>
    </w:r>
    <w:r w:rsidRPr="00FC074B">
      <w:rPr>
        <w:sz w:val="20"/>
        <w:lang w:val="lv-LV"/>
      </w:rPr>
      <w:t>_DBP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DB" w:rsidRDefault="00326CDB" w:rsidP="000F6956">
      <w:pPr>
        <w:spacing w:after="0"/>
      </w:pPr>
      <w:r>
        <w:separator/>
      </w:r>
    </w:p>
    <w:p w:rsidR="00326CDB" w:rsidRDefault="00326CDB"/>
  </w:footnote>
  <w:footnote w:type="continuationSeparator" w:id="0">
    <w:p w:rsidR="00326CDB" w:rsidRDefault="00326CDB" w:rsidP="000F6956">
      <w:pPr>
        <w:spacing w:after="0"/>
      </w:pPr>
      <w:r>
        <w:continuationSeparator/>
      </w:r>
    </w:p>
    <w:p w:rsidR="00326CDB" w:rsidRDefault="00326CDB"/>
  </w:footnote>
  <w:footnote w:type="continuationNotice" w:id="1">
    <w:p w:rsidR="00326CDB" w:rsidRDefault="00326CDB">
      <w:pPr>
        <w:spacing w:after="0"/>
      </w:pPr>
    </w:p>
    <w:p w:rsidR="00326CDB" w:rsidRDefault="00326CDB"/>
  </w:footnote>
  <w:footnote w:id="2">
    <w:p w:rsidR="006A4499" w:rsidRPr="00466F2C" w:rsidRDefault="006A4499" w:rsidP="002703C5">
      <w:pPr>
        <w:spacing w:after="0"/>
        <w:ind w:firstLine="0"/>
        <w:rPr>
          <w:sz w:val="20"/>
        </w:rPr>
      </w:pPr>
      <w:r>
        <w:rPr>
          <w:rStyle w:val="FootnoteReference"/>
        </w:rPr>
        <w:footnoteRef/>
      </w:r>
      <w:r>
        <w:t xml:space="preserve"> </w:t>
      </w:r>
      <w:r w:rsidRPr="00BC2533">
        <w:rPr>
          <w:sz w:val="18"/>
          <w:szCs w:val="18"/>
        </w:rPr>
        <w:t xml:space="preserve">Ieņēmumu daļa 18,7 milj. </w:t>
      </w:r>
      <w:proofErr w:type="spellStart"/>
      <w:r w:rsidRPr="00BC2533">
        <w:rPr>
          <w:i/>
          <w:sz w:val="18"/>
          <w:szCs w:val="18"/>
        </w:rPr>
        <w:t>euro</w:t>
      </w:r>
      <w:proofErr w:type="spellEnd"/>
      <w:r w:rsidRPr="00BC2533">
        <w:rPr>
          <w:sz w:val="18"/>
          <w:szCs w:val="18"/>
        </w:rPr>
        <w:t xml:space="preserve"> apmērā jeb 0,06% no IKP no Latvijai piešķirto emisijas kvotu izsolīšanas, kas notika 2018.gada novembrī un ir attiecināma uz 2020.gada ieņēmumiem, un ieņēmumi 33 milj.</w:t>
      </w:r>
      <w:r w:rsidRPr="00BC2533">
        <w:rPr>
          <w:i/>
          <w:sz w:val="18"/>
          <w:szCs w:val="18"/>
        </w:rPr>
        <w:t xml:space="preserve"> </w:t>
      </w:r>
      <w:proofErr w:type="spellStart"/>
      <w:r w:rsidRPr="00BC2533">
        <w:rPr>
          <w:i/>
          <w:sz w:val="18"/>
          <w:szCs w:val="18"/>
        </w:rPr>
        <w:t>euro</w:t>
      </w:r>
      <w:proofErr w:type="spellEnd"/>
      <w:r w:rsidRPr="00BC2533">
        <w:rPr>
          <w:sz w:val="18"/>
          <w:szCs w:val="18"/>
        </w:rPr>
        <w:t xml:space="preserve"> apmērā jeb 0,12% no IKP no noziedzīgi iegūto līdzekļu konfiskācijas ir uzskatāmi kā 2020.gadā vienreizējs pasākums.</w:t>
      </w:r>
      <w:r w:rsidRPr="00BC2533">
        <w:rPr>
          <w:sz w:val="18"/>
          <w:szCs w:val="18"/>
        </w:rPr>
        <w:br/>
        <w:t>2021.gadā kā vienreizējs pasākums ir atspoguļota daļa no emisiju kvotu vienreizēja darījuma, kas veikts 2018.gadā (ietekme sadalās 2019.</w:t>
      </w:r>
      <w:r w:rsidRPr="00BC2533">
        <w:rPr>
          <w:color w:val="000000"/>
          <w:sz w:val="18"/>
          <w:szCs w:val="18"/>
          <w:lang w:eastAsia="lv-LV"/>
        </w:rPr>
        <w:t>–</w:t>
      </w:r>
      <w:r w:rsidRPr="00BC2533">
        <w:rPr>
          <w:sz w:val="18"/>
          <w:szCs w:val="18"/>
        </w:rPr>
        <w:t xml:space="preserve">2021.gadā) 15,1 milj. </w:t>
      </w:r>
      <w:proofErr w:type="spellStart"/>
      <w:r w:rsidRPr="00BC2533">
        <w:rPr>
          <w:i/>
          <w:sz w:val="18"/>
          <w:szCs w:val="18"/>
        </w:rPr>
        <w:t>euro</w:t>
      </w:r>
      <w:proofErr w:type="spellEnd"/>
      <w:r w:rsidRPr="00BC2533">
        <w:rPr>
          <w:sz w:val="18"/>
          <w:szCs w:val="18"/>
        </w:rPr>
        <w:t xml:space="preserve"> apmērā.</w:t>
      </w:r>
      <w:bookmarkStart w:id="11" w:name="_GoBack"/>
      <w:bookmarkEnd w:id="11"/>
    </w:p>
  </w:footnote>
  <w:footnote w:id="3">
    <w:p w:rsidR="006A4499" w:rsidRPr="009E4BB9" w:rsidRDefault="006A4499">
      <w:pPr>
        <w:pStyle w:val="FootnoteText"/>
      </w:pPr>
      <w:r>
        <w:rPr>
          <w:rStyle w:val="FootnoteReference"/>
        </w:rPr>
        <w:t>2</w:t>
      </w:r>
      <w:r>
        <w:t xml:space="preserve"> OECD datu bāze (skatīts 02.10.2020.)</w:t>
      </w:r>
    </w:p>
  </w:footnote>
  <w:footnote w:id="4">
    <w:p w:rsidR="006A4499" w:rsidRPr="005E1D08" w:rsidRDefault="006A4499" w:rsidP="005E1D08">
      <w:pPr>
        <w:pStyle w:val="FootnoteText"/>
        <w:rPr>
          <w:lang w:val="lv-LV" w:eastAsia="lv-LV"/>
        </w:rPr>
      </w:pPr>
      <w:r>
        <w:rPr>
          <w:rStyle w:val="FootnoteReference"/>
        </w:rPr>
        <w:t>3</w:t>
      </w:r>
      <w:r>
        <w:t xml:space="preserve"> Latvijas veselības aprūpes infrastruktūras ģenerālplāns 2016. – 2025.gadam (8.lpp.), Pasaules Banka</w:t>
      </w:r>
    </w:p>
  </w:footnote>
  <w:footnote w:id="5">
    <w:p w:rsidR="00E02718" w:rsidRDefault="00E02718" w:rsidP="00E02718">
      <w:pPr>
        <w:pStyle w:val="FootnoteText"/>
        <w:tabs>
          <w:tab w:val="left" w:pos="266"/>
        </w:tabs>
        <w:spacing w:after="80"/>
        <w:ind w:left="284" w:hanging="284"/>
        <w:jc w:val="both"/>
      </w:pPr>
      <w:r>
        <w:rPr>
          <w:rStyle w:val="FootnoteReference"/>
        </w:rPr>
        <w:t>4</w:t>
      </w:r>
      <w:r>
        <w:t xml:space="preserve"> </w:t>
      </w:r>
      <w:r>
        <w:tab/>
      </w:r>
      <w:r w:rsidRPr="00290D60">
        <w:rPr>
          <w:sz w:val="18"/>
          <w:szCs w:val="18"/>
        </w:rPr>
        <w:t>Valsts sociālās</w:t>
      </w:r>
      <w:r>
        <w:rPr>
          <w:sz w:val="18"/>
          <w:szCs w:val="18"/>
        </w:rPr>
        <w:t xml:space="preserve"> apdrošināšanas aģentūras dati uz 2019</w:t>
      </w:r>
      <w:r w:rsidRPr="00290D60">
        <w:rPr>
          <w:sz w:val="18"/>
          <w:szCs w:val="18"/>
        </w:rPr>
        <w:t xml:space="preserve">.gada aprīli </w:t>
      </w:r>
      <w:r>
        <w:rPr>
          <w:sz w:val="18"/>
          <w:szCs w:val="18"/>
        </w:rPr>
        <w:t>par vidējo</w:t>
      </w:r>
      <w:r w:rsidRPr="00290D60">
        <w:rPr>
          <w:sz w:val="18"/>
          <w:szCs w:val="18"/>
        </w:rPr>
        <w:t xml:space="preserve"> darba ņēmēju (neieskaitot </w:t>
      </w:r>
      <w:proofErr w:type="spellStart"/>
      <w:r w:rsidRPr="00290D60">
        <w:rPr>
          <w:sz w:val="18"/>
          <w:szCs w:val="18"/>
        </w:rPr>
        <w:t>mikrouzņēmuma</w:t>
      </w:r>
      <w:proofErr w:type="spellEnd"/>
      <w:r w:rsidRPr="00290D60">
        <w:rPr>
          <w:sz w:val="18"/>
          <w:szCs w:val="18"/>
        </w:rPr>
        <w:t xml:space="preserve"> režīmā strādājošos) un </w:t>
      </w:r>
      <w:proofErr w:type="spellStart"/>
      <w:r w:rsidRPr="00290D60">
        <w:rPr>
          <w:sz w:val="18"/>
          <w:szCs w:val="18"/>
        </w:rPr>
        <w:t>pašnodarbināto</w:t>
      </w:r>
      <w:proofErr w:type="spellEnd"/>
      <w:r w:rsidRPr="00290D60">
        <w:rPr>
          <w:sz w:val="18"/>
          <w:szCs w:val="18"/>
        </w:rPr>
        <w:t xml:space="preserve"> personu </w:t>
      </w:r>
      <w:r w:rsidRPr="00290D60">
        <w:rPr>
          <w:bCs/>
          <w:sz w:val="18"/>
          <w:szCs w:val="18"/>
          <w:lang w:eastAsia="lv-LV"/>
        </w:rPr>
        <w:t>(</w:t>
      </w:r>
      <w:r w:rsidRPr="00290D60">
        <w:rPr>
          <w:sz w:val="18"/>
          <w:szCs w:val="18"/>
        </w:rPr>
        <w:t xml:space="preserve">ieskaitot </w:t>
      </w:r>
      <w:proofErr w:type="spellStart"/>
      <w:r w:rsidRPr="00290D60">
        <w:rPr>
          <w:sz w:val="18"/>
          <w:szCs w:val="18"/>
        </w:rPr>
        <w:t>patentmaksātājus</w:t>
      </w:r>
      <w:proofErr w:type="spellEnd"/>
      <w:r w:rsidRPr="00290D60">
        <w:rPr>
          <w:sz w:val="18"/>
          <w:szCs w:val="18"/>
        </w:rPr>
        <w:t xml:space="preserve"> un autoratlīdzības saņēmējus)</w:t>
      </w:r>
      <w:r w:rsidRPr="00290D60">
        <w:rPr>
          <w:bCs/>
          <w:sz w:val="18"/>
          <w:szCs w:val="18"/>
          <w:lang w:eastAsia="lv-LV"/>
        </w:rPr>
        <w:t xml:space="preserve"> </w:t>
      </w:r>
      <w:r>
        <w:rPr>
          <w:sz w:val="18"/>
          <w:szCs w:val="18"/>
        </w:rPr>
        <w:t xml:space="preserve">skaitu, kuru </w:t>
      </w:r>
      <w:r>
        <w:rPr>
          <w:color w:val="000000" w:themeColor="text1"/>
          <w:sz w:val="18"/>
          <w:szCs w:val="18"/>
        </w:rPr>
        <w:t>vidējais veicamais</w:t>
      </w:r>
      <w:r w:rsidRPr="00290D60">
        <w:rPr>
          <w:color w:val="000000" w:themeColor="text1"/>
          <w:sz w:val="18"/>
          <w:szCs w:val="18"/>
        </w:rPr>
        <w:t xml:space="preserve"> iemaksu objekts </w:t>
      </w:r>
      <w:r w:rsidRPr="00290D60">
        <w:rPr>
          <w:sz w:val="18"/>
          <w:szCs w:val="18"/>
        </w:rPr>
        <w:t>bija no 0,01 līdz 429,99 </w:t>
      </w:r>
      <w:proofErr w:type="spellStart"/>
      <w:r w:rsidRPr="00290D60">
        <w:rPr>
          <w:i/>
          <w:sz w:val="18"/>
          <w:szCs w:val="18"/>
        </w:rPr>
        <w:t>euro</w:t>
      </w:r>
      <w:proofErr w:type="spellEnd"/>
      <w:r>
        <w:rPr>
          <w:i/>
          <w:sz w:val="18"/>
          <w:szCs w:val="18"/>
        </w:rPr>
        <w:t xml:space="preserve"> </w:t>
      </w:r>
      <w:r w:rsidRPr="00290D60">
        <w:rPr>
          <w:sz w:val="18"/>
          <w:szCs w:val="18"/>
        </w:rPr>
        <w:t>mēnesī</w:t>
      </w:r>
    </w:p>
  </w:footnote>
  <w:footnote w:id="6">
    <w:p w:rsidR="00E02718" w:rsidRDefault="00E02718" w:rsidP="007F608E">
      <w:pPr>
        <w:pStyle w:val="FootnoteText"/>
      </w:pPr>
      <w:r>
        <w:rPr>
          <w:rStyle w:val="FootnoteReference"/>
        </w:rPr>
        <w:t>5</w:t>
      </w:r>
      <w:r>
        <w:t xml:space="preserve"> </w:t>
      </w:r>
      <w:r w:rsidRPr="004F6181">
        <w:t>http://polsis.mk.gov.lv/documents/6645</w:t>
      </w:r>
    </w:p>
  </w:footnote>
  <w:footnote w:id="7">
    <w:p w:rsidR="00D50A39" w:rsidRDefault="00D50A39" w:rsidP="007F608E">
      <w:pPr>
        <w:pStyle w:val="FootnoteText"/>
      </w:pPr>
      <w:r>
        <w:rPr>
          <w:rStyle w:val="FootnoteReference"/>
        </w:rPr>
        <w:t>6</w:t>
      </w:r>
      <w:r>
        <w:t xml:space="preserve"> </w:t>
      </w:r>
      <w:r w:rsidRPr="00E24DF2">
        <w:t>http://polsis.mk.gov.lv/documents/5499</w:t>
      </w:r>
    </w:p>
  </w:footnote>
  <w:footnote w:id="8">
    <w:p w:rsidR="00D50A39" w:rsidRDefault="00D50A39" w:rsidP="007F608E">
      <w:pPr>
        <w:pStyle w:val="FootnoteText"/>
      </w:pPr>
      <w:r>
        <w:rPr>
          <w:rStyle w:val="FootnoteReference"/>
        </w:rPr>
        <w:t>7</w:t>
      </w:r>
      <w:r>
        <w:t xml:space="preserve"> </w:t>
      </w:r>
      <w:r w:rsidRPr="004F6181">
        <w:t>http://polsis.mk.gov.lv/documents/6645</w:t>
      </w:r>
    </w:p>
  </w:footnote>
  <w:footnote w:id="9">
    <w:p w:rsidR="00786717" w:rsidRPr="00716549" w:rsidRDefault="00786717" w:rsidP="0036393B">
      <w:pPr>
        <w:pStyle w:val="FootnoteText"/>
        <w:ind w:left="0" w:firstLine="0"/>
      </w:pPr>
      <w:r>
        <w:rPr>
          <w:rStyle w:val="FootnoteReference"/>
        </w:rPr>
        <w:t>8</w:t>
      </w:r>
      <w:r>
        <w:t xml:space="preserve"> </w:t>
      </w:r>
      <w:r w:rsidRPr="00716549">
        <w:t xml:space="preserve">Uz 08.10.2020 atbalstītas 160 garantijas, kuru kopsumma </w:t>
      </w:r>
      <w:r>
        <w:t xml:space="preserve">ir </w:t>
      </w:r>
      <w:r w:rsidRPr="00716549">
        <w:t xml:space="preserve">30 536 350 </w:t>
      </w:r>
      <w:proofErr w:type="spellStart"/>
      <w:r w:rsidRPr="00716549">
        <w:rPr>
          <w:i/>
        </w:rPr>
        <w:t>euro</w:t>
      </w:r>
      <w:proofErr w:type="spellEnd"/>
      <w:r w:rsidRPr="00716549">
        <w:t xml:space="preserve"> (garantēto aizdevumu kopsumma – 84 900 021 </w:t>
      </w:r>
      <w:proofErr w:type="spellStart"/>
      <w:r w:rsidRPr="00716549">
        <w:rPr>
          <w:i/>
        </w:rPr>
        <w:t>euro</w:t>
      </w:r>
      <w:proofErr w:type="spellEnd"/>
      <w:r w:rsidRPr="00716549">
        <w:t>)</w:t>
      </w:r>
      <w:r>
        <w:t>.</w:t>
      </w:r>
    </w:p>
  </w:footnote>
  <w:footnote w:id="10">
    <w:p w:rsidR="00786717" w:rsidRPr="00D86DB5" w:rsidRDefault="00786717" w:rsidP="00D86DB5">
      <w:pPr>
        <w:ind w:firstLine="0"/>
        <w:rPr>
          <w:rFonts w:eastAsiaTheme="minorHAnsi"/>
          <w:sz w:val="20"/>
        </w:rPr>
      </w:pPr>
      <w:r>
        <w:rPr>
          <w:rStyle w:val="FootnoteReference"/>
          <w:snapToGrid w:val="0"/>
          <w:color w:val="000000"/>
          <w:lang w:val="x-none" w:eastAsia="x-none"/>
        </w:rPr>
        <w:t>9</w:t>
      </w:r>
      <w:r w:rsidRPr="00716549">
        <w:t xml:space="preserve"> </w:t>
      </w:r>
      <w:r w:rsidRPr="00716549">
        <w:rPr>
          <w:sz w:val="20"/>
        </w:rPr>
        <w:t xml:space="preserve">Uz 31.08.2020 atbalstītas 33 garantijas, kuru kopsumma ir 1 375 344 </w:t>
      </w:r>
      <w:proofErr w:type="spellStart"/>
      <w:r w:rsidRPr="00716549">
        <w:rPr>
          <w:i/>
          <w:sz w:val="20"/>
        </w:rPr>
        <w:t>euro</w:t>
      </w:r>
      <w:proofErr w:type="spellEnd"/>
      <w:r w:rsidRPr="00716549">
        <w:rPr>
          <w:sz w:val="20"/>
        </w:rPr>
        <w:t xml:space="preserve"> (garantēto aizdevumu kopsumma – 3 508 715 </w:t>
      </w:r>
      <w:proofErr w:type="spellStart"/>
      <w:r w:rsidRPr="00716549">
        <w:rPr>
          <w:i/>
          <w:sz w:val="20"/>
        </w:rPr>
        <w:t>euro</w:t>
      </w:r>
      <w:proofErr w:type="spellEnd"/>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71131"/>
      <w:docPartObj>
        <w:docPartGallery w:val="Page Numbers (Top of Page)"/>
        <w:docPartUnique/>
      </w:docPartObj>
    </w:sdtPr>
    <w:sdtEndPr>
      <w:rPr>
        <w:noProof/>
      </w:rPr>
    </w:sdtEndPr>
    <w:sdtContent>
      <w:p w:rsidR="006A4499" w:rsidRDefault="006A4499">
        <w:pPr>
          <w:pStyle w:val="Header"/>
          <w:jc w:val="right"/>
        </w:pPr>
        <w:r>
          <w:fldChar w:fldCharType="begin"/>
        </w:r>
        <w:r>
          <w:instrText xml:space="preserve"> PAGE   \* MERGEFORMAT </w:instrText>
        </w:r>
        <w:r>
          <w:fldChar w:fldCharType="separate"/>
        </w:r>
        <w:r w:rsidR="00BC2533">
          <w:rPr>
            <w:noProof/>
          </w:rPr>
          <w:t>12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7479"/>
      <w:docPartObj>
        <w:docPartGallery w:val="Page Numbers (Top of Page)"/>
        <w:docPartUnique/>
      </w:docPartObj>
    </w:sdtPr>
    <w:sdtEndPr>
      <w:rPr>
        <w:noProof/>
      </w:rPr>
    </w:sdtEndPr>
    <w:sdtContent>
      <w:p w:rsidR="006A4499" w:rsidRDefault="006A449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A4499" w:rsidRDefault="006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1117381"/>
    <w:multiLevelType w:val="hybridMultilevel"/>
    <w:tmpl w:val="9516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1881"/>
    <w:multiLevelType w:val="hybridMultilevel"/>
    <w:tmpl w:val="273EBD46"/>
    <w:lvl w:ilvl="0" w:tplc="99B2DE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9463815"/>
    <w:multiLevelType w:val="hybridMultilevel"/>
    <w:tmpl w:val="5636D34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2362BA9"/>
    <w:multiLevelType w:val="hybridMultilevel"/>
    <w:tmpl w:val="4EB4C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55211"/>
    <w:multiLevelType w:val="hybridMultilevel"/>
    <w:tmpl w:val="BD9A75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51E43"/>
    <w:multiLevelType w:val="hybridMultilevel"/>
    <w:tmpl w:val="362ECEBA"/>
    <w:lvl w:ilvl="0" w:tplc="456C9716">
      <w:start w:val="1"/>
      <w:numFmt w:val="decimal"/>
      <w:lvlText w:val="%1)"/>
      <w:lvlJc w:val="left"/>
      <w:pPr>
        <w:ind w:left="2160" w:hanging="360"/>
      </w:pPr>
      <w:rPr>
        <w:color w:val="auto"/>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29972FB9"/>
    <w:multiLevelType w:val="hybridMultilevel"/>
    <w:tmpl w:val="360CE9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65033"/>
    <w:multiLevelType w:val="hybridMultilevel"/>
    <w:tmpl w:val="EDE613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EA46955"/>
    <w:multiLevelType w:val="hybridMultilevel"/>
    <w:tmpl w:val="646283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1C851DC"/>
    <w:multiLevelType w:val="hybridMultilevel"/>
    <w:tmpl w:val="8A9867EC"/>
    <w:lvl w:ilvl="0" w:tplc="B92C844A">
      <w:numFmt w:val="bullet"/>
      <w:lvlText w:val="•"/>
      <w:lvlJc w:val="left"/>
      <w:pPr>
        <w:ind w:left="727" w:hanging="405"/>
      </w:pPr>
      <w:rPr>
        <w:rFonts w:ascii="Times New Roman" w:eastAsia="Calibri" w:hAnsi="Times New Roman" w:cs="Times New Roman" w:hint="default"/>
      </w:rPr>
    </w:lvl>
    <w:lvl w:ilvl="1" w:tplc="04260003" w:tentative="1">
      <w:start w:val="1"/>
      <w:numFmt w:val="bullet"/>
      <w:lvlText w:val="o"/>
      <w:lvlJc w:val="left"/>
      <w:pPr>
        <w:ind w:left="1402" w:hanging="360"/>
      </w:pPr>
      <w:rPr>
        <w:rFonts w:ascii="Courier New" w:hAnsi="Courier New" w:cs="Courier New" w:hint="default"/>
      </w:rPr>
    </w:lvl>
    <w:lvl w:ilvl="2" w:tplc="04260005" w:tentative="1">
      <w:start w:val="1"/>
      <w:numFmt w:val="bullet"/>
      <w:lvlText w:val=""/>
      <w:lvlJc w:val="left"/>
      <w:pPr>
        <w:ind w:left="2122" w:hanging="360"/>
      </w:pPr>
      <w:rPr>
        <w:rFonts w:ascii="Wingdings" w:hAnsi="Wingdings" w:hint="default"/>
      </w:rPr>
    </w:lvl>
    <w:lvl w:ilvl="3" w:tplc="04260001" w:tentative="1">
      <w:start w:val="1"/>
      <w:numFmt w:val="bullet"/>
      <w:lvlText w:val=""/>
      <w:lvlJc w:val="left"/>
      <w:pPr>
        <w:ind w:left="2842" w:hanging="360"/>
      </w:pPr>
      <w:rPr>
        <w:rFonts w:ascii="Symbol" w:hAnsi="Symbol" w:hint="default"/>
      </w:rPr>
    </w:lvl>
    <w:lvl w:ilvl="4" w:tplc="04260003" w:tentative="1">
      <w:start w:val="1"/>
      <w:numFmt w:val="bullet"/>
      <w:lvlText w:val="o"/>
      <w:lvlJc w:val="left"/>
      <w:pPr>
        <w:ind w:left="3562" w:hanging="360"/>
      </w:pPr>
      <w:rPr>
        <w:rFonts w:ascii="Courier New" w:hAnsi="Courier New" w:cs="Courier New" w:hint="default"/>
      </w:rPr>
    </w:lvl>
    <w:lvl w:ilvl="5" w:tplc="04260005" w:tentative="1">
      <w:start w:val="1"/>
      <w:numFmt w:val="bullet"/>
      <w:lvlText w:val=""/>
      <w:lvlJc w:val="left"/>
      <w:pPr>
        <w:ind w:left="4282" w:hanging="360"/>
      </w:pPr>
      <w:rPr>
        <w:rFonts w:ascii="Wingdings" w:hAnsi="Wingdings" w:hint="default"/>
      </w:rPr>
    </w:lvl>
    <w:lvl w:ilvl="6" w:tplc="04260001" w:tentative="1">
      <w:start w:val="1"/>
      <w:numFmt w:val="bullet"/>
      <w:lvlText w:val=""/>
      <w:lvlJc w:val="left"/>
      <w:pPr>
        <w:ind w:left="5002" w:hanging="360"/>
      </w:pPr>
      <w:rPr>
        <w:rFonts w:ascii="Symbol" w:hAnsi="Symbol" w:hint="default"/>
      </w:rPr>
    </w:lvl>
    <w:lvl w:ilvl="7" w:tplc="04260003" w:tentative="1">
      <w:start w:val="1"/>
      <w:numFmt w:val="bullet"/>
      <w:lvlText w:val="o"/>
      <w:lvlJc w:val="left"/>
      <w:pPr>
        <w:ind w:left="5722" w:hanging="360"/>
      </w:pPr>
      <w:rPr>
        <w:rFonts w:ascii="Courier New" w:hAnsi="Courier New" w:cs="Courier New" w:hint="default"/>
      </w:rPr>
    </w:lvl>
    <w:lvl w:ilvl="8" w:tplc="04260005" w:tentative="1">
      <w:start w:val="1"/>
      <w:numFmt w:val="bullet"/>
      <w:lvlText w:val=""/>
      <w:lvlJc w:val="left"/>
      <w:pPr>
        <w:ind w:left="6442" w:hanging="360"/>
      </w:pPr>
      <w:rPr>
        <w:rFonts w:ascii="Wingdings" w:hAnsi="Wingdings" w:hint="default"/>
      </w:rPr>
    </w:lvl>
  </w:abstractNum>
  <w:abstractNum w:abstractNumId="14" w15:restartNumberingAfterBreak="0">
    <w:nsid w:val="51D514E2"/>
    <w:multiLevelType w:val="hybridMultilevel"/>
    <w:tmpl w:val="D3027BC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A020B9"/>
    <w:multiLevelType w:val="hybridMultilevel"/>
    <w:tmpl w:val="2D103A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1D854EC"/>
    <w:multiLevelType w:val="hybridMultilevel"/>
    <w:tmpl w:val="2E862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2D7047"/>
    <w:multiLevelType w:val="hybridMultilevel"/>
    <w:tmpl w:val="521E9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21"/>
  </w:num>
  <w:num w:numId="5">
    <w:abstractNumId w:val="15"/>
  </w:num>
  <w:num w:numId="6">
    <w:abstractNumId w:val="22"/>
  </w:num>
  <w:num w:numId="7">
    <w:abstractNumId w:val="10"/>
  </w:num>
  <w:num w:numId="8">
    <w:abstractNumId w:val="19"/>
  </w:num>
  <w:num w:numId="9">
    <w:abstractNumId w:val="0"/>
  </w:num>
  <w:num w:numId="10">
    <w:abstractNumId w:val="9"/>
  </w:num>
  <w:num w:numId="11">
    <w:abstractNumId w:val="5"/>
  </w:num>
  <w:num w:numId="12">
    <w:abstractNumId w:val="11"/>
  </w:num>
  <w:num w:numId="13">
    <w:abstractNumId w:val="17"/>
  </w:num>
  <w:num w:numId="14">
    <w:abstractNumId w:val="8"/>
  </w:num>
  <w:num w:numId="15">
    <w:abstractNumId w:val="20"/>
  </w:num>
  <w:num w:numId="16">
    <w:abstractNumId w:val="1"/>
  </w:num>
  <w:num w:numId="17">
    <w:abstractNumId w:val="13"/>
  </w:num>
  <w:num w:numId="18">
    <w:abstractNumId w:val="6"/>
  </w:num>
  <w:num w:numId="19">
    <w:abstractNumId w:val="12"/>
  </w:num>
  <w:num w:numId="20">
    <w:abstractNumId w:val="3"/>
  </w:num>
  <w:num w:numId="21">
    <w:abstractNumId w:val="14"/>
  </w:num>
  <w:num w:numId="22">
    <w:abstractNumId w:val="16"/>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hdrShapeDefaults>
    <o:shapedefaults v:ext="edit" spidmax="12289"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56"/>
    <w:rsid w:val="0000038A"/>
    <w:rsid w:val="0000094C"/>
    <w:rsid w:val="00000D13"/>
    <w:rsid w:val="0000191C"/>
    <w:rsid w:val="00001BA0"/>
    <w:rsid w:val="00002070"/>
    <w:rsid w:val="000020C5"/>
    <w:rsid w:val="00002315"/>
    <w:rsid w:val="00002A73"/>
    <w:rsid w:val="0000329C"/>
    <w:rsid w:val="00003474"/>
    <w:rsid w:val="000039B2"/>
    <w:rsid w:val="00003E2F"/>
    <w:rsid w:val="000048A0"/>
    <w:rsid w:val="00004A73"/>
    <w:rsid w:val="00004D93"/>
    <w:rsid w:val="000052FA"/>
    <w:rsid w:val="00005C7D"/>
    <w:rsid w:val="000060F6"/>
    <w:rsid w:val="000061A5"/>
    <w:rsid w:val="000062EE"/>
    <w:rsid w:val="00006A6D"/>
    <w:rsid w:val="00006BD6"/>
    <w:rsid w:val="00006DD2"/>
    <w:rsid w:val="0001052E"/>
    <w:rsid w:val="00011568"/>
    <w:rsid w:val="00011E77"/>
    <w:rsid w:val="000124BF"/>
    <w:rsid w:val="00012824"/>
    <w:rsid w:val="0001288B"/>
    <w:rsid w:val="00012DE8"/>
    <w:rsid w:val="00013379"/>
    <w:rsid w:val="00014041"/>
    <w:rsid w:val="00014332"/>
    <w:rsid w:val="0001481E"/>
    <w:rsid w:val="00016D97"/>
    <w:rsid w:val="0001749E"/>
    <w:rsid w:val="0002156A"/>
    <w:rsid w:val="00021FE1"/>
    <w:rsid w:val="00022369"/>
    <w:rsid w:val="000225CE"/>
    <w:rsid w:val="000233FD"/>
    <w:rsid w:val="00023548"/>
    <w:rsid w:val="00023C3E"/>
    <w:rsid w:val="00023E2D"/>
    <w:rsid w:val="00024F65"/>
    <w:rsid w:val="0002544F"/>
    <w:rsid w:val="00025D7F"/>
    <w:rsid w:val="000270E3"/>
    <w:rsid w:val="00027681"/>
    <w:rsid w:val="0003112C"/>
    <w:rsid w:val="000318B2"/>
    <w:rsid w:val="0003226C"/>
    <w:rsid w:val="00032491"/>
    <w:rsid w:val="00032CE1"/>
    <w:rsid w:val="00032D04"/>
    <w:rsid w:val="00033BC8"/>
    <w:rsid w:val="00034B1C"/>
    <w:rsid w:val="00035496"/>
    <w:rsid w:val="000357A3"/>
    <w:rsid w:val="000365EA"/>
    <w:rsid w:val="00037D77"/>
    <w:rsid w:val="000409E2"/>
    <w:rsid w:val="00040EDF"/>
    <w:rsid w:val="00040F36"/>
    <w:rsid w:val="00041321"/>
    <w:rsid w:val="00042A66"/>
    <w:rsid w:val="00042FC7"/>
    <w:rsid w:val="000430B8"/>
    <w:rsid w:val="000437CE"/>
    <w:rsid w:val="00043B94"/>
    <w:rsid w:val="00043D23"/>
    <w:rsid w:val="0004418B"/>
    <w:rsid w:val="00044688"/>
    <w:rsid w:val="000448AD"/>
    <w:rsid w:val="00044A7B"/>
    <w:rsid w:val="00045692"/>
    <w:rsid w:val="00045B49"/>
    <w:rsid w:val="000461AC"/>
    <w:rsid w:val="000467C2"/>
    <w:rsid w:val="00046A97"/>
    <w:rsid w:val="00046BCE"/>
    <w:rsid w:val="00050CDA"/>
    <w:rsid w:val="000521E5"/>
    <w:rsid w:val="00052FB5"/>
    <w:rsid w:val="00053007"/>
    <w:rsid w:val="00053086"/>
    <w:rsid w:val="0005315E"/>
    <w:rsid w:val="00054454"/>
    <w:rsid w:val="000548BF"/>
    <w:rsid w:val="000549B7"/>
    <w:rsid w:val="00054C89"/>
    <w:rsid w:val="000550B7"/>
    <w:rsid w:val="00055140"/>
    <w:rsid w:val="00055479"/>
    <w:rsid w:val="0005656C"/>
    <w:rsid w:val="000569D5"/>
    <w:rsid w:val="000571F9"/>
    <w:rsid w:val="00060D92"/>
    <w:rsid w:val="00062D3A"/>
    <w:rsid w:val="000634FF"/>
    <w:rsid w:val="00063DE4"/>
    <w:rsid w:val="000673A8"/>
    <w:rsid w:val="00067454"/>
    <w:rsid w:val="0006756D"/>
    <w:rsid w:val="000676ED"/>
    <w:rsid w:val="00067A5D"/>
    <w:rsid w:val="000704FD"/>
    <w:rsid w:val="000705E3"/>
    <w:rsid w:val="00070BC1"/>
    <w:rsid w:val="00071EF8"/>
    <w:rsid w:val="000730EC"/>
    <w:rsid w:val="00073140"/>
    <w:rsid w:val="0007398C"/>
    <w:rsid w:val="00074DDB"/>
    <w:rsid w:val="00075C71"/>
    <w:rsid w:val="00076DE6"/>
    <w:rsid w:val="000774F7"/>
    <w:rsid w:val="0007787A"/>
    <w:rsid w:val="00081726"/>
    <w:rsid w:val="00081B36"/>
    <w:rsid w:val="0008285F"/>
    <w:rsid w:val="000833EE"/>
    <w:rsid w:val="000839ED"/>
    <w:rsid w:val="00083DC0"/>
    <w:rsid w:val="00084FF5"/>
    <w:rsid w:val="000851D6"/>
    <w:rsid w:val="00085297"/>
    <w:rsid w:val="00085372"/>
    <w:rsid w:val="0008546B"/>
    <w:rsid w:val="000855EA"/>
    <w:rsid w:val="00085C93"/>
    <w:rsid w:val="00085D9A"/>
    <w:rsid w:val="00085F95"/>
    <w:rsid w:val="000861D0"/>
    <w:rsid w:val="00086393"/>
    <w:rsid w:val="000868D8"/>
    <w:rsid w:val="00086FE4"/>
    <w:rsid w:val="00087808"/>
    <w:rsid w:val="00087ECA"/>
    <w:rsid w:val="000901B5"/>
    <w:rsid w:val="00091234"/>
    <w:rsid w:val="00092708"/>
    <w:rsid w:val="00092BBA"/>
    <w:rsid w:val="0009310C"/>
    <w:rsid w:val="00094ADD"/>
    <w:rsid w:val="00096D57"/>
    <w:rsid w:val="00097545"/>
    <w:rsid w:val="00097E66"/>
    <w:rsid w:val="000A03E8"/>
    <w:rsid w:val="000A0699"/>
    <w:rsid w:val="000A1A54"/>
    <w:rsid w:val="000A25F5"/>
    <w:rsid w:val="000A2CE8"/>
    <w:rsid w:val="000A5529"/>
    <w:rsid w:val="000A6041"/>
    <w:rsid w:val="000A6324"/>
    <w:rsid w:val="000A691D"/>
    <w:rsid w:val="000A6FF8"/>
    <w:rsid w:val="000A7E64"/>
    <w:rsid w:val="000A7E91"/>
    <w:rsid w:val="000B0881"/>
    <w:rsid w:val="000B0945"/>
    <w:rsid w:val="000B10C4"/>
    <w:rsid w:val="000B12B3"/>
    <w:rsid w:val="000B17F7"/>
    <w:rsid w:val="000B3007"/>
    <w:rsid w:val="000B328C"/>
    <w:rsid w:val="000B3E03"/>
    <w:rsid w:val="000B68A1"/>
    <w:rsid w:val="000B6F4D"/>
    <w:rsid w:val="000B7045"/>
    <w:rsid w:val="000C03FB"/>
    <w:rsid w:val="000C0876"/>
    <w:rsid w:val="000C23DA"/>
    <w:rsid w:val="000C24B6"/>
    <w:rsid w:val="000C2A69"/>
    <w:rsid w:val="000C30AE"/>
    <w:rsid w:val="000C3FFF"/>
    <w:rsid w:val="000C4964"/>
    <w:rsid w:val="000C4DDE"/>
    <w:rsid w:val="000C515F"/>
    <w:rsid w:val="000C51ED"/>
    <w:rsid w:val="000C53FD"/>
    <w:rsid w:val="000C5D49"/>
    <w:rsid w:val="000C7BB3"/>
    <w:rsid w:val="000D1AB0"/>
    <w:rsid w:val="000D29EE"/>
    <w:rsid w:val="000D2D1F"/>
    <w:rsid w:val="000D407D"/>
    <w:rsid w:val="000D4427"/>
    <w:rsid w:val="000D6A66"/>
    <w:rsid w:val="000D6D12"/>
    <w:rsid w:val="000D6DBE"/>
    <w:rsid w:val="000D6E7B"/>
    <w:rsid w:val="000D730A"/>
    <w:rsid w:val="000E07CF"/>
    <w:rsid w:val="000E13CE"/>
    <w:rsid w:val="000E281E"/>
    <w:rsid w:val="000E2A20"/>
    <w:rsid w:val="000E31A2"/>
    <w:rsid w:val="000E3954"/>
    <w:rsid w:val="000E3AAA"/>
    <w:rsid w:val="000E3CB3"/>
    <w:rsid w:val="000E3FD6"/>
    <w:rsid w:val="000E42F5"/>
    <w:rsid w:val="000E4671"/>
    <w:rsid w:val="000E49D3"/>
    <w:rsid w:val="000E5433"/>
    <w:rsid w:val="000E6165"/>
    <w:rsid w:val="000E6B7D"/>
    <w:rsid w:val="000E754C"/>
    <w:rsid w:val="000E7810"/>
    <w:rsid w:val="000F02ED"/>
    <w:rsid w:val="000F04E2"/>
    <w:rsid w:val="000F1311"/>
    <w:rsid w:val="000F1429"/>
    <w:rsid w:val="000F1FCB"/>
    <w:rsid w:val="000F240F"/>
    <w:rsid w:val="000F2A7B"/>
    <w:rsid w:val="000F2C16"/>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7299"/>
    <w:rsid w:val="0011050B"/>
    <w:rsid w:val="00110AC8"/>
    <w:rsid w:val="00111079"/>
    <w:rsid w:val="00111103"/>
    <w:rsid w:val="00111F8F"/>
    <w:rsid w:val="0011298C"/>
    <w:rsid w:val="00112D09"/>
    <w:rsid w:val="0011313F"/>
    <w:rsid w:val="001135DE"/>
    <w:rsid w:val="001137E4"/>
    <w:rsid w:val="00113E0D"/>
    <w:rsid w:val="00114F55"/>
    <w:rsid w:val="00117618"/>
    <w:rsid w:val="00120262"/>
    <w:rsid w:val="0012103D"/>
    <w:rsid w:val="00121CC8"/>
    <w:rsid w:val="00123163"/>
    <w:rsid w:val="0012489F"/>
    <w:rsid w:val="0012644F"/>
    <w:rsid w:val="00126B21"/>
    <w:rsid w:val="00126B30"/>
    <w:rsid w:val="001273EB"/>
    <w:rsid w:val="001314F1"/>
    <w:rsid w:val="0013257F"/>
    <w:rsid w:val="00132971"/>
    <w:rsid w:val="001329C2"/>
    <w:rsid w:val="00132BCA"/>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2CBA"/>
    <w:rsid w:val="001431B2"/>
    <w:rsid w:val="00143C71"/>
    <w:rsid w:val="00146D1F"/>
    <w:rsid w:val="00146EA3"/>
    <w:rsid w:val="001477D8"/>
    <w:rsid w:val="001507D4"/>
    <w:rsid w:val="00150E39"/>
    <w:rsid w:val="001511BE"/>
    <w:rsid w:val="00151D76"/>
    <w:rsid w:val="00151FC8"/>
    <w:rsid w:val="001523FB"/>
    <w:rsid w:val="0015274C"/>
    <w:rsid w:val="0015285E"/>
    <w:rsid w:val="00152BEB"/>
    <w:rsid w:val="0015337F"/>
    <w:rsid w:val="00154514"/>
    <w:rsid w:val="001546A8"/>
    <w:rsid w:val="00154A81"/>
    <w:rsid w:val="00154DB0"/>
    <w:rsid w:val="00154E19"/>
    <w:rsid w:val="001553F1"/>
    <w:rsid w:val="001563FD"/>
    <w:rsid w:val="00156D99"/>
    <w:rsid w:val="0015701E"/>
    <w:rsid w:val="00157462"/>
    <w:rsid w:val="00157E57"/>
    <w:rsid w:val="0016010A"/>
    <w:rsid w:val="00160C02"/>
    <w:rsid w:val="00161A23"/>
    <w:rsid w:val="00161EBA"/>
    <w:rsid w:val="001622B6"/>
    <w:rsid w:val="0016248A"/>
    <w:rsid w:val="00163232"/>
    <w:rsid w:val="0016351E"/>
    <w:rsid w:val="00163B37"/>
    <w:rsid w:val="0016508C"/>
    <w:rsid w:val="00166699"/>
    <w:rsid w:val="00166AE2"/>
    <w:rsid w:val="00166C57"/>
    <w:rsid w:val="00167449"/>
    <w:rsid w:val="00167825"/>
    <w:rsid w:val="00167EB2"/>
    <w:rsid w:val="001709BE"/>
    <w:rsid w:val="00170EB0"/>
    <w:rsid w:val="00171512"/>
    <w:rsid w:val="001728E1"/>
    <w:rsid w:val="00172935"/>
    <w:rsid w:val="00172D87"/>
    <w:rsid w:val="00173466"/>
    <w:rsid w:val="00173E8D"/>
    <w:rsid w:val="001740C9"/>
    <w:rsid w:val="00174C27"/>
    <w:rsid w:val="00174C28"/>
    <w:rsid w:val="00174F89"/>
    <w:rsid w:val="0017780F"/>
    <w:rsid w:val="001778EF"/>
    <w:rsid w:val="00180471"/>
    <w:rsid w:val="00181266"/>
    <w:rsid w:val="001819B8"/>
    <w:rsid w:val="00182BC5"/>
    <w:rsid w:val="00183235"/>
    <w:rsid w:val="0018358E"/>
    <w:rsid w:val="001859FF"/>
    <w:rsid w:val="00185D29"/>
    <w:rsid w:val="00185EE1"/>
    <w:rsid w:val="001863D2"/>
    <w:rsid w:val="00186AF9"/>
    <w:rsid w:val="0018734F"/>
    <w:rsid w:val="001878FE"/>
    <w:rsid w:val="00187D66"/>
    <w:rsid w:val="00190347"/>
    <w:rsid w:val="00190C6F"/>
    <w:rsid w:val="00191889"/>
    <w:rsid w:val="00192F1E"/>
    <w:rsid w:val="0019363C"/>
    <w:rsid w:val="00193AA6"/>
    <w:rsid w:val="00193D91"/>
    <w:rsid w:val="00194078"/>
    <w:rsid w:val="00194EA1"/>
    <w:rsid w:val="00195423"/>
    <w:rsid w:val="001954B6"/>
    <w:rsid w:val="0019579A"/>
    <w:rsid w:val="00195D14"/>
    <w:rsid w:val="001A109E"/>
    <w:rsid w:val="001A1102"/>
    <w:rsid w:val="001A1170"/>
    <w:rsid w:val="001A11D2"/>
    <w:rsid w:val="001A18CC"/>
    <w:rsid w:val="001A2142"/>
    <w:rsid w:val="001A2704"/>
    <w:rsid w:val="001A28D9"/>
    <w:rsid w:val="001A2DA3"/>
    <w:rsid w:val="001A3C49"/>
    <w:rsid w:val="001A43F4"/>
    <w:rsid w:val="001A4C59"/>
    <w:rsid w:val="001A4D06"/>
    <w:rsid w:val="001A4DB5"/>
    <w:rsid w:val="001A537A"/>
    <w:rsid w:val="001A58D8"/>
    <w:rsid w:val="001A5951"/>
    <w:rsid w:val="001A59C9"/>
    <w:rsid w:val="001A5C16"/>
    <w:rsid w:val="001A6612"/>
    <w:rsid w:val="001A6D76"/>
    <w:rsid w:val="001A77E7"/>
    <w:rsid w:val="001B0074"/>
    <w:rsid w:val="001B130F"/>
    <w:rsid w:val="001B17B5"/>
    <w:rsid w:val="001B1A50"/>
    <w:rsid w:val="001B20A9"/>
    <w:rsid w:val="001B29B8"/>
    <w:rsid w:val="001B2AF5"/>
    <w:rsid w:val="001B3555"/>
    <w:rsid w:val="001B41A6"/>
    <w:rsid w:val="001B47DC"/>
    <w:rsid w:val="001B50EF"/>
    <w:rsid w:val="001B5A43"/>
    <w:rsid w:val="001B69A1"/>
    <w:rsid w:val="001B6A4A"/>
    <w:rsid w:val="001C0A2C"/>
    <w:rsid w:val="001C1A8F"/>
    <w:rsid w:val="001C1FC4"/>
    <w:rsid w:val="001C28CF"/>
    <w:rsid w:val="001C3383"/>
    <w:rsid w:val="001C3C00"/>
    <w:rsid w:val="001C4719"/>
    <w:rsid w:val="001C47DC"/>
    <w:rsid w:val="001C497F"/>
    <w:rsid w:val="001C6326"/>
    <w:rsid w:val="001C6559"/>
    <w:rsid w:val="001C7411"/>
    <w:rsid w:val="001D1158"/>
    <w:rsid w:val="001D1970"/>
    <w:rsid w:val="001D1AD7"/>
    <w:rsid w:val="001D2E43"/>
    <w:rsid w:val="001D3936"/>
    <w:rsid w:val="001D4221"/>
    <w:rsid w:val="001D45F3"/>
    <w:rsid w:val="001D4739"/>
    <w:rsid w:val="001D4DEC"/>
    <w:rsid w:val="001D543D"/>
    <w:rsid w:val="001D56AF"/>
    <w:rsid w:val="001D5709"/>
    <w:rsid w:val="001D5CC2"/>
    <w:rsid w:val="001D635A"/>
    <w:rsid w:val="001D7D04"/>
    <w:rsid w:val="001E0291"/>
    <w:rsid w:val="001E1359"/>
    <w:rsid w:val="001E1E2D"/>
    <w:rsid w:val="001E1F67"/>
    <w:rsid w:val="001E29EF"/>
    <w:rsid w:val="001E2B50"/>
    <w:rsid w:val="001E4A65"/>
    <w:rsid w:val="001E4C09"/>
    <w:rsid w:val="001E5EF4"/>
    <w:rsid w:val="001E62C1"/>
    <w:rsid w:val="001E635F"/>
    <w:rsid w:val="001E6929"/>
    <w:rsid w:val="001E69E3"/>
    <w:rsid w:val="001E6AFE"/>
    <w:rsid w:val="001E6B86"/>
    <w:rsid w:val="001E77E3"/>
    <w:rsid w:val="001E7F5F"/>
    <w:rsid w:val="001F01C1"/>
    <w:rsid w:val="001F0444"/>
    <w:rsid w:val="001F04CA"/>
    <w:rsid w:val="001F1CC8"/>
    <w:rsid w:val="001F23F6"/>
    <w:rsid w:val="001F40C1"/>
    <w:rsid w:val="001F40F6"/>
    <w:rsid w:val="001F4DCA"/>
    <w:rsid w:val="001F55A4"/>
    <w:rsid w:val="001F5AEA"/>
    <w:rsid w:val="001F6968"/>
    <w:rsid w:val="001F6F6E"/>
    <w:rsid w:val="001F7141"/>
    <w:rsid w:val="00200AFF"/>
    <w:rsid w:val="00201D70"/>
    <w:rsid w:val="00202216"/>
    <w:rsid w:val="0020255E"/>
    <w:rsid w:val="00202C63"/>
    <w:rsid w:val="00203D1A"/>
    <w:rsid w:val="0020426E"/>
    <w:rsid w:val="002048B4"/>
    <w:rsid w:val="00205F98"/>
    <w:rsid w:val="0020691E"/>
    <w:rsid w:val="00206C85"/>
    <w:rsid w:val="00210120"/>
    <w:rsid w:val="002123CA"/>
    <w:rsid w:val="002131F7"/>
    <w:rsid w:val="00213EB4"/>
    <w:rsid w:val="00214BAD"/>
    <w:rsid w:val="00214D4E"/>
    <w:rsid w:val="00215062"/>
    <w:rsid w:val="00220013"/>
    <w:rsid w:val="00220066"/>
    <w:rsid w:val="002202E5"/>
    <w:rsid w:val="002204AB"/>
    <w:rsid w:val="00220758"/>
    <w:rsid w:val="00220F2A"/>
    <w:rsid w:val="00222993"/>
    <w:rsid w:val="00222B38"/>
    <w:rsid w:val="00222FA7"/>
    <w:rsid w:val="00223304"/>
    <w:rsid w:val="00224E7E"/>
    <w:rsid w:val="00225205"/>
    <w:rsid w:val="00225345"/>
    <w:rsid w:val="00225530"/>
    <w:rsid w:val="00225EF9"/>
    <w:rsid w:val="00225EFF"/>
    <w:rsid w:val="00226554"/>
    <w:rsid w:val="002275E8"/>
    <w:rsid w:val="0022783B"/>
    <w:rsid w:val="00227C3B"/>
    <w:rsid w:val="00231542"/>
    <w:rsid w:val="00231CA7"/>
    <w:rsid w:val="00233A74"/>
    <w:rsid w:val="002340D8"/>
    <w:rsid w:val="002340E1"/>
    <w:rsid w:val="00234823"/>
    <w:rsid w:val="0023518A"/>
    <w:rsid w:val="00236099"/>
    <w:rsid w:val="002362D9"/>
    <w:rsid w:val="00236734"/>
    <w:rsid w:val="0023718E"/>
    <w:rsid w:val="00237378"/>
    <w:rsid w:val="00237652"/>
    <w:rsid w:val="0024036E"/>
    <w:rsid w:val="002404AE"/>
    <w:rsid w:val="002405FE"/>
    <w:rsid w:val="00241A3D"/>
    <w:rsid w:val="002422CE"/>
    <w:rsid w:val="00242409"/>
    <w:rsid w:val="0024255B"/>
    <w:rsid w:val="00242F79"/>
    <w:rsid w:val="0024326E"/>
    <w:rsid w:val="00243A27"/>
    <w:rsid w:val="00245AD2"/>
    <w:rsid w:val="00246E22"/>
    <w:rsid w:val="002477FC"/>
    <w:rsid w:val="00247851"/>
    <w:rsid w:val="00247A00"/>
    <w:rsid w:val="00247BB4"/>
    <w:rsid w:val="002500C6"/>
    <w:rsid w:val="00250CDC"/>
    <w:rsid w:val="002519DC"/>
    <w:rsid w:val="00251CD7"/>
    <w:rsid w:val="002522F2"/>
    <w:rsid w:val="00252717"/>
    <w:rsid w:val="0025297A"/>
    <w:rsid w:val="00252A22"/>
    <w:rsid w:val="00252A61"/>
    <w:rsid w:val="00252D30"/>
    <w:rsid w:val="0025316E"/>
    <w:rsid w:val="0025340E"/>
    <w:rsid w:val="00253FAD"/>
    <w:rsid w:val="002546DD"/>
    <w:rsid w:val="00254E57"/>
    <w:rsid w:val="0025532E"/>
    <w:rsid w:val="00255B0A"/>
    <w:rsid w:val="00255BA9"/>
    <w:rsid w:val="00257A39"/>
    <w:rsid w:val="002617AF"/>
    <w:rsid w:val="00261BD2"/>
    <w:rsid w:val="002622DC"/>
    <w:rsid w:val="002651B4"/>
    <w:rsid w:val="00265290"/>
    <w:rsid w:val="0026605B"/>
    <w:rsid w:val="00266356"/>
    <w:rsid w:val="00266CF3"/>
    <w:rsid w:val="00267CD3"/>
    <w:rsid w:val="00270021"/>
    <w:rsid w:val="002703C5"/>
    <w:rsid w:val="00271789"/>
    <w:rsid w:val="00272043"/>
    <w:rsid w:val="0027236C"/>
    <w:rsid w:val="002726B3"/>
    <w:rsid w:val="00272FF4"/>
    <w:rsid w:val="002738FA"/>
    <w:rsid w:val="00274146"/>
    <w:rsid w:val="0027687A"/>
    <w:rsid w:val="002778E5"/>
    <w:rsid w:val="002807F8"/>
    <w:rsid w:val="002829DA"/>
    <w:rsid w:val="00283B8B"/>
    <w:rsid w:val="00283E6C"/>
    <w:rsid w:val="0028579E"/>
    <w:rsid w:val="00286793"/>
    <w:rsid w:val="00287764"/>
    <w:rsid w:val="00287AA8"/>
    <w:rsid w:val="00291ABE"/>
    <w:rsid w:val="002926A6"/>
    <w:rsid w:val="0029395A"/>
    <w:rsid w:val="00293D4D"/>
    <w:rsid w:val="0029434D"/>
    <w:rsid w:val="0029439E"/>
    <w:rsid w:val="00294420"/>
    <w:rsid w:val="00294CB6"/>
    <w:rsid w:val="0029546A"/>
    <w:rsid w:val="00295EB4"/>
    <w:rsid w:val="002960E3"/>
    <w:rsid w:val="00296D93"/>
    <w:rsid w:val="00296E94"/>
    <w:rsid w:val="00296F8E"/>
    <w:rsid w:val="00297E09"/>
    <w:rsid w:val="002A03FF"/>
    <w:rsid w:val="002A1EA8"/>
    <w:rsid w:val="002A1F83"/>
    <w:rsid w:val="002A3F2F"/>
    <w:rsid w:val="002A406D"/>
    <w:rsid w:val="002A44D1"/>
    <w:rsid w:val="002A4DE0"/>
    <w:rsid w:val="002A63FE"/>
    <w:rsid w:val="002A677B"/>
    <w:rsid w:val="002A7B5C"/>
    <w:rsid w:val="002A7C9A"/>
    <w:rsid w:val="002B0FF8"/>
    <w:rsid w:val="002B225F"/>
    <w:rsid w:val="002B22B5"/>
    <w:rsid w:val="002B244F"/>
    <w:rsid w:val="002B2A2A"/>
    <w:rsid w:val="002B3045"/>
    <w:rsid w:val="002B3C12"/>
    <w:rsid w:val="002B402C"/>
    <w:rsid w:val="002B43EF"/>
    <w:rsid w:val="002B6A1F"/>
    <w:rsid w:val="002C0396"/>
    <w:rsid w:val="002C0523"/>
    <w:rsid w:val="002C0B9F"/>
    <w:rsid w:val="002C1175"/>
    <w:rsid w:val="002C118A"/>
    <w:rsid w:val="002C18B1"/>
    <w:rsid w:val="002C1C16"/>
    <w:rsid w:val="002C2179"/>
    <w:rsid w:val="002C25E4"/>
    <w:rsid w:val="002C2739"/>
    <w:rsid w:val="002C3CC1"/>
    <w:rsid w:val="002C4465"/>
    <w:rsid w:val="002C5A20"/>
    <w:rsid w:val="002C6826"/>
    <w:rsid w:val="002C7BC1"/>
    <w:rsid w:val="002D07B5"/>
    <w:rsid w:val="002D09C6"/>
    <w:rsid w:val="002D0A34"/>
    <w:rsid w:val="002D1987"/>
    <w:rsid w:val="002D3003"/>
    <w:rsid w:val="002D356E"/>
    <w:rsid w:val="002D3CCA"/>
    <w:rsid w:val="002D47AE"/>
    <w:rsid w:val="002D4C4A"/>
    <w:rsid w:val="002D54A5"/>
    <w:rsid w:val="002D5EB9"/>
    <w:rsid w:val="002D6200"/>
    <w:rsid w:val="002D62B9"/>
    <w:rsid w:val="002D6C72"/>
    <w:rsid w:val="002D6F2B"/>
    <w:rsid w:val="002D72BF"/>
    <w:rsid w:val="002D7837"/>
    <w:rsid w:val="002D7867"/>
    <w:rsid w:val="002E102C"/>
    <w:rsid w:val="002E1381"/>
    <w:rsid w:val="002E1FBD"/>
    <w:rsid w:val="002E20C1"/>
    <w:rsid w:val="002E22AB"/>
    <w:rsid w:val="002E27DC"/>
    <w:rsid w:val="002E357B"/>
    <w:rsid w:val="002E370C"/>
    <w:rsid w:val="002E37C1"/>
    <w:rsid w:val="002E3D3D"/>
    <w:rsid w:val="002E4031"/>
    <w:rsid w:val="002E4551"/>
    <w:rsid w:val="002E4757"/>
    <w:rsid w:val="002E5780"/>
    <w:rsid w:val="002E5CBB"/>
    <w:rsid w:val="002E62E1"/>
    <w:rsid w:val="002E69AE"/>
    <w:rsid w:val="002E704F"/>
    <w:rsid w:val="002E734A"/>
    <w:rsid w:val="002F0C44"/>
    <w:rsid w:val="002F2067"/>
    <w:rsid w:val="002F2643"/>
    <w:rsid w:val="002F29B6"/>
    <w:rsid w:val="002F36E1"/>
    <w:rsid w:val="002F3EC6"/>
    <w:rsid w:val="002F56D0"/>
    <w:rsid w:val="002F656C"/>
    <w:rsid w:val="002F77FD"/>
    <w:rsid w:val="002F7E4B"/>
    <w:rsid w:val="003001ED"/>
    <w:rsid w:val="00300A8A"/>
    <w:rsid w:val="003014FE"/>
    <w:rsid w:val="003033B8"/>
    <w:rsid w:val="0030350B"/>
    <w:rsid w:val="00303C4C"/>
    <w:rsid w:val="00304032"/>
    <w:rsid w:val="00304205"/>
    <w:rsid w:val="00304735"/>
    <w:rsid w:val="00304D6D"/>
    <w:rsid w:val="0030524C"/>
    <w:rsid w:val="003070FC"/>
    <w:rsid w:val="0030767E"/>
    <w:rsid w:val="00310713"/>
    <w:rsid w:val="00310C03"/>
    <w:rsid w:val="00311667"/>
    <w:rsid w:val="00311BF6"/>
    <w:rsid w:val="003123F5"/>
    <w:rsid w:val="0031295A"/>
    <w:rsid w:val="00312963"/>
    <w:rsid w:val="00312CC8"/>
    <w:rsid w:val="00314704"/>
    <w:rsid w:val="003148B4"/>
    <w:rsid w:val="00314BED"/>
    <w:rsid w:val="00314FA1"/>
    <w:rsid w:val="003150E1"/>
    <w:rsid w:val="0031549A"/>
    <w:rsid w:val="003156ED"/>
    <w:rsid w:val="0031631E"/>
    <w:rsid w:val="00316611"/>
    <w:rsid w:val="00316FDE"/>
    <w:rsid w:val="00317C37"/>
    <w:rsid w:val="00320011"/>
    <w:rsid w:val="00320B06"/>
    <w:rsid w:val="00320B19"/>
    <w:rsid w:val="0032151C"/>
    <w:rsid w:val="0032204D"/>
    <w:rsid w:val="003227DB"/>
    <w:rsid w:val="003229BD"/>
    <w:rsid w:val="00322A76"/>
    <w:rsid w:val="00323B3B"/>
    <w:rsid w:val="0032415C"/>
    <w:rsid w:val="0032446A"/>
    <w:rsid w:val="00325A52"/>
    <w:rsid w:val="003266F4"/>
    <w:rsid w:val="00326CDB"/>
    <w:rsid w:val="00327E5B"/>
    <w:rsid w:val="00331379"/>
    <w:rsid w:val="003318B1"/>
    <w:rsid w:val="003322D4"/>
    <w:rsid w:val="003322DA"/>
    <w:rsid w:val="003324D5"/>
    <w:rsid w:val="00333CBC"/>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8BB"/>
    <w:rsid w:val="00346C0B"/>
    <w:rsid w:val="0034726F"/>
    <w:rsid w:val="00347F77"/>
    <w:rsid w:val="00350C95"/>
    <w:rsid w:val="0035118C"/>
    <w:rsid w:val="00351763"/>
    <w:rsid w:val="003533FD"/>
    <w:rsid w:val="00353A2C"/>
    <w:rsid w:val="00355286"/>
    <w:rsid w:val="0035548E"/>
    <w:rsid w:val="00356B1E"/>
    <w:rsid w:val="0035710E"/>
    <w:rsid w:val="00357357"/>
    <w:rsid w:val="0035776A"/>
    <w:rsid w:val="00357827"/>
    <w:rsid w:val="00357B02"/>
    <w:rsid w:val="00360FF6"/>
    <w:rsid w:val="00361AA7"/>
    <w:rsid w:val="00362912"/>
    <w:rsid w:val="00363184"/>
    <w:rsid w:val="0036393B"/>
    <w:rsid w:val="0036489D"/>
    <w:rsid w:val="00365765"/>
    <w:rsid w:val="00366472"/>
    <w:rsid w:val="0037075E"/>
    <w:rsid w:val="003708F5"/>
    <w:rsid w:val="00371F51"/>
    <w:rsid w:val="00372D8A"/>
    <w:rsid w:val="00372FDF"/>
    <w:rsid w:val="00375924"/>
    <w:rsid w:val="0037618B"/>
    <w:rsid w:val="00376953"/>
    <w:rsid w:val="00376E0B"/>
    <w:rsid w:val="00377FB2"/>
    <w:rsid w:val="0038002F"/>
    <w:rsid w:val="003805AC"/>
    <w:rsid w:val="00381267"/>
    <w:rsid w:val="003822F3"/>
    <w:rsid w:val="00382BC7"/>
    <w:rsid w:val="00383397"/>
    <w:rsid w:val="00383691"/>
    <w:rsid w:val="00383DBE"/>
    <w:rsid w:val="00384B13"/>
    <w:rsid w:val="00384FF6"/>
    <w:rsid w:val="00387003"/>
    <w:rsid w:val="00387521"/>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75E"/>
    <w:rsid w:val="003A2E39"/>
    <w:rsid w:val="003A374E"/>
    <w:rsid w:val="003A443A"/>
    <w:rsid w:val="003A4878"/>
    <w:rsid w:val="003A579F"/>
    <w:rsid w:val="003A5CE4"/>
    <w:rsid w:val="003A5DC4"/>
    <w:rsid w:val="003A63D1"/>
    <w:rsid w:val="003A6E78"/>
    <w:rsid w:val="003A7670"/>
    <w:rsid w:val="003B097A"/>
    <w:rsid w:val="003B0A25"/>
    <w:rsid w:val="003B0CEE"/>
    <w:rsid w:val="003B259D"/>
    <w:rsid w:val="003B2D50"/>
    <w:rsid w:val="003B2E08"/>
    <w:rsid w:val="003B352E"/>
    <w:rsid w:val="003B3EB1"/>
    <w:rsid w:val="003B3EC9"/>
    <w:rsid w:val="003B4B8C"/>
    <w:rsid w:val="003B4D25"/>
    <w:rsid w:val="003B5248"/>
    <w:rsid w:val="003B5657"/>
    <w:rsid w:val="003B571A"/>
    <w:rsid w:val="003B5C07"/>
    <w:rsid w:val="003B738E"/>
    <w:rsid w:val="003B7650"/>
    <w:rsid w:val="003C07E4"/>
    <w:rsid w:val="003C0BB7"/>
    <w:rsid w:val="003C1B28"/>
    <w:rsid w:val="003C2606"/>
    <w:rsid w:val="003C3233"/>
    <w:rsid w:val="003C398E"/>
    <w:rsid w:val="003C3CBF"/>
    <w:rsid w:val="003C423D"/>
    <w:rsid w:val="003C425C"/>
    <w:rsid w:val="003C4749"/>
    <w:rsid w:val="003C560C"/>
    <w:rsid w:val="003C5927"/>
    <w:rsid w:val="003C6E84"/>
    <w:rsid w:val="003C6FA6"/>
    <w:rsid w:val="003D06AA"/>
    <w:rsid w:val="003D07FA"/>
    <w:rsid w:val="003D351D"/>
    <w:rsid w:val="003D37AE"/>
    <w:rsid w:val="003D395E"/>
    <w:rsid w:val="003D3FE7"/>
    <w:rsid w:val="003D4314"/>
    <w:rsid w:val="003D4464"/>
    <w:rsid w:val="003D4A06"/>
    <w:rsid w:val="003D4AF8"/>
    <w:rsid w:val="003D4CDB"/>
    <w:rsid w:val="003D5A3E"/>
    <w:rsid w:val="003D69B8"/>
    <w:rsid w:val="003D703E"/>
    <w:rsid w:val="003E011A"/>
    <w:rsid w:val="003E037A"/>
    <w:rsid w:val="003E04F0"/>
    <w:rsid w:val="003E0803"/>
    <w:rsid w:val="003E0D60"/>
    <w:rsid w:val="003E12B8"/>
    <w:rsid w:val="003E1533"/>
    <w:rsid w:val="003E1708"/>
    <w:rsid w:val="003E2290"/>
    <w:rsid w:val="003E2421"/>
    <w:rsid w:val="003E260D"/>
    <w:rsid w:val="003E30F4"/>
    <w:rsid w:val="003E43B7"/>
    <w:rsid w:val="003E50FB"/>
    <w:rsid w:val="003E52AE"/>
    <w:rsid w:val="003E540C"/>
    <w:rsid w:val="003E5B5A"/>
    <w:rsid w:val="003E5F61"/>
    <w:rsid w:val="003E6294"/>
    <w:rsid w:val="003E632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635"/>
    <w:rsid w:val="004019EE"/>
    <w:rsid w:val="00403E17"/>
    <w:rsid w:val="00404ECD"/>
    <w:rsid w:val="00405107"/>
    <w:rsid w:val="0040603C"/>
    <w:rsid w:val="004073E7"/>
    <w:rsid w:val="00407459"/>
    <w:rsid w:val="00407643"/>
    <w:rsid w:val="004103B1"/>
    <w:rsid w:val="004115B7"/>
    <w:rsid w:val="00411849"/>
    <w:rsid w:val="00411B17"/>
    <w:rsid w:val="00412152"/>
    <w:rsid w:val="004126AC"/>
    <w:rsid w:val="004132A0"/>
    <w:rsid w:val="0041373B"/>
    <w:rsid w:val="004146B6"/>
    <w:rsid w:val="00414BFC"/>
    <w:rsid w:val="00414CC1"/>
    <w:rsid w:val="00415018"/>
    <w:rsid w:val="00415B0A"/>
    <w:rsid w:val="0041664E"/>
    <w:rsid w:val="00416CD6"/>
    <w:rsid w:val="004171A5"/>
    <w:rsid w:val="00417252"/>
    <w:rsid w:val="00417399"/>
    <w:rsid w:val="00417EB9"/>
    <w:rsid w:val="004203C2"/>
    <w:rsid w:val="004204B5"/>
    <w:rsid w:val="00421780"/>
    <w:rsid w:val="00421E54"/>
    <w:rsid w:val="0042200D"/>
    <w:rsid w:val="004220D1"/>
    <w:rsid w:val="004221AB"/>
    <w:rsid w:val="00422474"/>
    <w:rsid w:val="00422D26"/>
    <w:rsid w:val="00423131"/>
    <w:rsid w:val="00423C48"/>
    <w:rsid w:val="004244A7"/>
    <w:rsid w:val="00426797"/>
    <w:rsid w:val="00430175"/>
    <w:rsid w:val="00431321"/>
    <w:rsid w:val="004336B1"/>
    <w:rsid w:val="00433760"/>
    <w:rsid w:val="004347CA"/>
    <w:rsid w:val="004355B1"/>
    <w:rsid w:val="00435998"/>
    <w:rsid w:val="00435DD0"/>
    <w:rsid w:val="00436551"/>
    <w:rsid w:val="004367BC"/>
    <w:rsid w:val="00437B7B"/>
    <w:rsid w:val="00437E6F"/>
    <w:rsid w:val="00440077"/>
    <w:rsid w:val="004401C0"/>
    <w:rsid w:val="00440269"/>
    <w:rsid w:val="0044089C"/>
    <w:rsid w:val="004408D8"/>
    <w:rsid w:val="00440E4D"/>
    <w:rsid w:val="004415FB"/>
    <w:rsid w:val="00441EBB"/>
    <w:rsid w:val="00441F7C"/>
    <w:rsid w:val="0044226E"/>
    <w:rsid w:val="00442BBD"/>
    <w:rsid w:val="00442C25"/>
    <w:rsid w:val="0044367F"/>
    <w:rsid w:val="004438CE"/>
    <w:rsid w:val="00443A2C"/>
    <w:rsid w:val="00444279"/>
    <w:rsid w:val="004444EA"/>
    <w:rsid w:val="00444865"/>
    <w:rsid w:val="00444878"/>
    <w:rsid w:val="0044528E"/>
    <w:rsid w:val="004452FB"/>
    <w:rsid w:val="00445907"/>
    <w:rsid w:val="00445D0B"/>
    <w:rsid w:val="0044638C"/>
    <w:rsid w:val="00446ACC"/>
    <w:rsid w:val="0045002A"/>
    <w:rsid w:val="00450F24"/>
    <w:rsid w:val="00451419"/>
    <w:rsid w:val="0045177E"/>
    <w:rsid w:val="004519A5"/>
    <w:rsid w:val="00452291"/>
    <w:rsid w:val="004522C7"/>
    <w:rsid w:val="0045236B"/>
    <w:rsid w:val="00452ED6"/>
    <w:rsid w:val="00453B0B"/>
    <w:rsid w:val="00453F11"/>
    <w:rsid w:val="00453F73"/>
    <w:rsid w:val="00454A47"/>
    <w:rsid w:val="00454C7B"/>
    <w:rsid w:val="00454EED"/>
    <w:rsid w:val="00454EFE"/>
    <w:rsid w:val="00455264"/>
    <w:rsid w:val="0045533E"/>
    <w:rsid w:val="00455D18"/>
    <w:rsid w:val="00455D6C"/>
    <w:rsid w:val="00456278"/>
    <w:rsid w:val="00460204"/>
    <w:rsid w:val="00460D9A"/>
    <w:rsid w:val="0046152E"/>
    <w:rsid w:val="00461729"/>
    <w:rsid w:val="00461850"/>
    <w:rsid w:val="004630E1"/>
    <w:rsid w:val="004643C3"/>
    <w:rsid w:val="004646FF"/>
    <w:rsid w:val="00465162"/>
    <w:rsid w:val="00465E81"/>
    <w:rsid w:val="00466F2C"/>
    <w:rsid w:val="00467805"/>
    <w:rsid w:val="00467FEC"/>
    <w:rsid w:val="004703E4"/>
    <w:rsid w:val="004706D1"/>
    <w:rsid w:val="00471475"/>
    <w:rsid w:val="00471595"/>
    <w:rsid w:val="004728AA"/>
    <w:rsid w:val="00472D24"/>
    <w:rsid w:val="004742C0"/>
    <w:rsid w:val="00474510"/>
    <w:rsid w:val="004745A6"/>
    <w:rsid w:val="00475CEF"/>
    <w:rsid w:val="00476255"/>
    <w:rsid w:val="00476CBC"/>
    <w:rsid w:val="00477201"/>
    <w:rsid w:val="00480057"/>
    <w:rsid w:val="0048007F"/>
    <w:rsid w:val="00480875"/>
    <w:rsid w:val="00480A1F"/>
    <w:rsid w:val="00480B66"/>
    <w:rsid w:val="00481423"/>
    <w:rsid w:val="00481D64"/>
    <w:rsid w:val="00481E4F"/>
    <w:rsid w:val="00482E85"/>
    <w:rsid w:val="004839C7"/>
    <w:rsid w:val="0048529F"/>
    <w:rsid w:val="00485817"/>
    <w:rsid w:val="00485897"/>
    <w:rsid w:val="00485B01"/>
    <w:rsid w:val="00486C9A"/>
    <w:rsid w:val="00487780"/>
    <w:rsid w:val="00490B11"/>
    <w:rsid w:val="00490B53"/>
    <w:rsid w:val="00490C1F"/>
    <w:rsid w:val="004919CB"/>
    <w:rsid w:val="004928AE"/>
    <w:rsid w:val="00492C6E"/>
    <w:rsid w:val="00493A55"/>
    <w:rsid w:val="00493D3E"/>
    <w:rsid w:val="00494A60"/>
    <w:rsid w:val="004952AA"/>
    <w:rsid w:val="00495DE6"/>
    <w:rsid w:val="00496285"/>
    <w:rsid w:val="00496681"/>
    <w:rsid w:val="00496D4F"/>
    <w:rsid w:val="00496FE3"/>
    <w:rsid w:val="004975DD"/>
    <w:rsid w:val="00497A78"/>
    <w:rsid w:val="004A04CA"/>
    <w:rsid w:val="004A1034"/>
    <w:rsid w:val="004A10AB"/>
    <w:rsid w:val="004A1312"/>
    <w:rsid w:val="004A22A3"/>
    <w:rsid w:val="004A2B1E"/>
    <w:rsid w:val="004A2B78"/>
    <w:rsid w:val="004A2F21"/>
    <w:rsid w:val="004A36FB"/>
    <w:rsid w:val="004A3F07"/>
    <w:rsid w:val="004A4A4E"/>
    <w:rsid w:val="004A4DD3"/>
    <w:rsid w:val="004A4E17"/>
    <w:rsid w:val="004A5AB1"/>
    <w:rsid w:val="004A5AF0"/>
    <w:rsid w:val="004A6332"/>
    <w:rsid w:val="004A6F50"/>
    <w:rsid w:val="004A7065"/>
    <w:rsid w:val="004B05F4"/>
    <w:rsid w:val="004B0C3D"/>
    <w:rsid w:val="004B1CAD"/>
    <w:rsid w:val="004B33D4"/>
    <w:rsid w:val="004B4158"/>
    <w:rsid w:val="004B4BD3"/>
    <w:rsid w:val="004B53F8"/>
    <w:rsid w:val="004B5AB0"/>
    <w:rsid w:val="004B5CC1"/>
    <w:rsid w:val="004B74A0"/>
    <w:rsid w:val="004B7734"/>
    <w:rsid w:val="004B791B"/>
    <w:rsid w:val="004B7928"/>
    <w:rsid w:val="004B79EA"/>
    <w:rsid w:val="004B7D62"/>
    <w:rsid w:val="004B7F3A"/>
    <w:rsid w:val="004C23DA"/>
    <w:rsid w:val="004C2991"/>
    <w:rsid w:val="004C4AD9"/>
    <w:rsid w:val="004C5245"/>
    <w:rsid w:val="004C5864"/>
    <w:rsid w:val="004C5A0C"/>
    <w:rsid w:val="004C662B"/>
    <w:rsid w:val="004C6903"/>
    <w:rsid w:val="004C6C77"/>
    <w:rsid w:val="004C797A"/>
    <w:rsid w:val="004C7B0D"/>
    <w:rsid w:val="004C7E95"/>
    <w:rsid w:val="004D0E25"/>
    <w:rsid w:val="004D284F"/>
    <w:rsid w:val="004D377A"/>
    <w:rsid w:val="004D3A7C"/>
    <w:rsid w:val="004D45D2"/>
    <w:rsid w:val="004D48FF"/>
    <w:rsid w:val="004D59A7"/>
    <w:rsid w:val="004D5F5B"/>
    <w:rsid w:val="004D69F4"/>
    <w:rsid w:val="004D6B57"/>
    <w:rsid w:val="004D719A"/>
    <w:rsid w:val="004D7359"/>
    <w:rsid w:val="004D7430"/>
    <w:rsid w:val="004D791E"/>
    <w:rsid w:val="004E09E3"/>
    <w:rsid w:val="004E0A42"/>
    <w:rsid w:val="004E10E4"/>
    <w:rsid w:val="004E1874"/>
    <w:rsid w:val="004E29F9"/>
    <w:rsid w:val="004E306D"/>
    <w:rsid w:val="004E357B"/>
    <w:rsid w:val="004E427D"/>
    <w:rsid w:val="004E4384"/>
    <w:rsid w:val="004E49F3"/>
    <w:rsid w:val="004E4E5F"/>
    <w:rsid w:val="004E4FFF"/>
    <w:rsid w:val="004E5852"/>
    <w:rsid w:val="004E6004"/>
    <w:rsid w:val="004E730D"/>
    <w:rsid w:val="004E7826"/>
    <w:rsid w:val="004F21FA"/>
    <w:rsid w:val="004F3031"/>
    <w:rsid w:val="004F30BF"/>
    <w:rsid w:val="004F3441"/>
    <w:rsid w:val="004F3D34"/>
    <w:rsid w:val="004F5836"/>
    <w:rsid w:val="005005E6"/>
    <w:rsid w:val="005022A9"/>
    <w:rsid w:val="00502FC2"/>
    <w:rsid w:val="005030D2"/>
    <w:rsid w:val="005036B6"/>
    <w:rsid w:val="00503A43"/>
    <w:rsid w:val="00503D60"/>
    <w:rsid w:val="0050416B"/>
    <w:rsid w:val="00505EA0"/>
    <w:rsid w:val="00505F15"/>
    <w:rsid w:val="0050658A"/>
    <w:rsid w:val="005070C6"/>
    <w:rsid w:val="00510946"/>
    <w:rsid w:val="00510953"/>
    <w:rsid w:val="005119CA"/>
    <w:rsid w:val="00511E8A"/>
    <w:rsid w:val="00512E97"/>
    <w:rsid w:val="00512E99"/>
    <w:rsid w:val="005133CA"/>
    <w:rsid w:val="005137D2"/>
    <w:rsid w:val="0051389D"/>
    <w:rsid w:val="00513AAE"/>
    <w:rsid w:val="00514688"/>
    <w:rsid w:val="00514698"/>
    <w:rsid w:val="005148C5"/>
    <w:rsid w:val="00514BC1"/>
    <w:rsid w:val="0051562C"/>
    <w:rsid w:val="0051583E"/>
    <w:rsid w:val="00515F99"/>
    <w:rsid w:val="0051638B"/>
    <w:rsid w:val="00516DA0"/>
    <w:rsid w:val="00516F58"/>
    <w:rsid w:val="00517C82"/>
    <w:rsid w:val="00517CBD"/>
    <w:rsid w:val="00520A56"/>
    <w:rsid w:val="00521399"/>
    <w:rsid w:val="00521AD6"/>
    <w:rsid w:val="00522095"/>
    <w:rsid w:val="00522287"/>
    <w:rsid w:val="0052279B"/>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2810"/>
    <w:rsid w:val="005337F2"/>
    <w:rsid w:val="00533AB8"/>
    <w:rsid w:val="00534211"/>
    <w:rsid w:val="005342B6"/>
    <w:rsid w:val="005345D4"/>
    <w:rsid w:val="00536393"/>
    <w:rsid w:val="00536442"/>
    <w:rsid w:val="0053737E"/>
    <w:rsid w:val="00537974"/>
    <w:rsid w:val="0054043E"/>
    <w:rsid w:val="005404A7"/>
    <w:rsid w:val="00540E4B"/>
    <w:rsid w:val="0054157A"/>
    <w:rsid w:val="00542877"/>
    <w:rsid w:val="00543A72"/>
    <w:rsid w:val="0054517B"/>
    <w:rsid w:val="00545F0F"/>
    <w:rsid w:val="0054645F"/>
    <w:rsid w:val="0054794A"/>
    <w:rsid w:val="00547D49"/>
    <w:rsid w:val="00547D6E"/>
    <w:rsid w:val="00551B2A"/>
    <w:rsid w:val="005525BC"/>
    <w:rsid w:val="00553236"/>
    <w:rsid w:val="005547D5"/>
    <w:rsid w:val="00555D34"/>
    <w:rsid w:val="005601C8"/>
    <w:rsid w:val="00561037"/>
    <w:rsid w:val="00561179"/>
    <w:rsid w:val="0056169F"/>
    <w:rsid w:val="00562B24"/>
    <w:rsid w:val="00563228"/>
    <w:rsid w:val="00563329"/>
    <w:rsid w:val="00563C1B"/>
    <w:rsid w:val="0056412B"/>
    <w:rsid w:val="0056448C"/>
    <w:rsid w:val="005655AD"/>
    <w:rsid w:val="005656B0"/>
    <w:rsid w:val="005657AF"/>
    <w:rsid w:val="0056631B"/>
    <w:rsid w:val="00566DD6"/>
    <w:rsid w:val="00566E14"/>
    <w:rsid w:val="00567155"/>
    <w:rsid w:val="0056719E"/>
    <w:rsid w:val="00567B2F"/>
    <w:rsid w:val="00567CFE"/>
    <w:rsid w:val="005704B9"/>
    <w:rsid w:val="0057152C"/>
    <w:rsid w:val="00571580"/>
    <w:rsid w:val="00572330"/>
    <w:rsid w:val="005723C3"/>
    <w:rsid w:val="00572A15"/>
    <w:rsid w:val="00574820"/>
    <w:rsid w:val="0057496F"/>
    <w:rsid w:val="005752E1"/>
    <w:rsid w:val="005756D1"/>
    <w:rsid w:val="00576DE2"/>
    <w:rsid w:val="005777AD"/>
    <w:rsid w:val="005812C7"/>
    <w:rsid w:val="00582AB5"/>
    <w:rsid w:val="0058577F"/>
    <w:rsid w:val="00585C80"/>
    <w:rsid w:val="00586A9E"/>
    <w:rsid w:val="00586AC4"/>
    <w:rsid w:val="00586EFF"/>
    <w:rsid w:val="005873A8"/>
    <w:rsid w:val="00587E1F"/>
    <w:rsid w:val="005901D6"/>
    <w:rsid w:val="005904B9"/>
    <w:rsid w:val="00590C56"/>
    <w:rsid w:val="00592916"/>
    <w:rsid w:val="005933E2"/>
    <w:rsid w:val="005939B7"/>
    <w:rsid w:val="00593DD3"/>
    <w:rsid w:val="00594D5C"/>
    <w:rsid w:val="005976F8"/>
    <w:rsid w:val="00597FE2"/>
    <w:rsid w:val="005A06FA"/>
    <w:rsid w:val="005A28AF"/>
    <w:rsid w:val="005A28E3"/>
    <w:rsid w:val="005A29D9"/>
    <w:rsid w:val="005A3511"/>
    <w:rsid w:val="005A3B98"/>
    <w:rsid w:val="005A3DFC"/>
    <w:rsid w:val="005A4670"/>
    <w:rsid w:val="005A4E5D"/>
    <w:rsid w:val="005A5201"/>
    <w:rsid w:val="005A5402"/>
    <w:rsid w:val="005A585C"/>
    <w:rsid w:val="005A5FE6"/>
    <w:rsid w:val="005A6457"/>
    <w:rsid w:val="005A6E48"/>
    <w:rsid w:val="005A73BB"/>
    <w:rsid w:val="005A7875"/>
    <w:rsid w:val="005B0736"/>
    <w:rsid w:val="005B0839"/>
    <w:rsid w:val="005B0FA5"/>
    <w:rsid w:val="005B122B"/>
    <w:rsid w:val="005B1858"/>
    <w:rsid w:val="005B1936"/>
    <w:rsid w:val="005B225A"/>
    <w:rsid w:val="005B2F54"/>
    <w:rsid w:val="005B41A0"/>
    <w:rsid w:val="005B4934"/>
    <w:rsid w:val="005B4F0F"/>
    <w:rsid w:val="005B51E6"/>
    <w:rsid w:val="005B569F"/>
    <w:rsid w:val="005B59D0"/>
    <w:rsid w:val="005B63F0"/>
    <w:rsid w:val="005B721C"/>
    <w:rsid w:val="005B7285"/>
    <w:rsid w:val="005C038C"/>
    <w:rsid w:val="005C0B54"/>
    <w:rsid w:val="005C1F92"/>
    <w:rsid w:val="005C2B41"/>
    <w:rsid w:val="005C3ECE"/>
    <w:rsid w:val="005C5F12"/>
    <w:rsid w:val="005C6BF4"/>
    <w:rsid w:val="005D147B"/>
    <w:rsid w:val="005D22CF"/>
    <w:rsid w:val="005D37B4"/>
    <w:rsid w:val="005D381E"/>
    <w:rsid w:val="005D3B4C"/>
    <w:rsid w:val="005D3DB3"/>
    <w:rsid w:val="005D41CC"/>
    <w:rsid w:val="005D465E"/>
    <w:rsid w:val="005D4BF2"/>
    <w:rsid w:val="005D4CA0"/>
    <w:rsid w:val="005D4FB8"/>
    <w:rsid w:val="005D69BA"/>
    <w:rsid w:val="005D6CAC"/>
    <w:rsid w:val="005D6F59"/>
    <w:rsid w:val="005D77C5"/>
    <w:rsid w:val="005E067E"/>
    <w:rsid w:val="005E1D08"/>
    <w:rsid w:val="005E1DC7"/>
    <w:rsid w:val="005E208F"/>
    <w:rsid w:val="005E2EA7"/>
    <w:rsid w:val="005E45EB"/>
    <w:rsid w:val="005E49E4"/>
    <w:rsid w:val="005E4DEE"/>
    <w:rsid w:val="005E6C45"/>
    <w:rsid w:val="005E6E9E"/>
    <w:rsid w:val="005F00E5"/>
    <w:rsid w:val="005F0886"/>
    <w:rsid w:val="005F0CAC"/>
    <w:rsid w:val="005F1F38"/>
    <w:rsid w:val="005F2604"/>
    <w:rsid w:val="005F2D55"/>
    <w:rsid w:val="005F2F07"/>
    <w:rsid w:val="005F323B"/>
    <w:rsid w:val="005F3EF1"/>
    <w:rsid w:val="005F5245"/>
    <w:rsid w:val="005F52AA"/>
    <w:rsid w:val="005F533F"/>
    <w:rsid w:val="005F6867"/>
    <w:rsid w:val="005F68C8"/>
    <w:rsid w:val="005F6A39"/>
    <w:rsid w:val="005F6F04"/>
    <w:rsid w:val="005F72BD"/>
    <w:rsid w:val="005F758E"/>
    <w:rsid w:val="005F7723"/>
    <w:rsid w:val="005F7BD4"/>
    <w:rsid w:val="0060230F"/>
    <w:rsid w:val="006034EF"/>
    <w:rsid w:val="0060396D"/>
    <w:rsid w:val="006041EB"/>
    <w:rsid w:val="0060508C"/>
    <w:rsid w:val="00605375"/>
    <w:rsid w:val="00605C0C"/>
    <w:rsid w:val="006063E6"/>
    <w:rsid w:val="006068F2"/>
    <w:rsid w:val="00607515"/>
    <w:rsid w:val="00607A2A"/>
    <w:rsid w:val="00607C1B"/>
    <w:rsid w:val="0061080E"/>
    <w:rsid w:val="00611349"/>
    <w:rsid w:val="006114E9"/>
    <w:rsid w:val="0061181E"/>
    <w:rsid w:val="00611CBF"/>
    <w:rsid w:val="00612992"/>
    <w:rsid w:val="00612AB9"/>
    <w:rsid w:val="0061326C"/>
    <w:rsid w:val="0061353D"/>
    <w:rsid w:val="006138FB"/>
    <w:rsid w:val="00613A06"/>
    <w:rsid w:val="00614215"/>
    <w:rsid w:val="00614666"/>
    <w:rsid w:val="0061488E"/>
    <w:rsid w:val="00616050"/>
    <w:rsid w:val="006220C8"/>
    <w:rsid w:val="00622422"/>
    <w:rsid w:val="006226C3"/>
    <w:rsid w:val="00625189"/>
    <w:rsid w:val="00626EF9"/>
    <w:rsid w:val="006274B8"/>
    <w:rsid w:val="00627EFB"/>
    <w:rsid w:val="00627F93"/>
    <w:rsid w:val="006305BC"/>
    <w:rsid w:val="00631057"/>
    <w:rsid w:val="006315C2"/>
    <w:rsid w:val="00631D14"/>
    <w:rsid w:val="00632759"/>
    <w:rsid w:val="0063302C"/>
    <w:rsid w:val="006334F7"/>
    <w:rsid w:val="006336DE"/>
    <w:rsid w:val="00633BDF"/>
    <w:rsid w:val="00633F49"/>
    <w:rsid w:val="00634641"/>
    <w:rsid w:val="00634888"/>
    <w:rsid w:val="00636B8F"/>
    <w:rsid w:val="00636D83"/>
    <w:rsid w:val="006407DD"/>
    <w:rsid w:val="00640A54"/>
    <w:rsid w:val="00640B5D"/>
    <w:rsid w:val="006412DE"/>
    <w:rsid w:val="00641647"/>
    <w:rsid w:val="00642049"/>
    <w:rsid w:val="0064284F"/>
    <w:rsid w:val="00643A1A"/>
    <w:rsid w:val="00646008"/>
    <w:rsid w:val="006463FE"/>
    <w:rsid w:val="0064793B"/>
    <w:rsid w:val="00647F74"/>
    <w:rsid w:val="00650549"/>
    <w:rsid w:val="006524E5"/>
    <w:rsid w:val="00652C66"/>
    <w:rsid w:val="00652CEE"/>
    <w:rsid w:val="00653335"/>
    <w:rsid w:val="00653C0D"/>
    <w:rsid w:val="00654239"/>
    <w:rsid w:val="006543CE"/>
    <w:rsid w:val="006546CA"/>
    <w:rsid w:val="00655AD9"/>
    <w:rsid w:val="0065644E"/>
    <w:rsid w:val="00656706"/>
    <w:rsid w:val="00656D23"/>
    <w:rsid w:val="00656DA8"/>
    <w:rsid w:val="00657524"/>
    <w:rsid w:val="00660CDE"/>
    <w:rsid w:val="00660F2A"/>
    <w:rsid w:val="0066140F"/>
    <w:rsid w:val="00661B88"/>
    <w:rsid w:val="00661CCE"/>
    <w:rsid w:val="00661DAA"/>
    <w:rsid w:val="006629D8"/>
    <w:rsid w:val="00662DE4"/>
    <w:rsid w:val="00663425"/>
    <w:rsid w:val="0066394A"/>
    <w:rsid w:val="00663E9A"/>
    <w:rsid w:val="00663F66"/>
    <w:rsid w:val="006647B8"/>
    <w:rsid w:val="00664E6C"/>
    <w:rsid w:val="00664FF8"/>
    <w:rsid w:val="00665073"/>
    <w:rsid w:val="006652F3"/>
    <w:rsid w:val="00665665"/>
    <w:rsid w:val="0066765F"/>
    <w:rsid w:val="006677FA"/>
    <w:rsid w:val="006713C8"/>
    <w:rsid w:val="0067207B"/>
    <w:rsid w:val="0067268A"/>
    <w:rsid w:val="006726FB"/>
    <w:rsid w:val="006742EB"/>
    <w:rsid w:val="006749F3"/>
    <w:rsid w:val="00674AAE"/>
    <w:rsid w:val="0067534A"/>
    <w:rsid w:val="00675C88"/>
    <w:rsid w:val="00676C5C"/>
    <w:rsid w:val="0067750A"/>
    <w:rsid w:val="006800C7"/>
    <w:rsid w:val="006807B9"/>
    <w:rsid w:val="00681608"/>
    <w:rsid w:val="00682334"/>
    <w:rsid w:val="006828B2"/>
    <w:rsid w:val="00683376"/>
    <w:rsid w:val="00683ED2"/>
    <w:rsid w:val="00684A97"/>
    <w:rsid w:val="006859B6"/>
    <w:rsid w:val="00685A33"/>
    <w:rsid w:val="00685AC3"/>
    <w:rsid w:val="00685EE6"/>
    <w:rsid w:val="00686162"/>
    <w:rsid w:val="00687919"/>
    <w:rsid w:val="00687CE6"/>
    <w:rsid w:val="0069024A"/>
    <w:rsid w:val="00690BCA"/>
    <w:rsid w:val="00691DFB"/>
    <w:rsid w:val="006927E5"/>
    <w:rsid w:val="00692BFA"/>
    <w:rsid w:val="006936CB"/>
    <w:rsid w:val="006946D4"/>
    <w:rsid w:val="00694BB7"/>
    <w:rsid w:val="00695294"/>
    <w:rsid w:val="006962E5"/>
    <w:rsid w:val="00697B40"/>
    <w:rsid w:val="00697D10"/>
    <w:rsid w:val="006A00B2"/>
    <w:rsid w:val="006A0CF6"/>
    <w:rsid w:val="006A12C3"/>
    <w:rsid w:val="006A1758"/>
    <w:rsid w:val="006A2240"/>
    <w:rsid w:val="006A332D"/>
    <w:rsid w:val="006A34E8"/>
    <w:rsid w:val="006A3BD9"/>
    <w:rsid w:val="006A3C92"/>
    <w:rsid w:val="006A4289"/>
    <w:rsid w:val="006A43C8"/>
    <w:rsid w:val="006A4499"/>
    <w:rsid w:val="006A4D6F"/>
    <w:rsid w:val="006A5442"/>
    <w:rsid w:val="006A57AD"/>
    <w:rsid w:val="006A5868"/>
    <w:rsid w:val="006A59F6"/>
    <w:rsid w:val="006A676E"/>
    <w:rsid w:val="006A7563"/>
    <w:rsid w:val="006A7CAA"/>
    <w:rsid w:val="006B22C1"/>
    <w:rsid w:val="006B277F"/>
    <w:rsid w:val="006B28DB"/>
    <w:rsid w:val="006B2FB4"/>
    <w:rsid w:val="006B3258"/>
    <w:rsid w:val="006B49CA"/>
    <w:rsid w:val="006B4F9A"/>
    <w:rsid w:val="006B50C9"/>
    <w:rsid w:val="006B5E07"/>
    <w:rsid w:val="006B5F7D"/>
    <w:rsid w:val="006B61F4"/>
    <w:rsid w:val="006B7E27"/>
    <w:rsid w:val="006C1DA9"/>
    <w:rsid w:val="006C23A2"/>
    <w:rsid w:val="006C3B0C"/>
    <w:rsid w:val="006C4096"/>
    <w:rsid w:val="006C5D67"/>
    <w:rsid w:val="006C6703"/>
    <w:rsid w:val="006C783C"/>
    <w:rsid w:val="006D000E"/>
    <w:rsid w:val="006D1007"/>
    <w:rsid w:val="006D15C5"/>
    <w:rsid w:val="006D184B"/>
    <w:rsid w:val="006D1C0E"/>
    <w:rsid w:val="006D1EFA"/>
    <w:rsid w:val="006D3EE4"/>
    <w:rsid w:val="006D5490"/>
    <w:rsid w:val="006D6082"/>
    <w:rsid w:val="006D64B9"/>
    <w:rsid w:val="006D6C1C"/>
    <w:rsid w:val="006D76AC"/>
    <w:rsid w:val="006E038B"/>
    <w:rsid w:val="006E082F"/>
    <w:rsid w:val="006E1046"/>
    <w:rsid w:val="006E12AD"/>
    <w:rsid w:val="006E1BE4"/>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4DE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49E7"/>
    <w:rsid w:val="007056F4"/>
    <w:rsid w:val="007058C2"/>
    <w:rsid w:val="00706595"/>
    <w:rsid w:val="00706D8C"/>
    <w:rsid w:val="00707106"/>
    <w:rsid w:val="0071059D"/>
    <w:rsid w:val="0071166F"/>
    <w:rsid w:val="0071244D"/>
    <w:rsid w:val="007132F8"/>
    <w:rsid w:val="00713351"/>
    <w:rsid w:val="00713D75"/>
    <w:rsid w:val="00714457"/>
    <w:rsid w:val="00714DFE"/>
    <w:rsid w:val="007155E8"/>
    <w:rsid w:val="00715B50"/>
    <w:rsid w:val="00716656"/>
    <w:rsid w:val="00716828"/>
    <w:rsid w:val="00716F6D"/>
    <w:rsid w:val="0071769F"/>
    <w:rsid w:val="0071776F"/>
    <w:rsid w:val="00720756"/>
    <w:rsid w:val="0072157F"/>
    <w:rsid w:val="007220EA"/>
    <w:rsid w:val="00722D9C"/>
    <w:rsid w:val="00722E8F"/>
    <w:rsid w:val="00723451"/>
    <w:rsid w:val="00723494"/>
    <w:rsid w:val="00724DE3"/>
    <w:rsid w:val="0072513B"/>
    <w:rsid w:val="0072579B"/>
    <w:rsid w:val="0072589F"/>
    <w:rsid w:val="007262D3"/>
    <w:rsid w:val="00726490"/>
    <w:rsid w:val="00726845"/>
    <w:rsid w:val="00726ADD"/>
    <w:rsid w:val="00726CC8"/>
    <w:rsid w:val="00730EC1"/>
    <w:rsid w:val="00731718"/>
    <w:rsid w:val="007321C5"/>
    <w:rsid w:val="00733057"/>
    <w:rsid w:val="00733301"/>
    <w:rsid w:val="0073420E"/>
    <w:rsid w:val="00734486"/>
    <w:rsid w:val="0073479F"/>
    <w:rsid w:val="00734E20"/>
    <w:rsid w:val="00735E32"/>
    <w:rsid w:val="00736129"/>
    <w:rsid w:val="007369A9"/>
    <w:rsid w:val="00736FAB"/>
    <w:rsid w:val="00737511"/>
    <w:rsid w:val="007405E0"/>
    <w:rsid w:val="00740E24"/>
    <w:rsid w:val="0074103C"/>
    <w:rsid w:val="00741547"/>
    <w:rsid w:val="007420FD"/>
    <w:rsid w:val="007423A3"/>
    <w:rsid w:val="007425A7"/>
    <w:rsid w:val="00742A72"/>
    <w:rsid w:val="0074315C"/>
    <w:rsid w:val="007444FA"/>
    <w:rsid w:val="00744568"/>
    <w:rsid w:val="007445C7"/>
    <w:rsid w:val="0074480A"/>
    <w:rsid w:val="007453C1"/>
    <w:rsid w:val="00746628"/>
    <w:rsid w:val="007467C3"/>
    <w:rsid w:val="00746854"/>
    <w:rsid w:val="00746BF3"/>
    <w:rsid w:val="00746D29"/>
    <w:rsid w:val="00746D4A"/>
    <w:rsid w:val="007471B4"/>
    <w:rsid w:val="00750035"/>
    <w:rsid w:val="0075015A"/>
    <w:rsid w:val="00750527"/>
    <w:rsid w:val="00750A66"/>
    <w:rsid w:val="0075195A"/>
    <w:rsid w:val="0075279B"/>
    <w:rsid w:val="007538B0"/>
    <w:rsid w:val="007538E3"/>
    <w:rsid w:val="007543D0"/>
    <w:rsid w:val="00755718"/>
    <w:rsid w:val="00755B1D"/>
    <w:rsid w:val="00756E10"/>
    <w:rsid w:val="00756EDE"/>
    <w:rsid w:val="00756F4A"/>
    <w:rsid w:val="00757CF4"/>
    <w:rsid w:val="00760693"/>
    <w:rsid w:val="00761C0E"/>
    <w:rsid w:val="00762843"/>
    <w:rsid w:val="00762950"/>
    <w:rsid w:val="007633E9"/>
    <w:rsid w:val="007636E6"/>
    <w:rsid w:val="00764833"/>
    <w:rsid w:val="0076500C"/>
    <w:rsid w:val="0076610A"/>
    <w:rsid w:val="007665D2"/>
    <w:rsid w:val="007667D6"/>
    <w:rsid w:val="00767772"/>
    <w:rsid w:val="00767D4B"/>
    <w:rsid w:val="007703DC"/>
    <w:rsid w:val="00771BA0"/>
    <w:rsid w:val="00771E77"/>
    <w:rsid w:val="00772159"/>
    <w:rsid w:val="00772906"/>
    <w:rsid w:val="007735CC"/>
    <w:rsid w:val="00773A85"/>
    <w:rsid w:val="00773E11"/>
    <w:rsid w:val="007746AE"/>
    <w:rsid w:val="00775DB3"/>
    <w:rsid w:val="00775E60"/>
    <w:rsid w:val="00776E62"/>
    <w:rsid w:val="007772AE"/>
    <w:rsid w:val="00777544"/>
    <w:rsid w:val="00777B3F"/>
    <w:rsid w:val="0078009C"/>
    <w:rsid w:val="00780A68"/>
    <w:rsid w:val="00781A56"/>
    <w:rsid w:val="007828F0"/>
    <w:rsid w:val="007836C3"/>
    <w:rsid w:val="00783741"/>
    <w:rsid w:val="0078456C"/>
    <w:rsid w:val="00784598"/>
    <w:rsid w:val="00785274"/>
    <w:rsid w:val="007862C5"/>
    <w:rsid w:val="00786717"/>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97D9C"/>
    <w:rsid w:val="007A07A9"/>
    <w:rsid w:val="007A0A9C"/>
    <w:rsid w:val="007A13FB"/>
    <w:rsid w:val="007A15BC"/>
    <w:rsid w:val="007A1B58"/>
    <w:rsid w:val="007A23F7"/>
    <w:rsid w:val="007A2C50"/>
    <w:rsid w:val="007A318D"/>
    <w:rsid w:val="007A4C93"/>
    <w:rsid w:val="007A5949"/>
    <w:rsid w:val="007A647F"/>
    <w:rsid w:val="007A6D73"/>
    <w:rsid w:val="007A7565"/>
    <w:rsid w:val="007B16F7"/>
    <w:rsid w:val="007B18BE"/>
    <w:rsid w:val="007B1CA7"/>
    <w:rsid w:val="007B1F87"/>
    <w:rsid w:val="007B3D92"/>
    <w:rsid w:val="007B436A"/>
    <w:rsid w:val="007B5CA5"/>
    <w:rsid w:val="007B65DE"/>
    <w:rsid w:val="007B6715"/>
    <w:rsid w:val="007B72E9"/>
    <w:rsid w:val="007B781C"/>
    <w:rsid w:val="007C02DC"/>
    <w:rsid w:val="007C034D"/>
    <w:rsid w:val="007C097B"/>
    <w:rsid w:val="007C0AD2"/>
    <w:rsid w:val="007C16F2"/>
    <w:rsid w:val="007C1B50"/>
    <w:rsid w:val="007C292F"/>
    <w:rsid w:val="007C306E"/>
    <w:rsid w:val="007C39C3"/>
    <w:rsid w:val="007C4C76"/>
    <w:rsid w:val="007C5AAA"/>
    <w:rsid w:val="007D08AE"/>
    <w:rsid w:val="007D0CDA"/>
    <w:rsid w:val="007D2CA0"/>
    <w:rsid w:val="007D2E71"/>
    <w:rsid w:val="007D383B"/>
    <w:rsid w:val="007D3A43"/>
    <w:rsid w:val="007D4AB7"/>
    <w:rsid w:val="007D55C3"/>
    <w:rsid w:val="007D664C"/>
    <w:rsid w:val="007D69ED"/>
    <w:rsid w:val="007D72A1"/>
    <w:rsid w:val="007D7702"/>
    <w:rsid w:val="007D7784"/>
    <w:rsid w:val="007D7CF9"/>
    <w:rsid w:val="007E0A0D"/>
    <w:rsid w:val="007E0A14"/>
    <w:rsid w:val="007E133A"/>
    <w:rsid w:val="007E2319"/>
    <w:rsid w:val="007E2D86"/>
    <w:rsid w:val="007E32F5"/>
    <w:rsid w:val="007E3339"/>
    <w:rsid w:val="007E3E4C"/>
    <w:rsid w:val="007E44AF"/>
    <w:rsid w:val="007E4625"/>
    <w:rsid w:val="007E4D56"/>
    <w:rsid w:val="007E50EC"/>
    <w:rsid w:val="007E5A66"/>
    <w:rsid w:val="007E5E0B"/>
    <w:rsid w:val="007E6183"/>
    <w:rsid w:val="007E6B49"/>
    <w:rsid w:val="007E6E8F"/>
    <w:rsid w:val="007E6F21"/>
    <w:rsid w:val="007E6FAF"/>
    <w:rsid w:val="007E7161"/>
    <w:rsid w:val="007E7F52"/>
    <w:rsid w:val="007F02D1"/>
    <w:rsid w:val="007F0410"/>
    <w:rsid w:val="007F0F44"/>
    <w:rsid w:val="007F0FF2"/>
    <w:rsid w:val="007F1224"/>
    <w:rsid w:val="007F14CE"/>
    <w:rsid w:val="007F1AA1"/>
    <w:rsid w:val="007F24B8"/>
    <w:rsid w:val="007F2930"/>
    <w:rsid w:val="007F3378"/>
    <w:rsid w:val="007F4E13"/>
    <w:rsid w:val="007F5302"/>
    <w:rsid w:val="007F57EB"/>
    <w:rsid w:val="007F58BB"/>
    <w:rsid w:val="007F5C46"/>
    <w:rsid w:val="007F608E"/>
    <w:rsid w:val="007F6C2D"/>
    <w:rsid w:val="00802962"/>
    <w:rsid w:val="00802AD1"/>
    <w:rsid w:val="00802B26"/>
    <w:rsid w:val="00804A67"/>
    <w:rsid w:val="00804E6F"/>
    <w:rsid w:val="00805511"/>
    <w:rsid w:val="0080554D"/>
    <w:rsid w:val="0080588C"/>
    <w:rsid w:val="00805AA7"/>
    <w:rsid w:val="00805E6B"/>
    <w:rsid w:val="00806431"/>
    <w:rsid w:val="008074E4"/>
    <w:rsid w:val="00807CD2"/>
    <w:rsid w:val="00810A77"/>
    <w:rsid w:val="00811142"/>
    <w:rsid w:val="008118BE"/>
    <w:rsid w:val="008119DB"/>
    <w:rsid w:val="0081255B"/>
    <w:rsid w:val="00812CC4"/>
    <w:rsid w:val="00813106"/>
    <w:rsid w:val="008136C7"/>
    <w:rsid w:val="0081392F"/>
    <w:rsid w:val="00815200"/>
    <w:rsid w:val="008152A3"/>
    <w:rsid w:val="008154B9"/>
    <w:rsid w:val="008174F7"/>
    <w:rsid w:val="008206B2"/>
    <w:rsid w:val="008206BE"/>
    <w:rsid w:val="00820DAC"/>
    <w:rsid w:val="00821D69"/>
    <w:rsid w:val="008228E2"/>
    <w:rsid w:val="0082305C"/>
    <w:rsid w:val="0082565B"/>
    <w:rsid w:val="00825D21"/>
    <w:rsid w:val="00825F5D"/>
    <w:rsid w:val="008260F2"/>
    <w:rsid w:val="00826206"/>
    <w:rsid w:val="00826553"/>
    <w:rsid w:val="00831253"/>
    <w:rsid w:val="008329B8"/>
    <w:rsid w:val="00834ECE"/>
    <w:rsid w:val="00835840"/>
    <w:rsid w:val="00836C86"/>
    <w:rsid w:val="00837B28"/>
    <w:rsid w:val="00840984"/>
    <w:rsid w:val="00842E43"/>
    <w:rsid w:val="008430CE"/>
    <w:rsid w:val="00843FCF"/>
    <w:rsid w:val="00845A13"/>
    <w:rsid w:val="008460DF"/>
    <w:rsid w:val="008467C8"/>
    <w:rsid w:val="008503E0"/>
    <w:rsid w:val="00850EBB"/>
    <w:rsid w:val="00850F59"/>
    <w:rsid w:val="008518DC"/>
    <w:rsid w:val="00851BFF"/>
    <w:rsid w:val="008527DB"/>
    <w:rsid w:val="00852A4F"/>
    <w:rsid w:val="00853F43"/>
    <w:rsid w:val="008558CA"/>
    <w:rsid w:val="00855A8F"/>
    <w:rsid w:val="008561F3"/>
    <w:rsid w:val="008570AF"/>
    <w:rsid w:val="00860760"/>
    <w:rsid w:val="0086085C"/>
    <w:rsid w:val="0086087E"/>
    <w:rsid w:val="00860A5E"/>
    <w:rsid w:val="00861E1F"/>
    <w:rsid w:val="00862050"/>
    <w:rsid w:val="00862D21"/>
    <w:rsid w:val="00862E91"/>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411"/>
    <w:rsid w:val="0087768C"/>
    <w:rsid w:val="00877BCB"/>
    <w:rsid w:val="00880330"/>
    <w:rsid w:val="0088069E"/>
    <w:rsid w:val="0088146B"/>
    <w:rsid w:val="00881707"/>
    <w:rsid w:val="00881BC4"/>
    <w:rsid w:val="00881BD4"/>
    <w:rsid w:val="00881E2F"/>
    <w:rsid w:val="00883020"/>
    <w:rsid w:val="00883348"/>
    <w:rsid w:val="00885024"/>
    <w:rsid w:val="00885DDF"/>
    <w:rsid w:val="00887E92"/>
    <w:rsid w:val="008902C3"/>
    <w:rsid w:val="008906EA"/>
    <w:rsid w:val="00890CDD"/>
    <w:rsid w:val="00890F5F"/>
    <w:rsid w:val="00891E71"/>
    <w:rsid w:val="008923EC"/>
    <w:rsid w:val="00892667"/>
    <w:rsid w:val="00893AB6"/>
    <w:rsid w:val="00894877"/>
    <w:rsid w:val="00895192"/>
    <w:rsid w:val="00895C1A"/>
    <w:rsid w:val="008A0003"/>
    <w:rsid w:val="008A2BD6"/>
    <w:rsid w:val="008A3E10"/>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374D"/>
    <w:rsid w:val="008B3B4D"/>
    <w:rsid w:val="008B4591"/>
    <w:rsid w:val="008B4981"/>
    <w:rsid w:val="008B4A73"/>
    <w:rsid w:val="008B4FFF"/>
    <w:rsid w:val="008B5077"/>
    <w:rsid w:val="008B5538"/>
    <w:rsid w:val="008B627E"/>
    <w:rsid w:val="008B7A6C"/>
    <w:rsid w:val="008C010D"/>
    <w:rsid w:val="008C0134"/>
    <w:rsid w:val="008C07EE"/>
    <w:rsid w:val="008C08F2"/>
    <w:rsid w:val="008C1488"/>
    <w:rsid w:val="008C15A2"/>
    <w:rsid w:val="008C2AD4"/>
    <w:rsid w:val="008C2D0C"/>
    <w:rsid w:val="008C3A47"/>
    <w:rsid w:val="008C3B2E"/>
    <w:rsid w:val="008C4610"/>
    <w:rsid w:val="008C47EC"/>
    <w:rsid w:val="008C4DBF"/>
    <w:rsid w:val="008C58F2"/>
    <w:rsid w:val="008C6B73"/>
    <w:rsid w:val="008C6EF2"/>
    <w:rsid w:val="008C7917"/>
    <w:rsid w:val="008C7CC8"/>
    <w:rsid w:val="008C7F19"/>
    <w:rsid w:val="008D0C3A"/>
    <w:rsid w:val="008D19E1"/>
    <w:rsid w:val="008D3103"/>
    <w:rsid w:val="008D3540"/>
    <w:rsid w:val="008D3A67"/>
    <w:rsid w:val="008D3C70"/>
    <w:rsid w:val="008D4374"/>
    <w:rsid w:val="008D4B09"/>
    <w:rsid w:val="008D4E83"/>
    <w:rsid w:val="008D5055"/>
    <w:rsid w:val="008D635E"/>
    <w:rsid w:val="008D6457"/>
    <w:rsid w:val="008D72F3"/>
    <w:rsid w:val="008E0063"/>
    <w:rsid w:val="008E09FF"/>
    <w:rsid w:val="008E1F30"/>
    <w:rsid w:val="008E211B"/>
    <w:rsid w:val="008E2E83"/>
    <w:rsid w:val="008E348B"/>
    <w:rsid w:val="008E5577"/>
    <w:rsid w:val="008E6578"/>
    <w:rsid w:val="008E65A6"/>
    <w:rsid w:val="008E65EC"/>
    <w:rsid w:val="008E74DD"/>
    <w:rsid w:val="008E76F5"/>
    <w:rsid w:val="008F088E"/>
    <w:rsid w:val="008F0FA6"/>
    <w:rsid w:val="008F1271"/>
    <w:rsid w:val="008F144E"/>
    <w:rsid w:val="008F16A0"/>
    <w:rsid w:val="008F1A29"/>
    <w:rsid w:val="008F1D6E"/>
    <w:rsid w:val="008F26C1"/>
    <w:rsid w:val="008F2FBD"/>
    <w:rsid w:val="008F56B2"/>
    <w:rsid w:val="008F58D7"/>
    <w:rsid w:val="008F59B6"/>
    <w:rsid w:val="008F6127"/>
    <w:rsid w:val="008F6419"/>
    <w:rsid w:val="008F7818"/>
    <w:rsid w:val="008F78D7"/>
    <w:rsid w:val="008F7956"/>
    <w:rsid w:val="009001CB"/>
    <w:rsid w:val="009005DC"/>
    <w:rsid w:val="00900EA3"/>
    <w:rsid w:val="00900F58"/>
    <w:rsid w:val="00900FDC"/>
    <w:rsid w:val="00901048"/>
    <w:rsid w:val="00901F3F"/>
    <w:rsid w:val="0090286A"/>
    <w:rsid w:val="009029CB"/>
    <w:rsid w:val="00903FF0"/>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45"/>
    <w:rsid w:val="00914FB8"/>
    <w:rsid w:val="00915D5E"/>
    <w:rsid w:val="00915ED9"/>
    <w:rsid w:val="00916BA0"/>
    <w:rsid w:val="00917133"/>
    <w:rsid w:val="00921889"/>
    <w:rsid w:val="00921908"/>
    <w:rsid w:val="009226E4"/>
    <w:rsid w:val="0092306B"/>
    <w:rsid w:val="00923FA1"/>
    <w:rsid w:val="009249AC"/>
    <w:rsid w:val="00924FAF"/>
    <w:rsid w:val="00925234"/>
    <w:rsid w:val="009259FE"/>
    <w:rsid w:val="00926068"/>
    <w:rsid w:val="00926426"/>
    <w:rsid w:val="0092680D"/>
    <w:rsid w:val="00926BC9"/>
    <w:rsid w:val="009270AB"/>
    <w:rsid w:val="00927744"/>
    <w:rsid w:val="00930BE1"/>
    <w:rsid w:val="00930CE7"/>
    <w:rsid w:val="00931054"/>
    <w:rsid w:val="0093115E"/>
    <w:rsid w:val="009315C8"/>
    <w:rsid w:val="0093173A"/>
    <w:rsid w:val="00931942"/>
    <w:rsid w:val="00931961"/>
    <w:rsid w:val="00931AFE"/>
    <w:rsid w:val="00931CA3"/>
    <w:rsid w:val="00931F59"/>
    <w:rsid w:val="00932115"/>
    <w:rsid w:val="0093366D"/>
    <w:rsid w:val="009339FD"/>
    <w:rsid w:val="00934965"/>
    <w:rsid w:val="00934F17"/>
    <w:rsid w:val="00935A1D"/>
    <w:rsid w:val="009368B8"/>
    <w:rsid w:val="00936D59"/>
    <w:rsid w:val="00937AC6"/>
    <w:rsid w:val="00937EFB"/>
    <w:rsid w:val="00940229"/>
    <w:rsid w:val="00940365"/>
    <w:rsid w:val="00941DD2"/>
    <w:rsid w:val="00943313"/>
    <w:rsid w:val="009446B9"/>
    <w:rsid w:val="009447CC"/>
    <w:rsid w:val="0094481F"/>
    <w:rsid w:val="00945BAD"/>
    <w:rsid w:val="00945E73"/>
    <w:rsid w:val="00946180"/>
    <w:rsid w:val="0094624B"/>
    <w:rsid w:val="00946391"/>
    <w:rsid w:val="0094663D"/>
    <w:rsid w:val="00947247"/>
    <w:rsid w:val="0094753B"/>
    <w:rsid w:val="009501B0"/>
    <w:rsid w:val="00950861"/>
    <w:rsid w:val="00950F84"/>
    <w:rsid w:val="009513E4"/>
    <w:rsid w:val="009519D0"/>
    <w:rsid w:val="00951B9C"/>
    <w:rsid w:val="00951FBB"/>
    <w:rsid w:val="00953011"/>
    <w:rsid w:val="0095442F"/>
    <w:rsid w:val="00954E40"/>
    <w:rsid w:val="00955652"/>
    <w:rsid w:val="0095674C"/>
    <w:rsid w:val="0095691A"/>
    <w:rsid w:val="00956ECC"/>
    <w:rsid w:val="009605E2"/>
    <w:rsid w:val="00960C3C"/>
    <w:rsid w:val="009617D3"/>
    <w:rsid w:val="0096190F"/>
    <w:rsid w:val="009621E6"/>
    <w:rsid w:val="009630F5"/>
    <w:rsid w:val="0096357F"/>
    <w:rsid w:val="00963935"/>
    <w:rsid w:val="0096456A"/>
    <w:rsid w:val="00965346"/>
    <w:rsid w:val="0096596A"/>
    <w:rsid w:val="00965D20"/>
    <w:rsid w:val="009671DF"/>
    <w:rsid w:val="009673C6"/>
    <w:rsid w:val="00967DAF"/>
    <w:rsid w:val="00970020"/>
    <w:rsid w:val="009717FA"/>
    <w:rsid w:val="00972D8E"/>
    <w:rsid w:val="0097496D"/>
    <w:rsid w:val="00974C52"/>
    <w:rsid w:val="0097509C"/>
    <w:rsid w:val="00975353"/>
    <w:rsid w:val="00975D1D"/>
    <w:rsid w:val="00976103"/>
    <w:rsid w:val="00976140"/>
    <w:rsid w:val="00976BDC"/>
    <w:rsid w:val="00980148"/>
    <w:rsid w:val="009815BB"/>
    <w:rsid w:val="00982786"/>
    <w:rsid w:val="009828F2"/>
    <w:rsid w:val="00983DB9"/>
    <w:rsid w:val="00983EE6"/>
    <w:rsid w:val="009840E8"/>
    <w:rsid w:val="00984AE5"/>
    <w:rsid w:val="009856BE"/>
    <w:rsid w:val="0098775C"/>
    <w:rsid w:val="00990142"/>
    <w:rsid w:val="00990217"/>
    <w:rsid w:val="00990341"/>
    <w:rsid w:val="0099095C"/>
    <w:rsid w:val="00990B85"/>
    <w:rsid w:val="00990BC2"/>
    <w:rsid w:val="00990E4C"/>
    <w:rsid w:val="009917A8"/>
    <w:rsid w:val="00991DCA"/>
    <w:rsid w:val="00992F7D"/>
    <w:rsid w:val="00993BB8"/>
    <w:rsid w:val="00994AE6"/>
    <w:rsid w:val="00994F51"/>
    <w:rsid w:val="0099576B"/>
    <w:rsid w:val="00997C0C"/>
    <w:rsid w:val="009A0153"/>
    <w:rsid w:val="009A0916"/>
    <w:rsid w:val="009A0CC5"/>
    <w:rsid w:val="009A0D21"/>
    <w:rsid w:val="009A14DF"/>
    <w:rsid w:val="009A30F6"/>
    <w:rsid w:val="009A4B83"/>
    <w:rsid w:val="009A5500"/>
    <w:rsid w:val="009A5E0F"/>
    <w:rsid w:val="009A6681"/>
    <w:rsid w:val="009A6A58"/>
    <w:rsid w:val="009A761D"/>
    <w:rsid w:val="009A7B7F"/>
    <w:rsid w:val="009B0788"/>
    <w:rsid w:val="009B2199"/>
    <w:rsid w:val="009B258E"/>
    <w:rsid w:val="009B2593"/>
    <w:rsid w:val="009B47AB"/>
    <w:rsid w:val="009B4BCA"/>
    <w:rsid w:val="009B5045"/>
    <w:rsid w:val="009B510C"/>
    <w:rsid w:val="009B5B96"/>
    <w:rsid w:val="009B64D1"/>
    <w:rsid w:val="009B6686"/>
    <w:rsid w:val="009B6CDF"/>
    <w:rsid w:val="009B7052"/>
    <w:rsid w:val="009B79BA"/>
    <w:rsid w:val="009B7A33"/>
    <w:rsid w:val="009C0A42"/>
    <w:rsid w:val="009C1845"/>
    <w:rsid w:val="009C27C0"/>
    <w:rsid w:val="009C35D0"/>
    <w:rsid w:val="009C5B40"/>
    <w:rsid w:val="009C5FB5"/>
    <w:rsid w:val="009C610B"/>
    <w:rsid w:val="009C610D"/>
    <w:rsid w:val="009C7B4A"/>
    <w:rsid w:val="009D039C"/>
    <w:rsid w:val="009D0EDE"/>
    <w:rsid w:val="009D198E"/>
    <w:rsid w:val="009D201B"/>
    <w:rsid w:val="009D4B21"/>
    <w:rsid w:val="009D67DB"/>
    <w:rsid w:val="009E23F8"/>
    <w:rsid w:val="009E2671"/>
    <w:rsid w:val="009E2A7E"/>
    <w:rsid w:val="009E4416"/>
    <w:rsid w:val="009E46BF"/>
    <w:rsid w:val="009E4BB9"/>
    <w:rsid w:val="009E4BC2"/>
    <w:rsid w:val="009E5C1A"/>
    <w:rsid w:val="009E5DBD"/>
    <w:rsid w:val="009E65F7"/>
    <w:rsid w:val="009E6B12"/>
    <w:rsid w:val="009E7103"/>
    <w:rsid w:val="009E72EC"/>
    <w:rsid w:val="009F07ED"/>
    <w:rsid w:val="009F0C63"/>
    <w:rsid w:val="009F138E"/>
    <w:rsid w:val="009F1D7F"/>
    <w:rsid w:val="009F2CF9"/>
    <w:rsid w:val="009F3544"/>
    <w:rsid w:val="009F370B"/>
    <w:rsid w:val="009F4532"/>
    <w:rsid w:val="009F49AA"/>
    <w:rsid w:val="009F6FA1"/>
    <w:rsid w:val="009F74A8"/>
    <w:rsid w:val="009F7865"/>
    <w:rsid w:val="00A006CB"/>
    <w:rsid w:val="00A013CB"/>
    <w:rsid w:val="00A01651"/>
    <w:rsid w:val="00A0175C"/>
    <w:rsid w:val="00A01765"/>
    <w:rsid w:val="00A04CDD"/>
    <w:rsid w:val="00A04FB5"/>
    <w:rsid w:val="00A05B4D"/>
    <w:rsid w:val="00A05D85"/>
    <w:rsid w:val="00A0661C"/>
    <w:rsid w:val="00A06AAE"/>
    <w:rsid w:val="00A06DA2"/>
    <w:rsid w:val="00A10A2A"/>
    <w:rsid w:val="00A11559"/>
    <w:rsid w:val="00A1206D"/>
    <w:rsid w:val="00A127F3"/>
    <w:rsid w:val="00A12AEB"/>
    <w:rsid w:val="00A13EF1"/>
    <w:rsid w:val="00A14B1D"/>
    <w:rsid w:val="00A14EFF"/>
    <w:rsid w:val="00A160A4"/>
    <w:rsid w:val="00A162A7"/>
    <w:rsid w:val="00A17296"/>
    <w:rsid w:val="00A1753C"/>
    <w:rsid w:val="00A17D75"/>
    <w:rsid w:val="00A17EC8"/>
    <w:rsid w:val="00A17F05"/>
    <w:rsid w:val="00A2034E"/>
    <w:rsid w:val="00A209F9"/>
    <w:rsid w:val="00A223AA"/>
    <w:rsid w:val="00A22CB2"/>
    <w:rsid w:val="00A2303C"/>
    <w:rsid w:val="00A24809"/>
    <w:rsid w:val="00A24A94"/>
    <w:rsid w:val="00A24CD1"/>
    <w:rsid w:val="00A25539"/>
    <w:rsid w:val="00A25AA6"/>
    <w:rsid w:val="00A26586"/>
    <w:rsid w:val="00A272B7"/>
    <w:rsid w:val="00A273A1"/>
    <w:rsid w:val="00A30275"/>
    <w:rsid w:val="00A30405"/>
    <w:rsid w:val="00A30DB1"/>
    <w:rsid w:val="00A30F99"/>
    <w:rsid w:val="00A31583"/>
    <w:rsid w:val="00A32D68"/>
    <w:rsid w:val="00A3303F"/>
    <w:rsid w:val="00A336EE"/>
    <w:rsid w:val="00A340F1"/>
    <w:rsid w:val="00A3460C"/>
    <w:rsid w:val="00A34690"/>
    <w:rsid w:val="00A34AEB"/>
    <w:rsid w:val="00A36A1C"/>
    <w:rsid w:val="00A3731B"/>
    <w:rsid w:val="00A4048C"/>
    <w:rsid w:val="00A41670"/>
    <w:rsid w:val="00A4170F"/>
    <w:rsid w:val="00A41B12"/>
    <w:rsid w:val="00A427BF"/>
    <w:rsid w:val="00A43682"/>
    <w:rsid w:val="00A43D43"/>
    <w:rsid w:val="00A449DA"/>
    <w:rsid w:val="00A44E9D"/>
    <w:rsid w:val="00A45F60"/>
    <w:rsid w:val="00A460A6"/>
    <w:rsid w:val="00A4631F"/>
    <w:rsid w:val="00A466D6"/>
    <w:rsid w:val="00A46ACF"/>
    <w:rsid w:val="00A476CF"/>
    <w:rsid w:val="00A47D45"/>
    <w:rsid w:val="00A508D2"/>
    <w:rsid w:val="00A50C44"/>
    <w:rsid w:val="00A517A2"/>
    <w:rsid w:val="00A51B58"/>
    <w:rsid w:val="00A51D1B"/>
    <w:rsid w:val="00A51EAB"/>
    <w:rsid w:val="00A52180"/>
    <w:rsid w:val="00A52214"/>
    <w:rsid w:val="00A52537"/>
    <w:rsid w:val="00A52624"/>
    <w:rsid w:val="00A534E2"/>
    <w:rsid w:val="00A538A2"/>
    <w:rsid w:val="00A54570"/>
    <w:rsid w:val="00A5484B"/>
    <w:rsid w:val="00A550AE"/>
    <w:rsid w:val="00A55CEE"/>
    <w:rsid w:val="00A56A02"/>
    <w:rsid w:val="00A56F8E"/>
    <w:rsid w:val="00A579BF"/>
    <w:rsid w:val="00A57C0A"/>
    <w:rsid w:val="00A601AC"/>
    <w:rsid w:val="00A609E1"/>
    <w:rsid w:val="00A60B6E"/>
    <w:rsid w:val="00A610F9"/>
    <w:rsid w:val="00A62935"/>
    <w:rsid w:val="00A62CA6"/>
    <w:rsid w:val="00A64E90"/>
    <w:rsid w:val="00A652BA"/>
    <w:rsid w:val="00A6537C"/>
    <w:rsid w:val="00A661AA"/>
    <w:rsid w:val="00A66D7D"/>
    <w:rsid w:val="00A67950"/>
    <w:rsid w:val="00A7045E"/>
    <w:rsid w:val="00A70C15"/>
    <w:rsid w:val="00A70F3E"/>
    <w:rsid w:val="00A70F97"/>
    <w:rsid w:val="00A71277"/>
    <w:rsid w:val="00A717B1"/>
    <w:rsid w:val="00A71B0C"/>
    <w:rsid w:val="00A71CE4"/>
    <w:rsid w:val="00A7243B"/>
    <w:rsid w:val="00A746E9"/>
    <w:rsid w:val="00A74DD4"/>
    <w:rsid w:val="00A7556C"/>
    <w:rsid w:val="00A75A6F"/>
    <w:rsid w:val="00A763C7"/>
    <w:rsid w:val="00A76B50"/>
    <w:rsid w:val="00A76FF6"/>
    <w:rsid w:val="00A774AE"/>
    <w:rsid w:val="00A80D9C"/>
    <w:rsid w:val="00A80EC0"/>
    <w:rsid w:val="00A817C0"/>
    <w:rsid w:val="00A81C85"/>
    <w:rsid w:val="00A8204F"/>
    <w:rsid w:val="00A821E4"/>
    <w:rsid w:val="00A82596"/>
    <w:rsid w:val="00A829A3"/>
    <w:rsid w:val="00A82F4B"/>
    <w:rsid w:val="00A82FAE"/>
    <w:rsid w:val="00A8356A"/>
    <w:rsid w:val="00A83777"/>
    <w:rsid w:val="00A83AEC"/>
    <w:rsid w:val="00A83FEC"/>
    <w:rsid w:val="00A84569"/>
    <w:rsid w:val="00A84DBE"/>
    <w:rsid w:val="00A85582"/>
    <w:rsid w:val="00A85771"/>
    <w:rsid w:val="00A8649B"/>
    <w:rsid w:val="00A86B4A"/>
    <w:rsid w:val="00A86D6F"/>
    <w:rsid w:val="00A86DD8"/>
    <w:rsid w:val="00A87F6E"/>
    <w:rsid w:val="00A9119C"/>
    <w:rsid w:val="00A922FB"/>
    <w:rsid w:val="00A93A7C"/>
    <w:rsid w:val="00A94225"/>
    <w:rsid w:val="00A95005"/>
    <w:rsid w:val="00A96BF7"/>
    <w:rsid w:val="00A97917"/>
    <w:rsid w:val="00A979D1"/>
    <w:rsid w:val="00AA03BA"/>
    <w:rsid w:val="00AA03E8"/>
    <w:rsid w:val="00AA06D5"/>
    <w:rsid w:val="00AA1821"/>
    <w:rsid w:val="00AA199F"/>
    <w:rsid w:val="00AA2082"/>
    <w:rsid w:val="00AA303F"/>
    <w:rsid w:val="00AA3795"/>
    <w:rsid w:val="00AA3C06"/>
    <w:rsid w:val="00AA4672"/>
    <w:rsid w:val="00AA47AD"/>
    <w:rsid w:val="00AA4BB4"/>
    <w:rsid w:val="00AA5420"/>
    <w:rsid w:val="00AA5591"/>
    <w:rsid w:val="00AA6363"/>
    <w:rsid w:val="00AA6960"/>
    <w:rsid w:val="00AA6F4C"/>
    <w:rsid w:val="00AA720B"/>
    <w:rsid w:val="00AA7885"/>
    <w:rsid w:val="00AA7A53"/>
    <w:rsid w:val="00AA7C05"/>
    <w:rsid w:val="00AA7CFB"/>
    <w:rsid w:val="00AA7F1B"/>
    <w:rsid w:val="00AB0752"/>
    <w:rsid w:val="00AB08D1"/>
    <w:rsid w:val="00AB0ACA"/>
    <w:rsid w:val="00AB137F"/>
    <w:rsid w:val="00AB1766"/>
    <w:rsid w:val="00AB18E6"/>
    <w:rsid w:val="00AB20D0"/>
    <w:rsid w:val="00AB2E02"/>
    <w:rsid w:val="00AB33D1"/>
    <w:rsid w:val="00AB3854"/>
    <w:rsid w:val="00AB3865"/>
    <w:rsid w:val="00AB3D89"/>
    <w:rsid w:val="00AB447C"/>
    <w:rsid w:val="00AB524A"/>
    <w:rsid w:val="00AB5B38"/>
    <w:rsid w:val="00AB5D6E"/>
    <w:rsid w:val="00AB6336"/>
    <w:rsid w:val="00AB7333"/>
    <w:rsid w:val="00AB7730"/>
    <w:rsid w:val="00AB7B6A"/>
    <w:rsid w:val="00AC062B"/>
    <w:rsid w:val="00AC0CB7"/>
    <w:rsid w:val="00AC104C"/>
    <w:rsid w:val="00AC1A6A"/>
    <w:rsid w:val="00AC300E"/>
    <w:rsid w:val="00AC5072"/>
    <w:rsid w:val="00AC5FBB"/>
    <w:rsid w:val="00AD1A36"/>
    <w:rsid w:val="00AD336E"/>
    <w:rsid w:val="00AD4445"/>
    <w:rsid w:val="00AD4597"/>
    <w:rsid w:val="00AD663A"/>
    <w:rsid w:val="00AD6B0C"/>
    <w:rsid w:val="00AD71AC"/>
    <w:rsid w:val="00AE079E"/>
    <w:rsid w:val="00AE0BC7"/>
    <w:rsid w:val="00AE1436"/>
    <w:rsid w:val="00AE2B08"/>
    <w:rsid w:val="00AE394D"/>
    <w:rsid w:val="00AE413D"/>
    <w:rsid w:val="00AE4202"/>
    <w:rsid w:val="00AE42C5"/>
    <w:rsid w:val="00AE561E"/>
    <w:rsid w:val="00AE5D86"/>
    <w:rsid w:val="00AE5ECB"/>
    <w:rsid w:val="00AE5EDB"/>
    <w:rsid w:val="00AE62E3"/>
    <w:rsid w:val="00AE65D6"/>
    <w:rsid w:val="00AE6BCA"/>
    <w:rsid w:val="00AE7331"/>
    <w:rsid w:val="00AE76DC"/>
    <w:rsid w:val="00AE79A8"/>
    <w:rsid w:val="00AF0B21"/>
    <w:rsid w:val="00AF1933"/>
    <w:rsid w:val="00AF195D"/>
    <w:rsid w:val="00AF1E4C"/>
    <w:rsid w:val="00AF1EE1"/>
    <w:rsid w:val="00AF25DC"/>
    <w:rsid w:val="00AF283F"/>
    <w:rsid w:val="00AF3795"/>
    <w:rsid w:val="00AF399D"/>
    <w:rsid w:val="00AF3EEF"/>
    <w:rsid w:val="00AF4111"/>
    <w:rsid w:val="00AF4673"/>
    <w:rsid w:val="00AF4A8A"/>
    <w:rsid w:val="00AF4FFC"/>
    <w:rsid w:val="00AF59B8"/>
    <w:rsid w:val="00AF5B8D"/>
    <w:rsid w:val="00AF5CCD"/>
    <w:rsid w:val="00AF5DE6"/>
    <w:rsid w:val="00AF5E23"/>
    <w:rsid w:val="00AF671B"/>
    <w:rsid w:val="00AF6A14"/>
    <w:rsid w:val="00AF6FA5"/>
    <w:rsid w:val="00B00335"/>
    <w:rsid w:val="00B0048A"/>
    <w:rsid w:val="00B00A13"/>
    <w:rsid w:val="00B00D59"/>
    <w:rsid w:val="00B0328D"/>
    <w:rsid w:val="00B03EEA"/>
    <w:rsid w:val="00B0436A"/>
    <w:rsid w:val="00B049B4"/>
    <w:rsid w:val="00B06B08"/>
    <w:rsid w:val="00B07724"/>
    <w:rsid w:val="00B07F78"/>
    <w:rsid w:val="00B10083"/>
    <w:rsid w:val="00B10680"/>
    <w:rsid w:val="00B10F0E"/>
    <w:rsid w:val="00B11BD3"/>
    <w:rsid w:val="00B1224E"/>
    <w:rsid w:val="00B12CC0"/>
    <w:rsid w:val="00B142BA"/>
    <w:rsid w:val="00B1534C"/>
    <w:rsid w:val="00B1559E"/>
    <w:rsid w:val="00B15B9F"/>
    <w:rsid w:val="00B15D93"/>
    <w:rsid w:val="00B15E29"/>
    <w:rsid w:val="00B1645A"/>
    <w:rsid w:val="00B16CD6"/>
    <w:rsid w:val="00B202FC"/>
    <w:rsid w:val="00B2042D"/>
    <w:rsid w:val="00B20C50"/>
    <w:rsid w:val="00B21E59"/>
    <w:rsid w:val="00B22328"/>
    <w:rsid w:val="00B228CA"/>
    <w:rsid w:val="00B242F1"/>
    <w:rsid w:val="00B24674"/>
    <w:rsid w:val="00B2709E"/>
    <w:rsid w:val="00B27B60"/>
    <w:rsid w:val="00B27CB2"/>
    <w:rsid w:val="00B302B9"/>
    <w:rsid w:val="00B30E96"/>
    <w:rsid w:val="00B3173D"/>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4F22"/>
    <w:rsid w:val="00B45263"/>
    <w:rsid w:val="00B45773"/>
    <w:rsid w:val="00B4613A"/>
    <w:rsid w:val="00B4692F"/>
    <w:rsid w:val="00B46B6C"/>
    <w:rsid w:val="00B47FC3"/>
    <w:rsid w:val="00B501C3"/>
    <w:rsid w:val="00B505CA"/>
    <w:rsid w:val="00B5081E"/>
    <w:rsid w:val="00B50979"/>
    <w:rsid w:val="00B50DF9"/>
    <w:rsid w:val="00B512DE"/>
    <w:rsid w:val="00B51348"/>
    <w:rsid w:val="00B519F4"/>
    <w:rsid w:val="00B522D5"/>
    <w:rsid w:val="00B52595"/>
    <w:rsid w:val="00B52E25"/>
    <w:rsid w:val="00B53431"/>
    <w:rsid w:val="00B54B48"/>
    <w:rsid w:val="00B54EAE"/>
    <w:rsid w:val="00B54F72"/>
    <w:rsid w:val="00B5648F"/>
    <w:rsid w:val="00B57546"/>
    <w:rsid w:val="00B6120F"/>
    <w:rsid w:val="00B61BBB"/>
    <w:rsid w:val="00B61CAE"/>
    <w:rsid w:val="00B63ACD"/>
    <w:rsid w:val="00B64633"/>
    <w:rsid w:val="00B64775"/>
    <w:rsid w:val="00B64A5D"/>
    <w:rsid w:val="00B64D6D"/>
    <w:rsid w:val="00B65294"/>
    <w:rsid w:val="00B65C08"/>
    <w:rsid w:val="00B70845"/>
    <w:rsid w:val="00B71106"/>
    <w:rsid w:val="00B73111"/>
    <w:rsid w:val="00B74287"/>
    <w:rsid w:val="00B74A4A"/>
    <w:rsid w:val="00B7550A"/>
    <w:rsid w:val="00B757C1"/>
    <w:rsid w:val="00B75885"/>
    <w:rsid w:val="00B77238"/>
    <w:rsid w:val="00B77823"/>
    <w:rsid w:val="00B81C17"/>
    <w:rsid w:val="00B83956"/>
    <w:rsid w:val="00B83E5F"/>
    <w:rsid w:val="00B8483F"/>
    <w:rsid w:val="00B848E0"/>
    <w:rsid w:val="00B85602"/>
    <w:rsid w:val="00B86F46"/>
    <w:rsid w:val="00B87EFC"/>
    <w:rsid w:val="00B903D5"/>
    <w:rsid w:val="00B928D5"/>
    <w:rsid w:val="00B92934"/>
    <w:rsid w:val="00B94E39"/>
    <w:rsid w:val="00B95048"/>
    <w:rsid w:val="00B960DD"/>
    <w:rsid w:val="00B974CA"/>
    <w:rsid w:val="00B97700"/>
    <w:rsid w:val="00B979E2"/>
    <w:rsid w:val="00B97CD4"/>
    <w:rsid w:val="00B97D61"/>
    <w:rsid w:val="00BA0F46"/>
    <w:rsid w:val="00BA0FB6"/>
    <w:rsid w:val="00BA1002"/>
    <w:rsid w:val="00BA1DFE"/>
    <w:rsid w:val="00BA2841"/>
    <w:rsid w:val="00BA2FFD"/>
    <w:rsid w:val="00BA3176"/>
    <w:rsid w:val="00BA37A6"/>
    <w:rsid w:val="00BA3AA7"/>
    <w:rsid w:val="00BA413A"/>
    <w:rsid w:val="00BA4477"/>
    <w:rsid w:val="00BA5107"/>
    <w:rsid w:val="00BA5340"/>
    <w:rsid w:val="00BA5E30"/>
    <w:rsid w:val="00BA61F9"/>
    <w:rsid w:val="00BA7696"/>
    <w:rsid w:val="00BB08CC"/>
    <w:rsid w:val="00BB0C27"/>
    <w:rsid w:val="00BB0D91"/>
    <w:rsid w:val="00BB111B"/>
    <w:rsid w:val="00BB168E"/>
    <w:rsid w:val="00BB2708"/>
    <w:rsid w:val="00BB2B9B"/>
    <w:rsid w:val="00BB4720"/>
    <w:rsid w:val="00BB535C"/>
    <w:rsid w:val="00BB58C9"/>
    <w:rsid w:val="00BB6171"/>
    <w:rsid w:val="00BB6B6E"/>
    <w:rsid w:val="00BB700D"/>
    <w:rsid w:val="00BC012C"/>
    <w:rsid w:val="00BC0A16"/>
    <w:rsid w:val="00BC0B69"/>
    <w:rsid w:val="00BC1070"/>
    <w:rsid w:val="00BC1661"/>
    <w:rsid w:val="00BC1B00"/>
    <w:rsid w:val="00BC2493"/>
    <w:rsid w:val="00BC2533"/>
    <w:rsid w:val="00BC2ACB"/>
    <w:rsid w:val="00BC2E95"/>
    <w:rsid w:val="00BC31A7"/>
    <w:rsid w:val="00BC44EC"/>
    <w:rsid w:val="00BC4A8A"/>
    <w:rsid w:val="00BC5790"/>
    <w:rsid w:val="00BC6143"/>
    <w:rsid w:val="00BC67D7"/>
    <w:rsid w:val="00BC6C6F"/>
    <w:rsid w:val="00BC738C"/>
    <w:rsid w:val="00BC75CD"/>
    <w:rsid w:val="00BD0C67"/>
    <w:rsid w:val="00BD166C"/>
    <w:rsid w:val="00BD1DA6"/>
    <w:rsid w:val="00BD2436"/>
    <w:rsid w:val="00BD2783"/>
    <w:rsid w:val="00BD27D1"/>
    <w:rsid w:val="00BD316F"/>
    <w:rsid w:val="00BD33D0"/>
    <w:rsid w:val="00BD3676"/>
    <w:rsid w:val="00BD4AFA"/>
    <w:rsid w:val="00BD527E"/>
    <w:rsid w:val="00BD5770"/>
    <w:rsid w:val="00BD65F2"/>
    <w:rsid w:val="00BD6F38"/>
    <w:rsid w:val="00BD71A1"/>
    <w:rsid w:val="00BD74BB"/>
    <w:rsid w:val="00BE083A"/>
    <w:rsid w:val="00BE08C1"/>
    <w:rsid w:val="00BE0A51"/>
    <w:rsid w:val="00BE151F"/>
    <w:rsid w:val="00BE1D2F"/>
    <w:rsid w:val="00BE2F37"/>
    <w:rsid w:val="00BE35B0"/>
    <w:rsid w:val="00BE4542"/>
    <w:rsid w:val="00BE4866"/>
    <w:rsid w:val="00BE51DB"/>
    <w:rsid w:val="00BE53CB"/>
    <w:rsid w:val="00BE5AC1"/>
    <w:rsid w:val="00BE5D7D"/>
    <w:rsid w:val="00BE6035"/>
    <w:rsid w:val="00BE6ABA"/>
    <w:rsid w:val="00BE6E0F"/>
    <w:rsid w:val="00BE6EC3"/>
    <w:rsid w:val="00BE7E35"/>
    <w:rsid w:val="00BF0BB7"/>
    <w:rsid w:val="00BF0E38"/>
    <w:rsid w:val="00BF0F4F"/>
    <w:rsid w:val="00BF11E3"/>
    <w:rsid w:val="00BF442C"/>
    <w:rsid w:val="00BF5371"/>
    <w:rsid w:val="00BF53B7"/>
    <w:rsid w:val="00BF5A82"/>
    <w:rsid w:val="00BF5B35"/>
    <w:rsid w:val="00BF796B"/>
    <w:rsid w:val="00C01A6C"/>
    <w:rsid w:val="00C02635"/>
    <w:rsid w:val="00C03016"/>
    <w:rsid w:val="00C035E8"/>
    <w:rsid w:val="00C0368D"/>
    <w:rsid w:val="00C0386A"/>
    <w:rsid w:val="00C04DE7"/>
    <w:rsid w:val="00C0630C"/>
    <w:rsid w:val="00C0638B"/>
    <w:rsid w:val="00C06862"/>
    <w:rsid w:val="00C06EA8"/>
    <w:rsid w:val="00C0704C"/>
    <w:rsid w:val="00C070E9"/>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6DF"/>
    <w:rsid w:val="00C1672F"/>
    <w:rsid w:val="00C16F8B"/>
    <w:rsid w:val="00C17E06"/>
    <w:rsid w:val="00C2021D"/>
    <w:rsid w:val="00C20249"/>
    <w:rsid w:val="00C20617"/>
    <w:rsid w:val="00C208FA"/>
    <w:rsid w:val="00C20C2A"/>
    <w:rsid w:val="00C20C92"/>
    <w:rsid w:val="00C20DCD"/>
    <w:rsid w:val="00C21522"/>
    <w:rsid w:val="00C2226E"/>
    <w:rsid w:val="00C22685"/>
    <w:rsid w:val="00C22F2C"/>
    <w:rsid w:val="00C2332A"/>
    <w:rsid w:val="00C2462D"/>
    <w:rsid w:val="00C247E0"/>
    <w:rsid w:val="00C24D44"/>
    <w:rsid w:val="00C26CC6"/>
    <w:rsid w:val="00C26D56"/>
    <w:rsid w:val="00C26D86"/>
    <w:rsid w:val="00C26FD7"/>
    <w:rsid w:val="00C2700F"/>
    <w:rsid w:val="00C271D5"/>
    <w:rsid w:val="00C30115"/>
    <w:rsid w:val="00C30BF3"/>
    <w:rsid w:val="00C30EDE"/>
    <w:rsid w:val="00C3203D"/>
    <w:rsid w:val="00C320AD"/>
    <w:rsid w:val="00C32BB9"/>
    <w:rsid w:val="00C32D1D"/>
    <w:rsid w:val="00C33BAD"/>
    <w:rsid w:val="00C33D2B"/>
    <w:rsid w:val="00C34C62"/>
    <w:rsid w:val="00C34D48"/>
    <w:rsid w:val="00C34D59"/>
    <w:rsid w:val="00C34E2D"/>
    <w:rsid w:val="00C36537"/>
    <w:rsid w:val="00C377B9"/>
    <w:rsid w:val="00C37928"/>
    <w:rsid w:val="00C40413"/>
    <w:rsid w:val="00C406C8"/>
    <w:rsid w:val="00C41205"/>
    <w:rsid w:val="00C41317"/>
    <w:rsid w:val="00C41372"/>
    <w:rsid w:val="00C41C14"/>
    <w:rsid w:val="00C44962"/>
    <w:rsid w:val="00C44E81"/>
    <w:rsid w:val="00C45907"/>
    <w:rsid w:val="00C47E32"/>
    <w:rsid w:val="00C516D5"/>
    <w:rsid w:val="00C52379"/>
    <w:rsid w:val="00C529CF"/>
    <w:rsid w:val="00C52F5F"/>
    <w:rsid w:val="00C53CDD"/>
    <w:rsid w:val="00C5432B"/>
    <w:rsid w:val="00C54ADC"/>
    <w:rsid w:val="00C551D0"/>
    <w:rsid w:val="00C5582C"/>
    <w:rsid w:val="00C562B3"/>
    <w:rsid w:val="00C564E0"/>
    <w:rsid w:val="00C5794C"/>
    <w:rsid w:val="00C62401"/>
    <w:rsid w:val="00C6247C"/>
    <w:rsid w:val="00C6272E"/>
    <w:rsid w:val="00C6293F"/>
    <w:rsid w:val="00C63635"/>
    <w:rsid w:val="00C63BA4"/>
    <w:rsid w:val="00C64B76"/>
    <w:rsid w:val="00C64C0A"/>
    <w:rsid w:val="00C64E72"/>
    <w:rsid w:val="00C653A5"/>
    <w:rsid w:val="00C66173"/>
    <w:rsid w:val="00C66E6F"/>
    <w:rsid w:val="00C66EEE"/>
    <w:rsid w:val="00C6769F"/>
    <w:rsid w:val="00C70940"/>
    <w:rsid w:val="00C72330"/>
    <w:rsid w:val="00C732D4"/>
    <w:rsid w:val="00C73AE3"/>
    <w:rsid w:val="00C73D54"/>
    <w:rsid w:val="00C740F1"/>
    <w:rsid w:val="00C7489A"/>
    <w:rsid w:val="00C752F0"/>
    <w:rsid w:val="00C758C9"/>
    <w:rsid w:val="00C75EF8"/>
    <w:rsid w:val="00C7620F"/>
    <w:rsid w:val="00C76829"/>
    <w:rsid w:val="00C7716B"/>
    <w:rsid w:val="00C775E3"/>
    <w:rsid w:val="00C80F90"/>
    <w:rsid w:val="00C81678"/>
    <w:rsid w:val="00C81901"/>
    <w:rsid w:val="00C82D6F"/>
    <w:rsid w:val="00C833BA"/>
    <w:rsid w:val="00C841D1"/>
    <w:rsid w:val="00C84F40"/>
    <w:rsid w:val="00C86B38"/>
    <w:rsid w:val="00C872B9"/>
    <w:rsid w:val="00C90BBB"/>
    <w:rsid w:val="00C91547"/>
    <w:rsid w:val="00C918C7"/>
    <w:rsid w:val="00C91AD2"/>
    <w:rsid w:val="00C9230A"/>
    <w:rsid w:val="00C926D2"/>
    <w:rsid w:val="00C92C32"/>
    <w:rsid w:val="00C939AE"/>
    <w:rsid w:val="00C93F6B"/>
    <w:rsid w:val="00C94162"/>
    <w:rsid w:val="00C945C7"/>
    <w:rsid w:val="00C95FBC"/>
    <w:rsid w:val="00C96A47"/>
    <w:rsid w:val="00C96AAD"/>
    <w:rsid w:val="00C9746A"/>
    <w:rsid w:val="00C97981"/>
    <w:rsid w:val="00CA003C"/>
    <w:rsid w:val="00CA04B5"/>
    <w:rsid w:val="00CA0663"/>
    <w:rsid w:val="00CA07E1"/>
    <w:rsid w:val="00CA1192"/>
    <w:rsid w:val="00CA1480"/>
    <w:rsid w:val="00CA17C6"/>
    <w:rsid w:val="00CA20CA"/>
    <w:rsid w:val="00CA24A3"/>
    <w:rsid w:val="00CA2552"/>
    <w:rsid w:val="00CA3525"/>
    <w:rsid w:val="00CA539B"/>
    <w:rsid w:val="00CA6529"/>
    <w:rsid w:val="00CA695A"/>
    <w:rsid w:val="00CA6EA7"/>
    <w:rsid w:val="00CA759A"/>
    <w:rsid w:val="00CA7926"/>
    <w:rsid w:val="00CA7FD8"/>
    <w:rsid w:val="00CA7FE1"/>
    <w:rsid w:val="00CB040F"/>
    <w:rsid w:val="00CB1845"/>
    <w:rsid w:val="00CB2E4C"/>
    <w:rsid w:val="00CB3696"/>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363A"/>
    <w:rsid w:val="00CC3F9B"/>
    <w:rsid w:val="00CC5508"/>
    <w:rsid w:val="00CC5D97"/>
    <w:rsid w:val="00CC696F"/>
    <w:rsid w:val="00CC74C7"/>
    <w:rsid w:val="00CC74F0"/>
    <w:rsid w:val="00CC76D9"/>
    <w:rsid w:val="00CD02FF"/>
    <w:rsid w:val="00CD2C2E"/>
    <w:rsid w:val="00CD2EEA"/>
    <w:rsid w:val="00CD301B"/>
    <w:rsid w:val="00CD4EA0"/>
    <w:rsid w:val="00CD6580"/>
    <w:rsid w:val="00CD68EC"/>
    <w:rsid w:val="00CD6E41"/>
    <w:rsid w:val="00CD7122"/>
    <w:rsid w:val="00CD75C3"/>
    <w:rsid w:val="00CD7CAC"/>
    <w:rsid w:val="00CD7F9F"/>
    <w:rsid w:val="00CE0674"/>
    <w:rsid w:val="00CE19FF"/>
    <w:rsid w:val="00CE3BA2"/>
    <w:rsid w:val="00CE3DEA"/>
    <w:rsid w:val="00CE4990"/>
    <w:rsid w:val="00CE4B48"/>
    <w:rsid w:val="00CE67E9"/>
    <w:rsid w:val="00CF09EA"/>
    <w:rsid w:val="00CF0FBB"/>
    <w:rsid w:val="00CF147C"/>
    <w:rsid w:val="00CF2A05"/>
    <w:rsid w:val="00CF3050"/>
    <w:rsid w:val="00CF3D7A"/>
    <w:rsid w:val="00CF4731"/>
    <w:rsid w:val="00CF47BB"/>
    <w:rsid w:val="00CF5A0A"/>
    <w:rsid w:val="00CF5F3A"/>
    <w:rsid w:val="00CF6873"/>
    <w:rsid w:val="00CF7798"/>
    <w:rsid w:val="00D01375"/>
    <w:rsid w:val="00D01F99"/>
    <w:rsid w:val="00D0294D"/>
    <w:rsid w:val="00D034E0"/>
    <w:rsid w:val="00D038D3"/>
    <w:rsid w:val="00D03B2F"/>
    <w:rsid w:val="00D04A7F"/>
    <w:rsid w:val="00D05128"/>
    <w:rsid w:val="00D052A8"/>
    <w:rsid w:val="00D052F6"/>
    <w:rsid w:val="00D056AD"/>
    <w:rsid w:val="00D0580D"/>
    <w:rsid w:val="00D064B7"/>
    <w:rsid w:val="00D0670D"/>
    <w:rsid w:val="00D0682A"/>
    <w:rsid w:val="00D06D41"/>
    <w:rsid w:val="00D10C8F"/>
    <w:rsid w:val="00D117B5"/>
    <w:rsid w:val="00D117D0"/>
    <w:rsid w:val="00D12341"/>
    <w:rsid w:val="00D127C1"/>
    <w:rsid w:val="00D1359D"/>
    <w:rsid w:val="00D157D0"/>
    <w:rsid w:val="00D165E2"/>
    <w:rsid w:val="00D17A16"/>
    <w:rsid w:val="00D17CDD"/>
    <w:rsid w:val="00D2120C"/>
    <w:rsid w:val="00D212AE"/>
    <w:rsid w:val="00D2216C"/>
    <w:rsid w:val="00D22825"/>
    <w:rsid w:val="00D2307B"/>
    <w:rsid w:val="00D23DA4"/>
    <w:rsid w:val="00D240E0"/>
    <w:rsid w:val="00D243AB"/>
    <w:rsid w:val="00D2441D"/>
    <w:rsid w:val="00D251AD"/>
    <w:rsid w:val="00D252A8"/>
    <w:rsid w:val="00D2534E"/>
    <w:rsid w:val="00D26903"/>
    <w:rsid w:val="00D26BCE"/>
    <w:rsid w:val="00D27B28"/>
    <w:rsid w:val="00D27E4E"/>
    <w:rsid w:val="00D27F7C"/>
    <w:rsid w:val="00D30421"/>
    <w:rsid w:val="00D30A4A"/>
    <w:rsid w:val="00D328F2"/>
    <w:rsid w:val="00D32CD3"/>
    <w:rsid w:val="00D34C02"/>
    <w:rsid w:val="00D35753"/>
    <w:rsid w:val="00D3627A"/>
    <w:rsid w:val="00D36888"/>
    <w:rsid w:val="00D37B3B"/>
    <w:rsid w:val="00D37D9B"/>
    <w:rsid w:val="00D4023B"/>
    <w:rsid w:val="00D40D7E"/>
    <w:rsid w:val="00D40E12"/>
    <w:rsid w:val="00D40EDC"/>
    <w:rsid w:val="00D4517C"/>
    <w:rsid w:val="00D4557C"/>
    <w:rsid w:val="00D4581D"/>
    <w:rsid w:val="00D4599E"/>
    <w:rsid w:val="00D45CE3"/>
    <w:rsid w:val="00D46112"/>
    <w:rsid w:val="00D46238"/>
    <w:rsid w:val="00D46B9D"/>
    <w:rsid w:val="00D47730"/>
    <w:rsid w:val="00D50141"/>
    <w:rsid w:val="00D501EB"/>
    <w:rsid w:val="00D50A39"/>
    <w:rsid w:val="00D51114"/>
    <w:rsid w:val="00D51A9D"/>
    <w:rsid w:val="00D52603"/>
    <w:rsid w:val="00D527E4"/>
    <w:rsid w:val="00D52C6A"/>
    <w:rsid w:val="00D536E1"/>
    <w:rsid w:val="00D53A5F"/>
    <w:rsid w:val="00D53C4A"/>
    <w:rsid w:val="00D53F1E"/>
    <w:rsid w:val="00D553F9"/>
    <w:rsid w:val="00D55567"/>
    <w:rsid w:val="00D55669"/>
    <w:rsid w:val="00D55888"/>
    <w:rsid w:val="00D56E88"/>
    <w:rsid w:val="00D57E75"/>
    <w:rsid w:val="00D57ED3"/>
    <w:rsid w:val="00D6049F"/>
    <w:rsid w:val="00D60D56"/>
    <w:rsid w:val="00D60E46"/>
    <w:rsid w:val="00D61164"/>
    <w:rsid w:val="00D615DF"/>
    <w:rsid w:val="00D6171D"/>
    <w:rsid w:val="00D61780"/>
    <w:rsid w:val="00D61CDB"/>
    <w:rsid w:val="00D62D7E"/>
    <w:rsid w:val="00D62F0A"/>
    <w:rsid w:val="00D632B2"/>
    <w:rsid w:val="00D633B0"/>
    <w:rsid w:val="00D63519"/>
    <w:rsid w:val="00D63ED5"/>
    <w:rsid w:val="00D63F1B"/>
    <w:rsid w:val="00D640F7"/>
    <w:rsid w:val="00D65320"/>
    <w:rsid w:val="00D65345"/>
    <w:rsid w:val="00D65B01"/>
    <w:rsid w:val="00D66164"/>
    <w:rsid w:val="00D66DDF"/>
    <w:rsid w:val="00D6722D"/>
    <w:rsid w:val="00D676A3"/>
    <w:rsid w:val="00D676BA"/>
    <w:rsid w:val="00D678E2"/>
    <w:rsid w:val="00D701F0"/>
    <w:rsid w:val="00D70FA2"/>
    <w:rsid w:val="00D72A55"/>
    <w:rsid w:val="00D72DD3"/>
    <w:rsid w:val="00D72E30"/>
    <w:rsid w:val="00D72EBC"/>
    <w:rsid w:val="00D73066"/>
    <w:rsid w:val="00D73181"/>
    <w:rsid w:val="00D7397C"/>
    <w:rsid w:val="00D73A01"/>
    <w:rsid w:val="00D753CB"/>
    <w:rsid w:val="00D759CA"/>
    <w:rsid w:val="00D75D10"/>
    <w:rsid w:val="00D75F7F"/>
    <w:rsid w:val="00D76D84"/>
    <w:rsid w:val="00D771B9"/>
    <w:rsid w:val="00D77A24"/>
    <w:rsid w:val="00D77BA7"/>
    <w:rsid w:val="00D81FD3"/>
    <w:rsid w:val="00D8211E"/>
    <w:rsid w:val="00D82C46"/>
    <w:rsid w:val="00D838DD"/>
    <w:rsid w:val="00D83AC8"/>
    <w:rsid w:val="00D8478E"/>
    <w:rsid w:val="00D84D32"/>
    <w:rsid w:val="00D85FDB"/>
    <w:rsid w:val="00D86378"/>
    <w:rsid w:val="00D866EF"/>
    <w:rsid w:val="00D86DB5"/>
    <w:rsid w:val="00D900DA"/>
    <w:rsid w:val="00D9028A"/>
    <w:rsid w:val="00D914E3"/>
    <w:rsid w:val="00D92194"/>
    <w:rsid w:val="00D9246B"/>
    <w:rsid w:val="00D9247B"/>
    <w:rsid w:val="00D92F20"/>
    <w:rsid w:val="00D9397F"/>
    <w:rsid w:val="00D93B48"/>
    <w:rsid w:val="00D949B6"/>
    <w:rsid w:val="00D94DE6"/>
    <w:rsid w:val="00D94FB9"/>
    <w:rsid w:val="00D952AB"/>
    <w:rsid w:val="00D97743"/>
    <w:rsid w:val="00DA0568"/>
    <w:rsid w:val="00DA1C08"/>
    <w:rsid w:val="00DA2011"/>
    <w:rsid w:val="00DA223D"/>
    <w:rsid w:val="00DA2735"/>
    <w:rsid w:val="00DA2936"/>
    <w:rsid w:val="00DA2CF2"/>
    <w:rsid w:val="00DA405B"/>
    <w:rsid w:val="00DA4BDE"/>
    <w:rsid w:val="00DA4DFA"/>
    <w:rsid w:val="00DA4E46"/>
    <w:rsid w:val="00DA5024"/>
    <w:rsid w:val="00DA5A01"/>
    <w:rsid w:val="00DA6FC7"/>
    <w:rsid w:val="00DA7AFA"/>
    <w:rsid w:val="00DB096A"/>
    <w:rsid w:val="00DB0DD5"/>
    <w:rsid w:val="00DB1922"/>
    <w:rsid w:val="00DB2A0B"/>
    <w:rsid w:val="00DB2F87"/>
    <w:rsid w:val="00DB385C"/>
    <w:rsid w:val="00DB39F3"/>
    <w:rsid w:val="00DB414E"/>
    <w:rsid w:val="00DB4AEE"/>
    <w:rsid w:val="00DB55B3"/>
    <w:rsid w:val="00DB6F9B"/>
    <w:rsid w:val="00DB75D2"/>
    <w:rsid w:val="00DB7CAB"/>
    <w:rsid w:val="00DC0CB0"/>
    <w:rsid w:val="00DC2914"/>
    <w:rsid w:val="00DC2EC0"/>
    <w:rsid w:val="00DC312D"/>
    <w:rsid w:val="00DC3483"/>
    <w:rsid w:val="00DC3D35"/>
    <w:rsid w:val="00DC4544"/>
    <w:rsid w:val="00DC4DBE"/>
    <w:rsid w:val="00DC51F8"/>
    <w:rsid w:val="00DC57DE"/>
    <w:rsid w:val="00DC5F28"/>
    <w:rsid w:val="00DC7032"/>
    <w:rsid w:val="00DC7502"/>
    <w:rsid w:val="00DC7E37"/>
    <w:rsid w:val="00DD0BAB"/>
    <w:rsid w:val="00DD13D3"/>
    <w:rsid w:val="00DD1D71"/>
    <w:rsid w:val="00DD2120"/>
    <w:rsid w:val="00DD2655"/>
    <w:rsid w:val="00DD375D"/>
    <w:rsid w:val="00DD3D49"/>
    <w:rsid w:val="00DD4CB4"/>
    <w:rsid w:val="00DD5619"/>
    <w:rsid w:val="00DD605B"/>
    <w:rsid w:val="00DD6AAA"/>
    <w:rsid w:val="00DD7206"/>
    <w:rsid w:val="00DD7A3F"/>
    <w:rsid w:val="00DD7C99"/>
    <w:rsid w:val="00DE0649"/>
    <w:rsid w:val="00DE0BB0"/>
    <w:rsid w:val="00DE0BC3"/>
    <w:rsid w:val="00DE1265"/>
    <w:rsid w:val="00DE1BAD"/>
    <w:rsid w:val="00DE1E04"/>
    <w:rsid w:val="00DE25FE"/>
    <w:rsid w:val="00DE4032"/>
    <w:rsid w:val="00DE532F"/>
    <w:rsid w:val="00DE57E1"/>
    <w:rsid w:val="00DE59B4"/>
    <w:rsid w:val="00DE6832"/>
    <w:rsid w:val="00DE6E4F"/>
    <w:rsid w:val="00DE7DCB"/>
    <w:rsid w:val="00DF1418"/>
    <w:rsid w:val="00DF2EEC"/>
    <w:rsid w:val="00DF31D4"/>
    <w:rsid w:val="00DF346D"/>
    <w:rsid w:val="00DF3C6F"/>
    <w:rsid w:val="00DF3D70"/>
    <w:rsid w:val="00DF5B08"/>
    <w:rsid w:val="00DF5F16"/>
    <w:rsid w:val="00DF6139"/>
    <w:rsid w:val="00DF6819"/>
    <w:rsid w:val="00DF7139"/>
    <w:rsid w:val="00E00849"/>
    <w:rsid w:val="00E00D23"/>
    <w:rsid w:val="00E014E0"/>
    <w:rsid w:val="00E020EE"/>
    <w:rsid w:val="00E026A3"/>
    <w:rsid w:val="00E026EA"/>
    <w:rsid w:val="00E02718"/>
    <w:rsid w:val="00E028A1"/>
    <w:rsid w:val="00E02E98"/>
    <w:rsid w:val="00E0315E"/>
    <w:rsid w:val="00E03406"/>
    <w:rsid w:val="00E03D27"/>
    <w:rsid w:val="00E0482E"/>
    <w:rsid w:val="00E05AB3"/>
    <w:rsid w:val="00E0622C"/>
    <w:rsid w:val="00E0695C"/>
    <w:rsid w:val="00E069FA"/>
    <w:rsid w:val="00E0721A"/>
    <w:rsid w:val="00E07612"/>
    <w:rsid w:val="00E07B04"/>
    <w:rsid w:val="00E1106C"/>
    <w:rsid w:val="00E1182C"/>
    <w:rsid w:val="00E126A5"/>
    <w:rsid w:val="00E126D1"/>
    <w:rsid w:val="00E13318"/>
    <w:rsid w:val="00E153D3"/>
    <w:rsid w:val="00E1567A"/>
    <w:rsid w:val="00E15916"/>
    <w:rsid w:val="00E175FA"/>
    <w:rsid w:val="00E21527"/>
    <w:rsid w:val="00E21834"/>
    <w:rsid w:val="00E22700"/>
    <w:rsid w:val="00E22B98"/>
    <w:rsid w:val="00E2310C"/>
    <w:rsid w:val="00E235C2"/>
    <w:rsid w:val="00E23D50"/>
    <w:rsid w:val="00E23F1C"/>
    <w:rsid w:val="00E23FD0"/>
    <w:rsid w:val="00E2547E"/>
    <w:rsid w:val="00E254F1"/>
    <w:rsid w:val="00E25E80"/>
    <w:rsid w:val="00E26BE2"/>
    <w:rsid w:val="00E27255"/>
    <w:rsid w:val="00E27B25"/>
    <w:rsid w:val="00E27EA6"/>
    <w:rsid w:val="00E3034D"/>
    <w:rsid w:val="00E30DE7"/>
    <w:rsid w:val="00E31268"/>
    <w:rsid w:val="00E314B4"/>
    <w:rsid w:val="00E32698"/>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0F5"/>
    <w:rsid w:val="00E474B2"/>
    <w:rsid w:val="00E47ACE"/>
    <w:rsid w:val="00E506F0"/>
    <w:rsid w:val="00E50B64"/>
    <w:rsid w:val="00E510AE"/>
    <w:rsid w:val="00E525E3"/>
    <w:rsid w:val="00E52A3B"/>
    <w:rsid w:val="00E52D98"/>
    <w:rsid w:val="00E5326A"/>
    <w:rsid w:val="00E546E2"/>
    <w:rsid w:val="00E54AB9"/>
    <w:rsid w:val="00E5623B"/>
    <w:rsid w:val="00E56F6C"/>
    <w:rsid w:val="00E57139"/>
    <w:rsid w:val="00E60204"/>
    <w:rsid w:val="00E6169C"/>
    <w:rsid w:val="00E61A2C"/>
    <w:rsid w:val="00E61A4F"/>
    <w:rsid w:val="00E62395"/>
    <w:rsid w:val="00E627BE"/>
    <w:rsid w:val="00E63C68"/>
    <w:rsid w:val="00E64825"/>
    <w:rsid w:val="00E64B2F"/>
    <w:rsid w:val="00E64EAD"/>
    <w:rsid w:val="00E650AA"/>
    <w:rsid w:val="00E65E0E"/>
    <w:rsid w:val="00E670B4"/>
    <w:rsid w:val="00E67A8F"/>
    <w:rsid w:val="00E67DA7"/>
    <w:rsid w:val="00E67FD8"/>
    <w:rsid w:val="00E707F5"/>
    <w:rsid w:val="00E70966"/>
    <w:rsid w:val="00E71C33"/>
    <w:rsid w:val="00E71F8C"/>
    <w:rsid w:val="00E72E3B"/>
    <w:rsid w:val="00E739E1"/>
    <w:rsid w:val="00E75036"/>
    <w:rsid w:val="00E75EE6"/>
    <w:rsid w:val="00E77A83"/>
    <w:rsid w:val="00E8076E"/>
    <w:rsid w:val="00E80F2D"/>
    <w:rsid w:val="00E81049"/>
    <w:rsid w:val="00E81E9A"/>
    <w:rsid w:val="00E8266C"/>
    <w:rsid w:val="00E82702"/>
    <w:rsid w:val="00E839CD"/>
    <w:rsid w:val="00E84490"/>
    <w:rsid w:val="00E84A4F"/>
    <w:rsid w:val="00E85439"/>
    <w:rsid w:val="00E85469"/>
    <w:rsid w:val="00E85A8F"/>
    <w:rsid w:val="00E864B1"/>
    <w:rsid w:val="00E86DF3"/>
    <w:rsid w:val="00E877ED"/>
    <w:rsid w:val="00E90A49"/>
    <w:rsid w:val="00E90BE6"/>
    <w:rsid w:val="00E910F9"/>
    <w:rsid w:val="00E9197F"/>
    <w:rsid w:val="00E93641"/>
    <w:rsid w:val="00E939C4"/>
    <w:rsid w:val="00E93C2F"/>
    <w:rsid w:val="00E93D1A"/>
    <w:rsid w:val="00E948E8"/>
    <w:rsid w:val="00E9602B"/>
    <w:rsid w:val="00E9625D"/>
    <w:rsid w:val="00E9675F"/>
    <w:rsid w:val="00E96987"/>
    <w:rsid w:val="00E97090"/>
    <w:rsid w:val="00E9723A"/>
    <w:rsid w:val="00E97D92"/>
    <w:rsid w:val="00E97F8C"/>
    <w:rsid w:val="00EA06F9"/>
    <w:rsid w:val="00EA0A2F"/>
    <w:rsid w:val="00EA1AD8"/>
    <w:rsid w:val="00EA25A4"/>
    <w:rsid w:val="00EA3A0E"/>
    <w:rsid w:val="00EA5D67"/>
    <w:rsid w:val="00EA6B62"/>
    <w:rsid w:val="00EA6C2F"/>
    <w:rsid w:val="00EA6D80"/>
    <w:rsid w:val="00EA762F"/>
    <w:rsid w:val="00EB15F3"/>
    <w:rsid w:val="00EB17A4"/>
    <w:rsid w:val="00EB2A4A"/>
    <w:rsid w:val="00EB2C59"/>
    <w:rsid w:val="00EB3E19"/>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28E"/>
    <w:rsid w:val="00EC6E9B"/>
    <w:rsid w:val="00EC6E9D"/>
    <w:rsid w:val="00EC77A3"/>
    <w:rsid w:val="00EC7C50"/>
    <w:rsid w:val="00ED1255"/>
    <w:rsid w:val="00ED22F4"/>
    <w:rsid w:val="00ED4264"/>
    <w:rsid w:val="00ED4A83"/>
    <w:rsid w:val="00ED53FA"/>
    <w:rsid w:val="00ED59A1"/>
    <w:rsid w:val="00ED59CD"/>
    <w:rsid w:val="00ED67E7"/>
    <w:rsid w:val="00ED7429"/>
    <w:rsid w:val="00ED7DE0"/>
    <w:rsid w:val="00EE09CC"/>
    <w:rsid w:val="00EE10B7"/>
    <w:rsid w:val="00EE140F"/>
    <w:rsid w:val="00EE169C"/>
    <w:rsid w:val="00EE1B6A"/>
    <w:rsid w:val="00EE2C8C"/>
    <w:rsid w:val="00EE2D7B"/>
    <w:rsid w:val="00EE39FA"/>
    <w:rsid w:val="00EE52B0"/>
    <w:rsid w:val="00EE6214"/>
    <w:rsid w:val="00EE782F"/>
    <w:rsid w:val="00EF0059"/>
    <w:rsid w:val="00EF0A4C"/>
    <w:rsid w:val="00EF0D6A"/>
    <w:rsid w:val="00EF1CE4"/>
    <w:rsid w:val="00EF1E01"/>
    <w:rsid w:val="00EF38D1"/>
    <w:rsid w:val="00EF38FE"/>
    <w:rsid w:val="00EF4A72"/>
    <w:rsid w:val="00EF4E5B"/>
    <w:rsid w:val="00EF5BED"/>
    <w:rsid w:val="00EF6369"/>
    <w:rsid w:val="00EF6BF3"/>
    <w:rsid w:val="00EF6CFB"/>
    <w:rsid w:val="00EF7242"/>
    <w:rsid w:val="00EF7FEB"/>
    <w:rsid w:val="00F00A0D"/>
    <w:rsid w:val="00F00A14"/>
    <w:rsid w:val="00F01BFC"/>
    <w:rsid w:val="00F03187"/>
    <w:rsid w:val="00F03723"/>
    <w:rsid w:val="00F03CED"/>
    <w:rsid w:val="00F04AC5"/>
    <w:rsid w:val="00F04F3E"/>
    <w:rsid w:val="00F0557A"/>
    <w:rsid w:val="00F05A35"/>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16C24"/>
    <w:rsid w:val="00F1735E"/>
    <w:rsid w:val="00F20B51"/>
    <w:rsid w:val="00F21559"/>
    <w:rsid w:val="00F21B76"/>
    <w:rsid w:val="00F2208D"/>
    <w:rsid w:val="00F229C1"/>
    <w:rsid w:val="00F232E8"/>
    <w:rsid w:val="00F242E9"/>
    <w:rsid w:val="00F24DB6"/>
    <w:rsid w:val="00F2548B"/>
    <w:rsid w:val="00F27493"/>
    <w:rsid w:val="00F27B53"/>
    <w:rsid w:val="00F3052A"/>
    <w:rsid w:val="00F30F70"/>
    <w:rsid w:val="00F31971"/>
    <w:rsid w:val="00F322FE"/>
    <w:rsid w:val="00F327A1"/>
    <w:rsid w:val="00F32EB3"/>
    <w:rsid w:val="00F33194"/>
    <w:rsid w:val="00F33392"/>
    <w:rsid w:val="00F33841"/>
    <w:rsid w:val="00F33ECF"/>
    <w:rsid w:val="00F34072"/>
    <w:rsid w:val="00F342E2"/>
    <w:rsid w:val="00F347DE"/>
    <w:rsid w:val="00F35291"/>
    <w:rsid w:val="00F36006"/>
    <w:rsid w:val="00F3620B"/>
    <w:rsid w:val="00F375DE"/>
    <w:rsid w:val="00F37E17"/>
    <w:rsid w:val="00F41A74"/>
    <w:rsid w:val="00F43705"/>
    <w:rsid w:val="00F43B3E"/>
    <w:rsid w:val="00F440B3"/>
    <w:rsid w:val="00F442F7"/>
    <w:rsid w:val="00F451DD"/>
    <w:rsid w:val="00F4600B"/>
    <w:rsid w:val="00F46473"/>
    <w:rsid w:val="00F46EE0"/>
    <w:rsid w:val="00F473B9"/>
    <w:rsid w:val="00F47A50"/>
    <w:rsid w:val="00F47C73"/>
    <w:rsid w:val="00F5071D"/>
    <w:rsid w:val="00F51BB6"/>
    <w:rsid w:val="00F51C19"/>
    <w:rsid w:val="00F529BE"/>
    <w:rsid w:val="00F538F4"/>
    <w:rsid w:val="00F53D72"/>
    <w:rsid w:val="00F54936"/>
    <w:rsid w:val="00F55E50"/>
    <w:rsid w:val="00F57830"/>
    <w:rsid w:val="00F57914"/>
    <w:rsid w:val="00F57CC9"/>
    <w:rsid w:val="00F607CA"/>
    <w:rsid w:val="00F6099D"/>
    <w:rsid w:val="00F60BE5"/>
    <w:rsid w:val="00F633A2"/>
    <w:rsid w:val="00F6387B"/>
    <w:rsid w:val="00F63D89"/>
    <w:rsid w:val="00F6520C"/>
    <w:rsid w:val="00F65285"/>
    <w:rsid w:val="00F65292"/>
    <w:rsid w:val="00F6538A"/>
    <w:rsid w:val="00F65518"/>
    <w:rsid w:val="00F65D3B"/>
    <w:rsid w:val="00F65F1F"/>
    <w:rsid w:val="00F667BA"/>
    <w:rsid w:val="00F67A14"/>
    <w:rsid w:val="00F70344"/>
    <w:rsid w:val="00F7151A"/>
    <w:rsid w:val="00F72316"/>
    <w:rsid w:val="00F724FE"/>
    <w:rsid w:val="00F725F0"/>
    <w:rsid w:val="00F74375"/>
    <w:rsid w:val="00F74CD4"/>
    <w:rsid w:val="00F74DF0"/>
    <w:rsid w:val="00F76139"/>
    <w:rsid w:val="00F768F3"/>
    <w:rsid w:val="00F77DCB"/>
    <w:rsid w:val="00F80143"/>
    <w:rsid w:val="00F80D64"/>
    <w:rsid w:val="00F829C5"/>
    <w:rsid w:val="00F82AFD"/>
    <w:rsid w:val="00F82F1A"/>
    <w:rsid w:val="00F82FC8"/>
    <w:rsid w:val="00F8370C"/>
    <w:rsid w:val="00F84A72"/>
    <w:rsid w:val="00F8608C"/>
    <w:rsid w:val="00F86689"/>
    <w:rsid w:val="00F866B5"/>
    <w:rsid w:val="00F87BAE"/>
    <w:rsid w:val="00F900B2"/>
    <w:rsid w:val="00F90754"/>
    <w:rsid w:val="00F90895"/>
    <w:rsid w:val="00F90CC1"/>
    <w:rsid w:val="00F92194"/>
    <w:rsid w:val="00F928EB"/>
    <w:rsid w:val="00F92E2E"/>
    <w:rsid w:val="00F93ADA"/>
    <w:rsid w:val="00F940F1"/>
    <w:rsid w:val="00F94435"/>
    <w:rsid w:val="00F94A0C"/>
    <w:rsid w:val="00F94D1D"/>
    <w:rsid w:val="00F9568C"/>
    <w:rsid w:val="00F95C9C"/>
    <w:rsid w:val="00F95DC6"/>
    <w:rsid w:val="00F96291"/>
    <w:rsid w:val="00F964AB"/>
    <w:rsid w:val="00F96D1B"/>
    <w:rsid w:val="00F96EB2"/>
    <w:rsid w:val="00F9712B"/>
    <w:rsid w:val="00FA09C0"/>
    <w:rsid w:val="00FA0F20"/>
    <w:rsid w:val="00FA1355"/>
    <w:rsid w:val="00FA137F"/>
    <w:rsid w:val="00FA1FE7"/>
    <w:rsid w:val="00FA2036"/>
    <w:rsid w:val="00FA2F3D"/>
    <w:rsid w:val="00FA2FB9"/>
    <w:rsid w:val="00FA39EE"/>
    <w:rsid w:val="00FA3C79"/>
    <w:rsid w:val="00FA4C50"/>
    <w:rsid w:val="00FA4EA4"/>
    <w:rsid w:val="00FA50C4"/>
    <w:rsid w:val="00FA54F2"/>
    <w:rsid w:val="00FA587D"/>
    <w:rsid w:val="00FA5B2A"/>
    <w:rsid w:val="00FA764B"/>
    <w:rsid w:val="00FB0ADF"/>
    <w:rsid w:val="00FB0DD8"/>
    <w:rsid w:val="00FB1403"/>
    <w:rsid w:val="00FB1CB9"/>
    <w:rsid w:val="00FB1D03"/>
    <w:rsid w:val="00FB25E9"/>
    <w:rsid w:val="00FB28E4"/>
    <w:rsid w:val="00FB4E9D"/>
    <w:rsid w:val="00FB505D"/>
    <w:rsid w:val="00FB5C72"/>
    <w:rsid w:val="00FB71F0"/>
    <w:rsid w:val="00FC074B"/>
    <w:rsid w:val="00FC07BF"/>
    <w:rsid w:val="00FC12F6"/>
    <w:rsid w:val="00FC141E"/>
    <w:rsid w:val="00FC1737"/>
    <w:rsid w:val="00FC2349"/>
    <w:rsid w:val="00FC25F4"/>
    <w:rsid w:val="00FC2C8C"/>
    <w:rsid w:val="00FC2E99"/>
    <w:rsid w:val="00FC2F99"/>
    <w:rsid w:val="00FC443A"/>
    <w:rsid w:val="00FC4650"/>
    <w:rsid w:val="00FC48D4"/>
    <w:rsid w:val="00FC51A7"/>
    <w:rsid w:val="00FC531D"/>
    <w:rsid w:val="00FC64E5"/>
    <w:rsid w:val="00FC672A"/>
    <w:rsid w:val="00FC6D4A"/>
    <w:rsid w:val="00FC727E"/>
    <w:rsid w:val="00FC7B05"/>
    <w:rsid w:val="00FC7FA7"/>
    <w:rsid w:val="00FD04DD"/>
    <w:rsid w:val="00FD059E"/>
    <w:rsid w:val="00FD0BC5"/>
    <w:rsid w:val="00FD1099"/>
    <w:rsid w:val="00FD1B2E"/>
    <w:rsid w:val="00FD1BFE"/>
    <w:rsid w:val="00FD32DC"/>
    <w:rsid w:val="00FD3D26"/>
    <w:rsid w:val="00FD4302"/>
    <w:rsid w:val="00FD6767"/>
    <w:rsid w:val="00FD7E85"/>
    <w:rsid w:val="00FE00D0"/>
    <w:rsid w:val="00FE0B2D"/>
    <w:rsid w:val="00FE0E5F"/>
    <w:rsid w:val="00FE112F"/>
    <w:rsid w:val="00FE49CE"/>
    <w:rsid w:val="00FE4B0D"/>
    <w:rsid w:val="00FE4BEF"/>
    <w:rsid w:val="00FE4D07"/>
    <w:rsid w:val="00FE51AD"/>
    <w:rsid w:val="00FF00CA"/>
    <w:rsid w:val="00FF06BB"/>
    <w:rsid w:val="00FF0F68"/>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4C4101F"/>
  <w15:docId w15:val="{1B940EA4-2FBE-4EC2-8DE8-A46E616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C24"/>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Fußn,single space,ft Rakstz. Rakstz.,ft Rakstz.,ft"/>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ft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link w:val="CharCharCharChar"/>
    <w:uiPriority w:val="99"/>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customStyle="1" w:styleId="PlainTable41">
    <w:name w:val="Plain Table 41"/>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12">
    <w:name w:val="Grid Table 6 Colorful - Accent 12"/>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 w:type="paragraph" w:customStyle="1" w:styleId="CharCharCharChar">
    <w:name w:val="Char Char Char Char"/>
    <w:aliases w:val="Char2"/>
    <w:basedOn w:val="Normal"/>
    <w:next w:val="Normal"/>
    <w:link w:val="FootnoteReference"/>
    <w:uiPriority w:val="99"/>
    <w:rsid w:val="00496681"/>
    <w:pPr>
      <w:spacing w:after="160" w:line="240" w:lineRule="exact"/>
      <w:ind w:firstLine="0"/>
      <w:jc w:val="left"/>
      <w:textAlignment w:val="baseline"/>
    </w:pPr>
    <w:rPr>
      <w:rFonts w:ascii="Garamond" w:eastAsia="Calibri" w:hAnsi="Garamond"/>
      <w:sz w:val="20"/>
      <w:vertAlign w:val="superscript"/>
      <w:lang w:eastAsia="lv-LV"/>
    </w:rPr>
  </w:style>
  <w:style w:type="paragraph" w:customStyle="1" w:styleId="tv213">
    <w:name w:val="tv213"/>
    <w:basedOn w:val="Normal"/>
    <w:rsid w:val="00510953"/>
    <w:pPr>
      <w:spacing w:before="100" w:beforeAutospacing="1" w:after="100" w:afterAutospacing="1"/>
      <w:ind w:firstLine="0"/>
      <w:jc w:val="left"/>
    </w:pPr>
    <w:rPr>
      <w:szCs w:val="24"/>
      <w:lang w:eastAsia="lv-LV"/>
    </w:rPr>
  </w:style>
  <w:style w:type="paragraph" w:customStyle="1" w:styleId="ManualNumPar1">
    <w:name w:val="Manual NumPar 1"/>
    <w:basedOn w:val="Normal"/>
    <w:next w:val="Normal"/>
    <w:rsid w:val="003033B8"/>
    <w:pPr>
      <w:spacing w:before="120"/>
      <w:ind w:left="850" w:hanging="850"/>
    </w:pPr>
    <w:rPr>
      <w:rFonts w:eastAsiaTheme="minorHAnsi"/>
      <w:szCs w:val="22"/>
    </w:rPr>
  </w:style>
  <w:style w:type="table" w:customStyle="1" w:styleId="GridTable6Colorful-Accent112">
    <w:name w:val="Grid Table 6 Colorful - Accent 112"/>
    <w:basedOn w:val="TableNormal"/>
    <w:uiPriority w:val="51"/>
    <w:rsid w:val="00DF7139"/>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D6722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5">
    <w:name w:val="List Table 4 Accent 5"/>
    <w:basedOn w:val="TableNormal"/>
    <w:uiPriority w:val="49"/>
    <w:rsid w:val="00D672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968">
      <w:bodyDiv w:val="1"/>
      <w:marLeft w:val="0"/>
      <w:marRight w:val="0"/>
      <w:marTop w:val="0"/>
      <w:marBottom w:val="0"/>
      <w:divBdr>
        <w:top w:val="none" w:sz="0" w:space="0" w:color="auto"/>
        <w:left w:val="none" w:sz="0" w:space="0" w:color="auto"/>
        <w:bottom w:val="none" w:sz="0" w:space="0" w:color="auto"/>
        <w:right w:val="none" w:sz="0" w:space="0" w:color="auto"/>
      </w:divBdr>
    </w:div>
    <w:div w:id="8069351">
      <w:bodyDiv w:val="1"/>
      <w:marLeft w:val="0"/>
      <w:marRight w:val="0"/>
      <w:marTop w:val="0"/>
      <w:marBottom w:val="0"/>
      <w:divBdr>
        <w:top w:val="none" w:sz="0" w:space="0" w:color="auto"/>
        <w:left w:val="none" w:sz="0" w:space="0" w:color="auto"/>
        <w:bottom w:val="none" w:sz="0" w:space="0" w:color="auto"/>
        <w:right w:val="none" w:sz="0" w:space="0" w:color="auto"/>
      </w:divBdr>
    </w:div>
    <w:div w:id="16855136">
      <w:bodyDiv w:val="1"/>
      <w:marLeft w:val="0"/>
      <w:marRight w:val="0"/>
      <w:marTop w:val="0"/>
      <w:marBottom w:val="0"/>
      <w:divBdr>
        <w:top w:val="none" w:sz="0" w:space="0" w:color="auto"/>
        <w:left w:val="none" w:sz="0" w:space="0" w:color="auto"/>
        <w:bottom w:val="none" w:sz="0" w:space="0" w:color="auto"/>
        <w:right w:val="none" w:sz="0" w:space="0" w:color="auto"/>
      </w:divBdr>
    </w:div>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32921846">
      <w:bodyDiv w:val="1"/>
      <w:marLeft w:val="0"/>
      <w:marRight w:val="0"/>
      <w:marTop w:val="0"/>
      <w:marBottom w:val="0"/>
      <w:divBdr>
        <w:top w:val="none" w:sz="0" w:space="0" w:color="auto"/>
        <w:left w:val="none" w:sz="0" w:space="0" w:color="auto"/>
        <w:bottom w:val="none" w:sz="0" w:space="0" w:color="auto"/>
        <w:right w:val="none" w:sz="0" w:space="0" w:color="auto"/>
      </w:divBdr>
    </w:div>
    <w:div w:id="3343438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1655488">
      <w:bodyDiv w:val="1"/>
      <w:marLeft w:val="0"/>
      <w:marRight w:val="0"/>
      <w:marTop w:val="0"/>
      <w:marBottom w:val="0"/>
      <w:divBdr>
        <w:top w:val="none" w:sz="0" w:space="0" w:color="auto"/>
        <w:left w:val="none" w:sz="0" w:space="0" w:color="auto"/>
        <w:bottom w:val="none" w:sz="0" w:space="0" w:color="auto"/>
        <w:right w:val="none" w:sz="0" w:space="0" w:color="auto"/>
      </w:divBdr>
    </w:div>
    <w:div w:id="52890473">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67191889">
      <w:bodyDiv w:val="1"/>
      <w:marLeft w:val="0"/>
      <w:marRight w:val="0"/>
      <w:marTop w:val="0"/>
      <w:marBottom w:val="0"/>
      <w:divBdr>
        <w:top w:val="none" w:sz="0" w:space="0" w:color="auto"/>
        <w:left w:val="none" w:sz="0" w:space="0" w:color="auto"/>
        <w:bottom w:val="none" w:sz="0" w:space="0" w:color="auto"/>
        <w:right w:val="none" w:sz="0" w:space="0" w:color="auto"/>
      </w:divBdr>
    </w:div>
    <w:div w:id="76100679">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2289461">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98722673">
      <w:bodyDiv w:val="1"/>
      <w:marLeft w:val="0"/>
      <w:marRight w:val="0"/>
      <w:marTop w:val="0"/>
      <w:marBottom w:val="0"/>
      <w:divBdr>
        <w:top w:val="none" w:sz="0" w:space="0" w:color="auto"/>
        <w:left w:val="none" w:sz="0" w:space="0" w:color="auto"/>
        <w:bottom w:val="none" w:sz="0" w:space="0" w:color="auto"/>
        <w:right w:val="none" w:sz="0" w:space="0" w:color="auto"/>
      </w:divBdr>
    </w:div>
    <w:div w:id="100958057">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18308951">
      <w:bodyDiv w:val="1"/>
      <w:marLeft w:val="0"/>
      <w:marRight w:val="0"/>
      <w:marTop w:val="0"/>
      <w:marBottom w:val="0"/>
      <w:divBdr>
        <w:top w:val="none" w:sz="0" w:space="0" w:color="auto"/>
        <w:left w:val="none" w:sz="0" w:space="0" w:color="auto"/>
        <w:bottom w:val="none" w:sz="0" w:space="0" w:color="auto"/>
        <w:right w:val="none" w:sz="0" w:space="0" w:color="auto"/>
      </w:divBdr>
    </w:div>
    <w:div w:id="118569232">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45319776">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183515714">
      <w:bodyDiv w:val="1"/>
      <w:marLeft w:val="0"/>
      <w:marRight w:val="0"/>
      <w:marTop w:val="0"/>
      <w:marBottom w:val="0"/>
      <w:divBdr>
        <w:top w:val="none" w:sz="0" w:space="0" w:color="auto"/>
        <w:left w:val="none" w:sz="0" w:space="0" w:color="auto"/>
        <w:bottom w:val="none" w:sz="0" w:space="0" w:color="auto"/>
        <w:right w:val="none" w:sz="0" w:space="0" w:color="auto"/>
      </w:divBdr>
    </w:div>
    <w:div w:id="193272425">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5847912">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1207869">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59484736">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262959462">
      <w:bodyDiv w:val="1"/>
      <w:marLeft w:val="0"/>
      <w:marRight w:val="0"/>
      <w:marTop w:val="0"/>
      <w:marBottom w:val="0"/>
      <w:divBdr>
        <w:top w:val="none" w:sz="0" w:space="0" w:color="auto"/>
        <w:left w:val="none" w:sz="0" w:space="0" w:color="auto"/>
        <w:bottom w:val="none" w:sz="0" w:space="0" w:color="auto"/>
        <w:right w:val="none" w:sz="0" w:space="0" w:color="auto"/>
      </w:divBdr>
    </w:div>
    <w:div w:id="278025090">
      <w:bodyDiv w:val="1"/>
      <w:marLeft w:val="0"/>
      <w:marRight w:val="0"/>
      <w:marTop w:val="0"/>
      <w:marBottom w:val="0"/>
      <w:divBdr>
        <w:top w:val="none" w:sz="0" w:space="0" w:color="auto"/>
        <w:left w:val="none" w:sz="0" w:space="0" w:color="auto"/>
        <w:bottom w:val="none" w:sz="0" w:space="0" w:color="auto"/>
        <w:right w:val="none" w:sz="0" w:space="0" w:color="auto"/>
      </w:divBdr>
    </w:div>
    <w:div w:id="280039283">
      <w:bodyDiv w:val="1"/>
      <w:marLeft w:val="0"/>
      <w:marRight w:val="0"/>
      <w:marTop w:val="0"/>
      <w:marBottom w:val="0"/>
      <w:divBdr>
        <w:top w:val="none" w:sz="0" w:space="0" w:color="auto"/>
        <w:left w:val="none" w:sz="0" w:space="0" w:color="auto"/>
        <w:bottom w:val="none" w:sz="0" w:space="0" w:color="auto"/>
        <w:right w:val="none" w:sz="0" w:space="0" w:color="auto"/>
      </w:divBdr>
    </w:div>
    <w:div w:id="309676364">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76052063">
      <w:bodyDiv w:val="1"/>
      <w:marLeft w:val="0"/>
      <w:marRight w:val="0"/>
      <w:marTop w:val="0"/>
      <w:marBottom w:val="0"/>
      <w:divBdr>
        <w:top w:val="none" w:sz="0" w:space="0" w:color="auto"/>
        <w:left w:val="none" w:sz="0" w:space="0" w:color="auto"/>
        <w:bottom w:val="none" w:sz="0" w:space="0" w:color="auto"/>
        <w:right w:val="none" w:sz="0" w:space="0" w:color="auto"/>
      </w:divBdr>
    </w:div>
    <w:div w:id="389501028">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10278697">
      <w:bodyDiv w:val="1"/>
      <w:marLeft w:val="0"/>
      <w:marRight w:val="0"/>
      <w:marTop w:val="0"/>
      <w:marBottom w:val="0"/>
      <w:divBdr>
        <w:top w:val="none" w:sz="0" w:space="0" w:color="auto"/>
        <w:left w:val="none" w:sz="0" w:space="0" w:color="auto"/>
        <w:bottom w:val="none" w:sz="0" w:space="0" w:color="auto"/>
        <w:right w:val="none" w:sz="0" w:space="0" w:color="auto"/>
      </w:divBdr>
    </w:div>
    <w:div w:id="416296028">
      <w:bodyDiv w:val="1"/>
      <w:marLeft w:val="0"/>
      <w:marRight w:val="0"/>
      <w:marTop w:val="0"/>
      <w:marBottom w:val="0"/>
      <w:divBdr>
        <w:top w:val="none" w:sz="0" w:space="0" w:color="auto"/>
        <w:left w:val="none" w:sz="0" w:space="0" w:color="auto"/>
        <w:bottom w:val="none" w:sz="0" w:space="0" w:color="auto"/>
        <w:right w:val="none" w:sz="0" w:space="0" w:color="auto"/>
      </w:divBdr>
    </w:div>
    <w:div w:id="421221059">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44883334">
      <w:bodyDiv w:val="1"/>
      <w:marLeft w:val="0"/>
      <w:marRight w:val="0"/>
      <w:marTop w:val="0"/>
      <w:marBottom w:val="0"/>
      <w:divBdr>
        <w:top w:val="none" w:sz="0" w:space="0" w:color="auto"/>
        <w:left w:val="none" w:sz="0" w:space="0" w:color="auto"/>
        <w:bottom w:val="none" w:sz="0" w:space="0" w:color="auto"/>
        <w:right w:val="none" w:sz="0" w:space="0" w:color="auto"/>
      </w:divBdr>
    </w:div>
    <w:div w:id="47225852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492717051">
      <w:bodyDiv w:val="1"/>
      <w:marLeft w:val="0"/>
      <w:marRight w:val="0"/>
      <w:marTop w:val="0"/>
      <w:marBottom w:val="0"/>
      <w:divBdr>
        <w:top w:val="none" w:sz="0" w:space="0" w:color="auto"/>
        <w:left w:val="none" w:sz="0" w:space="0" w:color="auto"/>
        <w:bottom w:val="none" w:sz="0" w:space="0" w:color="auto"/>
        <w:right w:val="none" w:sz="0" w:space="0" w:color="auto"/>
      </w:divBdr>
    </w:div>
    <w:div w:id="493106066">
      <w:bodyDiv w:val="1"/>
      <w:marLeft w:val="0"/>
      <w:marRight w:val="0"/>
      <w:marTop w:val="0"/>
      <w:marBottom w:val="0"/>
      <w:divBdr>
        <w:top w:val="none" w:sz="0" w:space="0" w:color="auto"/>
        <w:left w:val="none" w:sz="0" w:space="0" w:color="auto"/>
        <w:bottom w:val="none" w:sz="0" w:space="0" w:color="auto"/>
        <w:right w:val="none" w:sz="0" w:space="0" w:color="auto"/>
      </w:divBdr>
    </w:div>
    <w:div w:id="507334384">
      <w:bodyDiv w:val="1"/>
      <w:marLeft w:val="0"/>
      <w:marRight w:val="0"/>
      <w:marTop w:val="0"/>
      <w:marBottom w:val="0"/>
      <w:divBdr>
        <w:top w:val="none" w:sz="0" w:space="0" w:color="auto"/>
        <w:left w:val="none" w:sz="0" w:space="0" w:color="auto"/>
        <w:bottom w:val="none" w:sz="0" w:space="0" w:color="auto"/>
        <w:right w:val="none" w:sz="0" w:space="0" w:color="auto"/>
      </w:divBdr>
    </w:div>
    <w:div w:id="542788264">
      <w:bodyDiv w:val="1"/>
      <w:marLeft w:val="0"/>
      <w:marRight w:val="0"/>
      <w:marTop w:val="0"/>
      <w:marBottom w:val="0"/>
      <w:divBdr>
        <w:top w:val="none" w:sz="0" w:space="0" w:color="auto"/>
        <w:left w:val="none" w:sz="0" w:space="0" w:color="auto"/>
        <w:bottom w:val="none" w:sz="0" w:space="0" w:color="auto"/>
        <w:right w:val="none" w:sz="0" w:space="0" w:color="auto"/>
      </w:divBdr>
    </w:div>
    <w:div w:id="551966285">
      <w:bodyDiv w:val="1"/>
      <w:marLeft w:val="0"/>
      <w:marRight w:val="0"/>
      <w:marTop w:val="0"/>
      <w:marBottom w:val="0"/>
      <w:divBdr>
        <w:top w:val="none" w:sz="0" w:space="0" w:color="auto"/>
        <w:left w:val="none" w:sz="0" w:space="0" w:color="auto"/>
        <w:bottom w:val="none" w:sz="0" w:space="0" w:color="auto"/>
        <w:right w:val="none" w:sz="0" w:space="0" w:color="auto"/>
      </w:divBdr>
    </w:div>
    <w:div w:id="569582617">
      <w:bodyDiv w:val="1"/>
      <w:marLeft w:val="0"/>
      <w:marRight w:val="0"/>
      <w:marTop w:val="0"/>
      <w:marBottom w:val="0"/>
      <w:divBdr>
        <w:top w:val="none" w:sz="0" w:space="0" w:color="auto"/>
        <w:left w:val="none" w:sz="0" w:space="0" w:color="auto"/>
        <w:bottom w:val="none" w:sz="0" w:space="0" w:color="auto"/>
        <w:right w:val="none" w:sz="0" w:space="0" w:color="auto"/>
      </w:divBdr>
    </w:div>
    <w:div w:id="573315087">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3170549">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24384943">
      <w:bodyDiv w:val="1"/>
      <w:marLeft w:val="0"/>
      <w:marRight w:val="0"/>
      <w:marTop w:val="0"/>
      <w:marBottom w:val="0"/>
      <w:divBdr>
        <w:top w:val="none" w:sz="0" w:space="0" w:color="auto"/>
        <w:left w:val="none" w:sz="0" w:space="0" w:color="auto"/>
        <w:bottom w:val="none" w:sz="0" w:space="0" w:color="auto"/>
        <w:right w:val="none" w:sz="0" w:space="0" w:color="auto"/>
      </w:divBdr>
    </w:div>
    <w:div w:id="634604994">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0328169">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0741774">
      <w:bodyDiv w:val="1"/>
      <w:marLeft w:val="0"/>
      <w:marRight w:val="0"/>
      <w:marTop w:val="0"/>
      <w:marBottom w:val="0"/>
      <w:divBdr>
        <w:top w:val="none" w:sz="0" w:space="0" w:color="auto"/>
        <w:left w:val="none" w:sz="0" w:space="0" w:color="auto"/>
        <w:bottom w:val="none" w:sz="0" w:space="0" w:color="auto"/>
        <w:right w:val="none" w:sz="0" w:space="0" w:color="auto"/>
      </w:divBdr>
    </w:div>
    <w:div w:id="752816211">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54204477">
      <w:bodyDiv w:val="1"/>
      <w:marLeft w:val="0"/>
      <w:marRight w:val="0"/>
      <w:marTop w:val="0"/>
      <w:marBottom w:val="0"/>
      <w:divBdr>
        <w:top w:val="none" w:sz="0" w:space="0" w:color="auto"/>
        <w:left w:val="none" w:sz="0" w:space="0" w:color="auto"/>
        <w:bottom w:val="none" w:sz="0" w:space="0" w:color="auto"/>
        <w:right w:val="none" w:sz="0" w:space="0" w:color="auto"/>
      </w:divBdr>
    </w:div>
    <w:div w:id="760834913">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66803570">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798491972">
      <w:bodyDiv w:val="1"/>
      <w:marLeft w:val="0"/>
      <w:marRight w:val="0"/>
      <w:marTop w:val="0"/>
      <w:marBottom w:val="0"/>
      <w:divBdr>
        <w:top w:val="none" w:sz="0" w:space="0" w:color="auto"/>
        <w:left w:val="none" w:sz="0" w:space="0" w:color="auto"/>
        <w:bottom w:val="none" w:sz="0" w:space="0" w:color="auto"/>
        <w:right w:val="none" w:sz="0" w:space="0" w:color="auto"/>
      </w:divBdr>
    </w:div>
    <w:div w:id="799767761">
      <w:bodyDiv w:val="1"/>
      <w:marLeft w:val="0"/>
      <w:marRight w:val="0"/>
      <w:marTop w:val="0"/>
      <w:marBottom w:val="0"/>
      <w:divBdr>
        <w:top w:val="none" w:sz="0" w:space="0" w:color="auto"/>
        <w:left w:val="none" w:sz="0" w:space="0" w:color="auto"/>
        <w:bottom w:val="none" w:sz="0" w:space="0" w:color="auto"/>
        <w:right w:val="none" w:sz="0" w:space="0" w:color="auto"/>
      </w:divBdr>
    </w:div>
    <w:div w:id="813253749">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23818076">
      <w:bodyDiv w:val="1"/>
      <w:marLeft w:val="0"/>
      <w:marRight w:val="0"/>
      <w:marTop w:val="0"/>
      <w:marBottom w:val="0"/>
      <w:divBdr>
        <w:top w:val="none" w:sz="0" w:space="0" w:color="auto"/>
        <w:left w:val="none" w:sz="0" w:space="0" w:color="auto"/>
        <w:bottom w:val="none" w:sz="0" w:space="0" w:color="auto"/>
        <w:right w:val="none" w:sz="0" w:space="0" w:color="auto"/>
      </w:divBdr>
    </w:div>
    <w:div w:id="836186421">
      <w:bodyDiv w:val="1"/>
      <w:marLeft w:val="0"/>
      <w:marRight w:val="0"/>
      <w:marTop w:val="0"/>
      <w:marBottom w:val="0"/>
      <w:divBdr>
        <w:top w:val="none" w:sz="0" w:space="0" w:color="auto"/>
        <w:left w:val="none" w:sz="0" w:space="0" w:color="auto"/>
        <w:bottom w:val="none" w:sz="0" w:space="0" w:color="auto"/>
        <w:right w:val="none" w:sz="0" w:space="0" w:color="auto"/>
      </w:divBdr>
    </w:div>
    <w:div w:id="840851182">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84491604">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895974201">
      <w:bodyDiv w:val="1"/>
      <w:marLeft w:val="0"/>
      <w:marRight w:val="0"/>
      <w:marTop w:val="0"/>
      <w:marBottom w:val="0"/>
      <w:divBdr>
        <w:top w:val="none" w:sz="0" w:space="0" w:color="auto"/>
        <w:left w:val="none" w:sz="0" w:space="0" w:color="auto"/>
        <w:bottom w:val="none" w:sz="0" w:space="0" w:color="auto"/>
        <w:right w:val="none" w:sz="0" w:space="0" w:color="auto"/>
      </w:divBdr>
    </w:div>
    <w:div w:id="899636829">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109127">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45038924">
      <w:bodyDiv w:val="1"/>
      <w:marLeft w:val="0"/>
      <w:marRight w:val="0"/>
      <w:marTop w:val="0"/>
      <w:marBottom w:val="0"/>
      <w:divBdr>
        <w:top w:val="none" w:sz="0" w:space="0" w:color="auto"/>
        <w:left w:val="none" w:sz="0" w:space="0" w:color="auto"/>
        <w:bottom w:val="none" w:sz="0" w:space="0" w:color="auto"/>
        <w:right w:val="none" w:sz="0" w:space="0" w:color="auto"/>
      </w:divBdr>
    </w:div>
    <w:div w:id="947202243">
      <w:bodyDiv w:val="1"/>
      <w:marLeft w:val="0"/>
      <w:marRight w:val="0"/>
      <w:marTop w:val="0"/>
      <w:marBottom w:val="0"/>
      <w:divBdr>
        <w:top w:val="none" w:sz="0" w:space="0" w:color="auto"/>
        <w:left w:val="none" w:sz="0" w:space="0" w:color="auto"/>
        <w:bottom w:val="none" w:sz="0" w:space="0" w:color="auto"/>
        <w:right w:val="none" w:sz="0" w:space="0" w:color="auto"/>
      </w:divBdr>
    </w:div>
    <w:div w:id="952059257">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66735687">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2006284">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0255606">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12299977">
      <w:bodyDiv w:val="1"/>
      <w:marLeft w:val="0"/>
      <w:marRight w:val="0"/>
      <w:marTop w:val="0"/>
      <w:marBottom w:val="0"/>
      <w:divBdr>
        <w:top w:val="none" w:sz="0" w:space="0" w:color="auto"/>
        <w:left w:val="none" w:sz="0" w:space="0" w:color="auto"/>
        <w:bottom w:val="none" w:sz="0" w:space="0" w:color="auto"/>
        <w:right w:val="none" w:sz="0" w:space="0" w:color="auto"/>
      </w:divBdr>
    </w:div>
    <w:div w:id="1025862452">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4086415">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065568067">
      <w:bodyDiv w:val="1"/>
      <w:marLeft w:val="0"/>
      <w:marRight w:val="0"/>
      <w:marTop w:val="0"/>
      <w:marBottom w:val="0"/>
      <w:divBdr>
        <w:top w:val="none" w:sz="0" w:space="0" w:color="auto"/>
        <w:left w:val="none" w:sz="0" w:space="0" w:color="auto"/>
        <w:bottom w:val="none" w:sz="0" w:space="0" w:color="auto"/>
        <w:right w:val="none" w:sz="0" w:space="0" w:color="auto"/>
      </w:divBdr>
    </w:div>
    <w:div w:id="1113668736">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43740583">
      <w:bodyDiv w:val="1"/>
      <w:marLeft w:val="0"/>
      <w:marRight w:val="0"/>
      <w:marTop w:val="0"/>
      <w:marBottom w:val="0"/>
      <w:divBdr>
        <w:top w:val="none" w:sz="0" w:space="0" w:color="auto"/>
        <w:left w:val="none" w:sz="0" w:space="0" w:color="auto"/>
        <w:bottom w:val="none" w:sz="0" w:space="0" w:color="auto"/>
        <w:right w:val="none" w:sz="0" w:space="0" w:color="auto"/>
      </w:divBdr>
    </w:div>
    <w:div w:id="1150051953">
      <w:bodyDiv w:val="1"/>
      <w:marLeft w:val="0"/>
      <w:marRight w:val="0"/>
      <w:marTop w:val="0"/>
      <w:marBottom w:val="0"/>
      <w:divBdr>
        <w:top w:val="none" w:sz="0" w:space="0" w:color="auto"/>
        <w:left w:val="none" w:sz="0" w:space="0" w:color="auto"/>
        <w:bottom w:val="none" w:sz="0" w:space="0" w:color="auto"/>
        <w:right w:val="none" w:sz="0" w:space="0" w:color="auto"/>
      </w:divBdr>
    </w:div>
    <w:div w:id="1150748782">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75605499">
      <w:bodyDiv w:val="1"/>
      <w:marLeft w:val="0"/>
      <w:marRight w:val="0"/>
      <w:marTop w:val="0"/>
      <w:marBottom w:val="0"/>
      <w:divBdr>
        <w:top w:val="none" w:sz="0" w:space="0" w:color="auto"/>
        <w:left w:val="none" w:sz="0" w:space="0" w:color="auto"/>
        <w:bottom w:val="none" w:sz="0" w:space="0" w:color="auto"/>
        <w:right w:val="none" w:sz="0" w:space="0" w:color="auto"/>
      </w:divBdr>
    </w:div>
    <w:div w:id="1184051806">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12577745">
      <w:bodyDiv w:val="1"/>
      <w:marLeft w:val="0"/>
      <w:marRight w:val="0"/>
      <w:marTop w:val="0"/>
      <w:marBottom w:val="0"/>
      <w:divBdr>
        <w:top w:val="none" w:sz="0" w:space="0" w:color="auto"/>
        <w:left w:val="none" w:sz="0" w:space="0" w:color="auto"/>
        <w:bottom w:val="none" w:sz="0" w:space="0" w:color="auto"/>
        <w:right w:val="none" w:sz="0" w:space="0" w:color="auto"/>
      </w:divBdr>
    </w:div>
    <w:div w:id="1235698467">
      <w:bodyDiv w:val="1"/>
      <w:marLeft w:val="0"/>
      <w:marRight w:val="0"/>
      <w:marTop w:val="0"/>
      <w:marBottom w:val="0"/>
      <w:divBdr>
        <w:top w:val="none" w:sz="0" w:space="0" w:color="auto"/>
        <w:left w:val="none" w:sz="0" w:space="0" w:color="auto"/>
        <w:bottom w:val="none" w:sz="0" w:space="0" w:color="auto"/>
        <w:right w:val="none" w:sz="0" w:space="0" w:color="auto"/>
      </w:divBdr>
    </w:div>
    <w:div w:id="1250039836">
      <w:bodyDiv w:val="1"/>
      <w:marLeft w:val="0"/>
      <w:marRight w:val="0"/>
      <w:marTop w:val="0"/>
      <w:marBottom w:val="0"/>
      <w:divBdr>
        <w:top w:val="none" w:sz="0" w:space="0" w:color="auto"/>
        <w:left w:val="none" w:sz="0" w:space="0" w:color="auto"/>
        <w:bottom w:val="none" w:sz="0" w:space="0" w:color="auto"/>
        <w:right w:val="none" w:sz="0" w:space="0" w:color="auto"/>
      </w:divBdr>
    </w:div>
    <w:div w:id="1263610680">
      <w:bodyDiv w:val="1"/>
      <w:marLeft w:val="0"/>
      <w:marRight w:val="0"/>
      <w:marTop w:val="0"/>
      <w:marBottom w:val="0"/>
      <w:divBdr>
        <w:top w:val="none" w:sz="0" w:space="0" w:color="auto"/>
        <w:left w:val="none" w:sz="0" w:space="0" w:color="auto"/>
        <w:bottom w:val="none" w:sz="0" w:space="0" w:color="auto"/>
        <w:right w:val="none" w:sz="0" w:space="0" w:color="auto"/>
      </w:divBdr>
    </w:div>
    <w:div w:id="1275402062">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0137928">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58241157">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71416629">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4987382">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08922279">
      <w:bodyDiv w:val="1"/>
      <w:marLeft w:val="0"/>
      <w:marRight w:val="0"/>
      <w:marTop w:val="0"/>
      <w:marBottom w:val="0"/>
      <w:divBdr>
        <w:top w:val="none" w:sz="0" w:space="0" w:color="auto"/>
        <w:left w:val="none" w:sz="0" w:space="0" w:color="auto"/>
        <w:bottom w:val="none" w:sz="0" w:space="0" w:color="auto"/>
        <w:right w:val="none" w:sz="0" w:space="0" w:color="auto"/>
      </w:divBdr>
    </w:div>
    <w:div w:id="1411731724">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3898986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64226503">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493448292">
      <w:bodyDiv w:val="1"/>
      <w:marLeft w:val="0"/>
      <w:marRight w:val="0"/>
      <w:marTop w:val="0"/>
      <w:marBottom w:val="0"/>
      <w:divBdr>
        <w:top w:val="none" w:sz="0" w:space="0" w:color="auto"/>
        <w:left w:val="none" w:sz="0" w:space="0" w:color="auto"/>
        <w:bottom w:val="none" w:sz="0" w:space="0" w:color="auto"/>
        <w:right w:val="none" w:sz="0" w:space="0" w:color="auto"/>
      </w:divBdr>
    </w:div>
    <w:div w:id="1494564631">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15025095">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030387">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64481690">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72882272">
      <w:bodyDiv w:val="1"/>
      <w:marLeft w:val="0"/>
      <w:marRight w:val="0"/>
      <w:marTop w:val="0"/>
      <w:marBottom w:val="0"/>
      <w:divBdr>
        <w:top w:val="none" w:sz="0" w:space="0" w:color="auto"/>
        <w:left w:val="none" w:sz="0" w:space="0" w:color="auto"/>
        <w:bottom w:val="none" w:sz="0" w:space="0" w:color="auto"/>
        <w:right w:val="none" w:sz="0" w:space="0" w:color="auto"/>
      </w:divBdr>
    </w:div>
    <w:div w:id="1583878985">
      <w:bodyDiv w:val="1"/>
      <w:marLeft w:val="0"/>
      <w:marRight w:val="0"/>
      <w:marTop w:val="0"/>
      <w:marBottom w:val="0"/>
      <w:divBdr>
        <w:top w:val="none" w:sz="0" w:space="0" w:color="auto"/>
        <w:left w:val="none" w:sz="0" w:space="0" w:color="auto"/>
        <w:bottom w:val="none" w:sz="0" w:space="0" w:color="auto"/>
        <w:right w:val="none" w:sz="0" w:space="0" w:color="auto"/>
      </w:divBdr>
    </w:div>
    <w:div w:id="1584794967">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47433">
      <w:bodyDiv w:val="1"/>
      <w:marLeft w:val="0"/>
      <w:marRight w:val="0"/>
      <w:marTop w:val="0"/>
      <w:marBottom w:val="0"/>
      <w:divBdr>
        <w:top w:val="none" w:sz="0" w:space="0" w:color="auto"/>
        <w:left w:val="none" w:sz="0" w:space="0" w:color="auto"/>
        <w:bottom w:val="none" w:sz="0" w:space="0" w:color="auto"/>
        <w:right w:val="none" w:sz="0" w:space="0" w:color="auto"/>
      </w:divBdr>
    </w:div>
    <w:div w:id="1595354446">
      <w:bodyDiv w:val="1"/>
      <w:marLeft w:val="0"/>
      <w:marRight w:val="0"/>
      <w:marTop w:val="0"/>
      <w:marBottom w:val="0"/>
      <w:divBdr>
        <w:top w:val="none" w:sz="0" w:space="0" w:color="auto"/>
        <w:left w:val="none" w:sz="0" w:space="0" w:color="auto"/>
        <w:bottom w:val="none" w:sz="0" w:space="0" w:color="auto"/>
        <w:right w:val="none" w:sz="0" w:space="0" w:color="auto"/>
      </w:divBdr>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13517739">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56256126">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73607269">
      <w:bodyDiv w:val="1"/>
      <w:marLeft w:val="0"/>
      <w:marRight w:val="0"/>
      <w:marTop w:val="0"/>
      <w:marBottom w:val="0"/>
      <w:divBdr>
        <w:top w:val="none" w:sz="0" w:space="0" w:color="auto"/>
        <w:left w:val="none" w:sz="0" w:space="0" w:color="auto"/>
        <w:bottom w:val="none" w:sz="0" w:space="0" w:color="auto"/>
        <w:right w:val="none" w:sz="0" w:space="0" w:color="auto"/>
      </w:divBdr>
    </w:div>
    <w:div w:id="1677269019">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3019679">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29720039">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01537710">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5879047">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50216680">
      <w:bodyDiv w:val="1"/>
      <w:marLeft w:val="0"/>
      <w:marRight w:val="0"/>
      <w:marTop w:val="0"/>
      <w:marBottom w:val="0"/>
      <w:divBdr>
        <w:top w:val="none" w:sz="0" w:space="0" w:color="auto"/>
        <w:left w:val="none" w:sz="0" w:space="0" w:color="auto"/>
        <w:bottom w:val="none" w:sz="0" w:space="0" w:color="auto"/>
        <w:right w:val="none" w:sz="0" w:space="0" w:color="auto"/>
      </w:divBdr>
    </w:div>
    <w:div w:id="1855605337">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0145097">
      <w:bodyDiv w:val="1"/>
      <w:marLeft w:val="0"/>
      <w:marRight w:val="0"/>
      <w:marTop w:val="0"/>
      <w:marBottom w:val="0"/>
      <w:divBdr>
        <w:top w:val="none" w:sz="0" w:space="0" w:color="auto"/>
        <w:left w:val="none" w:sz="0" w:space="0" w:color="auto"/>
        <w:bottom w:val="none" w:sz="0" w:space="0" w:color="auto"/>
        <w:right w:val="none" w:sz="0" w:space="0" w:color="auto"/>
      </w:divBdr>
    </w:div>
    <w:div w:id="1870291819">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29920457">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07399191">
      <w:bodyDiv w:val="1"/>
      <w:marLeft w:val="0"/>
      <w:marRight w:val="0"/>
      <w:marTop w:val="0"/>
      <w:marBottom w:val="0"/>
      <w:divBdr>
        <w:top w:val="none" w:sz="0" w:space="0" w:color="auto"/>
        <w:left w:val="none" w:sz="0" w:space="0" w:color="auto"/>
        <w:bottom w:val="none" w:sz="0" w:space="0" w:color="auto"/>
        <w:right w:val="none" w:sz="0" w:space="0" w:color="auto"/>
      </w:divBdr>
    </w:div>
    <w:div w:id="2008484500">
      <w:bodyDiv w:val="1"/>
      <w:marLeft w:val="0"/>
      <w:marRight w:val="0"/>
      <w:marTop w:val="0"/>
      <w:marBottom w:val="0"/>
      <w:divBdr>
        <w:top w:val="none" w:sz="0" w:space="0" w:color="auto"/>
        <w:left w:val="none" w:sz="0" w:space="0" w:color="auto"/>
        <w:bottom w:val="none" w:sz="0" w:space="0" w:color="auto"/>
        <w:right w:val="none" w:sz="0" w:space="0" w:color="auto"/>
      </w:divBdr>
    </w:div>
    <w:div w:id="2020159365">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47900877">
      <w:bodyDiv w:val="1"/>
      <w:marLeft w:val="0"/>
      <w:marRight w:val="0"/>
      <w:marTop w:val="0"/>
      <w:marBottom w:val="0"/>
      <w:divBdr>
        <w:top w:val="none" w:sz="0" w:space="0" w:color="auto"/>
        <w:left w:val="none" w:sz="0" w:space="0" w:color="auto"/>
        <w:bottom w:val="none" w:sz="0" w:space="0" w:color="auto"/>
        <w:right w:val="none" w:sz="0" w:space="0" w:color="auto"/>
      </w:divBdr>
    </w:div>
    <w:div w:id="2048724501">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56389982">
      <w:bodyDiv w:val="1"/>
      <w:marLeft w:val="0"/>
      <w:marRight w:val="0"/>
      <w:marTop w:val="0"/>
      <w:marBottom w:val="0"/>
      <w:divBdr>
        <w:top w:val="none" w:sz="0" w:space="0" w:color="auto"/>
        <w:left w:val="none" w:sz="0" w:space="0" w:color="auto"/>
        <w:bottom w:val="none" w:sz="0" w:space="0" w:color="auto"/>
        <w:right w:val="none" w:sz="0" w:space="0" w:color="auto"/>
      </w:divBdr>
    </w:div>
    <w:div w:id="2068255521">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1971649">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 w:id="21449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9F23-19A9-469A-80B9-A2EB1BB75F61}">
  <ds:schemaRefs>
    <ds:schemaRef ds:uri="http://schemas.openxmlformats.org/officeDocument/2006/bibliography"/>
  </ds:schemaRefs>
</ds:datastoreItem>
</file>

<file path=customXml/itemProps10.xml><?xml version="1.0" encoding="utf-8"?>
<ds:datastoreItem xmlns:ds="http://schemas.openxmlformats.org/officeDocument/2006/customXml" ds:itemID="{D4763841-2EA7-4AD5-9946-4375D26FE77A}">
  <ds:schemaRefs>
    <ds:schemaRef ds:uri="http://schemas.openxmlformats.org/officeDocument/2006/bibliography"/>
  </ds:schemaRefs>
</ds:datastoreItem>
</file>

<file path=customXml/itemProps11.xml><?xml version="1.0" encoding="utf-8"?>
<ds:datastoreItem xmlns:ds="http://schemas.openxmlformats.org/officeDocument/2006/customXml" ds:itemID="{F7AC317C-75ED-4599-AA75-829D21A66513}">
  <ds:schemaRefs>
    <ds:schemaRef ds:uri="http://schemas.openxmlformats.org/officeDocument/2006/bibliography"/>
  </ds:schemaRefs>
</ds:datastoreItem>
</file>

<file path=customXml/itemProps12.xml><?xml version="1.0" encoding="utf-8"?>
<ds:datastoreItem xmlns:ds="http://schemas.openxmlformats.org/officeDocument/2006/customXml" ds:itemID="{302C7524-444E-4D29-AAAE-E146FF7BEDB1}">
  <ds:schemaRefs>
    <ds:schemaRef ds:uri="http://schemas.openxmlformats.org/officeDocument/2006/bibliography"/>
  </ds:schemaRefs>
</ds:datastoreItem>
</file>

<file path=customXml/itemProps13.xml><?xml version="1.0" encoding="utf-8"?>
<ds:datastoreItem xmlns:ds="http://schemas.openxmlformats.org/officeDocument/2006/customXml" ds:itemID="{C68A083F-1611-45FD-8449-F9CD32943634}">
  <ds:schemaRefs>
    <ds:schemaRef ds:uri="http://schemas.openxmlformats.org/officeDocument/2006/bibliography"/>
  </ds:schemaRefs>
</ds:datastoreItem>
</file>

<file path=customXml/itemProps14.xml><?xml version="1.0" encoding="utf-8"?>
<ds:datastoreItem xmlns:ds="http://schemas.openxmlformats.org/officeDocument/2006/customXml" ds:itemID="{05843BF0-D350-4909-A587-25C98A44D931}">
  <ds:schemaRefs>
    <ds:schemaRef ds:uri="http://schemas.openxmlformats.org/officeDocument/2006/bibliography"/>
  </ds:schemaRefs>
</ds:datastoreItem>
</file>

<file path=customXml/itemProps15.xml><?xml version="1.0" encoding="utf-8"?>
<ds:datastoreItem xmlns:ds="http://schemas.openxmlformats.org/officeDocument/2006/customXml" ds:itemID="{55FC6B90-056C-4A1E-A5DD-2C2822F55482}">
  <ds:schemaRefs>
    <ds:schemaRef ds:uri="http://schemas.openxmlformats.org/officeDocument/2006/bibliography"/>
  </ds:schemaRefs>
</ds:datastoreItem>
</file>

<file path=customXml/itemProps16.xml><?xml version="1.0" encoding="utf-8"?>
<ds:datastoreItem xmlns:ds="http://schemas.openxmlformats.org/officeDocument/2006/customXml" ds:itemID="{1EB272FB-CB42-446B-93AD-7E85210DCEF2}">
  <ds:schemaRefs>
    <ds:schemaRef ds:uri="http://schemas.openxmlformats.org/officeDocument/2006/bibliography"/>
  </ds:schemaRefs>
</ds:datastoreItem>
</file>

<file path=customXml/itemProps17.xml><?xml version="1.0" encoding="utf-8"?>
<ds:datastoreItem xmlns:ds="http://schemas.openxmlformats.org/officeDocument/2006/customXml" ds:itemID="{EC85F725-F2EF-4B1A-AEC1-1FB663A8BF9A}">
  <ds:schemaRefs>
    <ds:schemaRef ds:uri="http://schemas.openxmlformats.org/officeDocument/2006/bibliography"/>
  </ds:schemaRefs>
</ds:datastoreItem>
</file>

<file path=customXml/itemProps18.xml><?xml version="1.0" encoding="utf-8"?>
<ds:datastoreItem xmlns:ds="http://schemas.openxmlformats.org/officeDocument/2006/customXml" ds:itemID="{48A6F878-5B98-4366-9FBB-A83FF9510C19}">
  <ds:schemaRefs>
    <ds:schemaRef ds:uri="http://schemas.openxmlformats.org/officeDocument/2006/bibliography"/>
  </ds:schemaRefs>
</ds:datastoreItem>
</file>

<file path=customXml/itemProps19.xml><?xml version="1.0" encoding="utf-8"?>
<ds:datastoreItem xmlns:ds="http://schemas.openxmlformats.org/officeDocument/2006/customXml" ds:itemID="{BC50E49A-9F32-43CC-896C-B18A3D768389}">
  <ds:schemaRefs>
    <ds:schemaRef ds:uri="http://schemas.openxmlformats.org/officeDocument/2006/bibliography"/>
  </ds:schemaRefs>
</ds:datastoreItem>
</file>

<file path=customXml/itemProps2.xml><?xml version="1.0" encoding="utf-8"?>
<ds:datastoreItem xmlns:ds="http://schemas.openxmlformats.org/officeDocument/2006/customXml" ds:itemID="{C0EB5606-965D-49DC-89ED-EF0DFE283E11}">
  <ds:schemaRefs>
    <ds:schemaRef ds:uri="http://schemas.openxmlformats.org/officeDocument/2006/bibliography"/>
  </ds:schemaRefs>
</ds:datastoreItem>
</file>

<file path=customXml/itemProps20.xml><?xml version="1.0" encoding="utf-8"?>
<ds:datastoreItem xmlns:ds="http://schemas.openxmlformats.org/officeDocument/2006/customXml" ds:itemID="{62900265-3ABC-4FC4-82D5-AE7B1DF47ACB}">
  <ds:schemaRefs>
    <ds:schemaRef ds:uri="http://schemas.openxmlformats.org/officeDocument/2006/bibliography"/>
  </ds:schemaRefs>
</ds:datastoreItem>
</file>

<file path=customXml/itemProps21.xml><?xml version="1.0" encoding="utf-8"?>
<ds:datastoreItem xmlns:ds="http://schemas.openxmlformats.org/officeDocument/2006/customXml" ds:itemID="{251C0233-2A3E-4762-85BE-15F631B26EF4}">
  <ds:schemaRefs>
    <ds:schemaRef ds:uri="http://schemas.openxmlformats.org/officeDocument/2006/bibliography"/>
  </ds:schemaRefs>
</ds:datastoreItem>
</file>

<file path=customXml/itemProps22.xml><?xml version="1.0" encoding="utf-8"?>
<ds:datastoreItem xmlns:ds="http://schemas.openxmlformats.org/officeDocument/2006/customXml" ds:itemID="{6D98DA5A-DC88-47A2-A038-D1D8CDAF3DFA}">
  <ds:schemaRefs>
    <ds:schemaRef ds:uri="http://schemas.openxmlformats.org/officeDocument/2006/bibliography"/>
  </ds:schemaRefs>
</ds:datastoreItem>
</file>

<file path=customXml/itemProps23.xml><?xml version="1.0" encoding="utf-8"?>
<ds:datastoreItem xmlns:ds="http://schemas.openxmlformats.org/officeDocument/2006/customXml" ds:itemID="{90816EEA-7F7B-48D5-B791-475F9B67F578}">
  <ds:schemaRefs>
    <ds:schemaRef ds:uri="http://schemas.openxmlformats.org/officeDocument/2006/bibliography"/>
  </ds:schemaRefs>
</ds:datastoreItem>
</file>

<file path=customXml/itemProps24.xml><?xml version="1.0" encoding="utf-8"?>
<ds:datastoreItem xmlns:ds="http://schemas.openxmlformats.org/officeDocument/2006/customXml" ds:itemID="{0D0F74D0-DAFF-4B94-9053-9D50C4716200}">
  <ds:schemaRefs>
    <ds:schemaRef ds:uri="http://schemas.openxmlformats.org/officeDocument/2006/bibliography"/>
  </ds:schemaRefs>
</ds:datastoreItem>
</file>

<file path=customXml/itemProps25.xml><?xml version="1.0" encoding="utf-8"?>
<ds:datastoreItem xmlns:ds="http://schemas.openxmlformats.org/officeDocument/2006/customXml" ds:itemID="{EA171CBD-B6C2-4B5F-BFAD-9A893233DF74}">
  <ds:schemaRefs>
    <ds:schemaRef ds:uri="http://schemas.openxmlformats.org/officeDocument/2006/bibliography"/>
  </ds:schemaRefs>
</ds:datastoreItem>
</file>

<file path=customXml/itemProps26.xml><?xml version="1.0" encoding="utf-8"?>
<ds:datastoreItem xmlns:ds="http://schemas.openxmlformats.org/officeDocument/2006/customXml" ds:itemID="{EFD92565-2CF3-4551-8858-1F955F407D94}">
  <ds:schemaRefs>
    <ds:schemaRef ds:uri="http://schemas.openxmlformats.org/officeDocument/2006/bibliography"/>
  </ds:schemaRefs>
</ds:datastoreItem>
</file>

<file path=customXml/itemProps27.xml><?xml version="1.0" encoding="utf-8"?>
<ds:datastoreItem xmlns:ds="http://schemas.openxmlformats.org/officeDocument/2006/customXml" ds:itemID="{0D0162D4-6BFE-46FD-B1E3-6C281CCE2208}">
  <ds:schemaRefs>
    <ds:schemaRef ds:uri="http://schemas.openxmlformats.org/officeDocument/2006/bibliography"/>
  </ds:schemaRefs>
</ds:datastoreItem>
</file>

<file path=customXml/itemProps28.xml><?xml version="1.0" encoding="utf-8"?>
<ds:datastoreItem xmlns:ds="http://schemas.openxmlformats.org/officeDocument/2006/customXml" ds:itemID="{3217238F-D5D8-4CCC-A226-DF6D900D3558}">
  <ds:schemaRefs>
    <ds:schemaRef ds:uri="http://schemas.openxmlformats.org/officeDocument/2006/bibliography"/>
  </ds:schemaRefs>
</ds:datastoreItem>
</file>

<file path=customXml/itemProps29.xml><?xml version="1.0" encoding="utf-8"?>
<ds:datastoreItem xmlns:ds="http://schemas.openxmlformats.org/officeDocument/2006/customXml" ds:itemID="{86C7A502-0778-4474-8677-56095D5DAFED}">
  <ds:schemaRefs>
    <ds:schemaRef ds:uri="http://schemas.openxmlformats.org/officeDocument/2006/bibliography"/>
  </ds:schemaRefs>
</ds:datastoreItem>
</file>

<file path=customXml/itemProps3.xml><?xml version="1.0" encoding="utf-8"?>
<ds:datastoreItem xmlns:ds="http://schemas.openxmlformats.org/officeDocument/2006/customXml" ds:itemID="{721433F0-E2CD-4FA6-B902-2259B6AB916B}">
  <ds:schemaRefs>
    <ds:schemaRef ds:uri="http://schemas.openxmlformats.org/officeDocument/2006/bibliography"/>
  </ds:schemaRefs>
</ds:datastoreItem>
</file>

<file path=customXml/itemProps30.xml><?xml version="1.0" encoding="utf-8"?>
<ds:datastoreItem xmlns:ds="http://schemas.openxmlformats.org/officeDocument/2006/customXml" ds:itemID="{DE51056D-3674-4160-B627-5B0891CDC409}">
  <ds:schemaRefs>
    <ds:schemaRef ds:uri="http://schemas.openxmlformats.org/officeDocument/2006/bibliography"/>
  </ds:schemaRefs>
</ds:datastoreItem>
</file>

<file path=customXml/itemProps31.xml><?xml version="1.0" encoding="utf-8"?>
<ds:datastoreItem xmlns:ds="http://schemas.openxmlformats.org/officeDocument/2006/customXml" ds:itemID="{AEB8D497-6411-4656-8D68-491097119CB3}">
  <ds:schemaRefs>
    <ds:schemaRef ds:uri="http://schemas.openxmlformats.org/officeDocument/2006/bibliography"/>
  </ds:schemaRefs>
</ds:datastoreItem>
</file>

<file path=customXml/itemProps32.xml><?xml version="1.0" encoding="utf-8"?>
<ds:datastoreItem xmlns:ds="http://schemas.openxmlformats.org/officeDocument/2006/customXml" ds:itemID="{6ADA3754-0EB7-4D8D-9FCB-87AA6C06FC1D}">
  <ds:schemaRefs>
    <ds:schemaRef ds:uri="http://schemas.openxmlformats.org/officeDocument/2006/bibliography"/>
  </ds:schemaRefs>
</ds:datastoreItem>
</file>

<file path=customXml/itemProps33.xml><?xml version="1.0" encoding="utf-8"?>
<ds:datastoreItem xmlns:ds="http://schemas.openxmlformats.org/officeDocument/2006/customXml" ds:itemID="{E616BCF7-7358-4404-872E-414B157608C0}">
  <ds:schemaRefs>
    <ds:schemaRef ds:uri="http://schemas.openxmlformats.org/officeDocument/2006/bibliography"/>
  </ds:schemaRefs>
</ds:datastoreItem>
</file>

<file path=customXml/itemProps34.xml><?xml version="1.0" encoding="utf-8"?>
<ds:datastoreItem xmlns:ds="http://schemas.openxmlformats.org/officeDocument/2006/customXml" ds:itemID="{2A49FA80-4DC0-43DA-AD96-3B9D65E9113A}">
  <ds:schemaRefs>
    <ds:schemaRef ds:uri="http://schemas.openxmlformats.org/officeDocument/2006/bibliography"/>
  </ds:schemaRefs>
</ds:datastoreItem>
</file>

<file path=customXml/itemProps35.xml><?xml version="1.0" encoding="utf-8"?>
<ds:datastoreItem xmlns:ds="http://schemas.openxmlformats.org/officeDocument/2006/customXml" ds:itemID="{29784A73-0157-4AE4-9E26-69FE8C7C5437}">
  <ds:schemaRefs>
    <ds:schemaRef ds:uri="http://schemas.openxmlformats.org/officeDocument/2006/bibliography"/>
  </ds:schemaRefs>
</ds:datastoreItem>
</file>

<file path=customXml/itemProps36.xml><?xml version="1.0" encoding="utf-8"?>
<ds:datastoreItem xmlns:ds="http://schemas.openxmlformats.org/officeDocument/2006/customXml" ds:itemID="{0DB6A014-643E-49AC-8BC2-F3260C4341D4}">
  <ds:schemaRefs>
    <ds:schemaRef ds:uri="http://schemas.openxmlformats.org/officeDocument/2006/bibliography"/>
  </ds:schemaRefs>
</ds:datastoreItem>
</file>

<file path=customXml/itemProps37.xml><?xml version="1.0" encoding="utf-8"?>
<ds:datastoreItem xmlns:ds="http://schemas.openxmlformats.org/officeDocument/2006/customXml" ds:itemID="{EB8BAA05-6890-4DD8-859A-5DB4FC09B4F9}">
  <ds:schemaRefs>
    <ds:schemaRef ds:uri="http://schemas.openxmlformats.org/officeDocument/2006/bibliography"/>
  </ds:schemaRefs>
</ds:datastoreItem>
</file>

<file path=customXml/itemProps38.xml><?xml version="1.0" encoding="utf-8"?>
<ds:datastoreItem xmlns:ds="http://schemas.openxmlformats.org/officeDocument/2006/customXml" ds:itemID="{1EB8BDB4-3037-441A-A612-B9D4C249CB27}">
  <ds:schemaRefs>
    <ds:schemaRef ds:uri="http://schemas.openxmlformats.org/officeDocument/2006/bibliography"/>
  </ds:schemaRefs>
</ds:datastoreItem>
</file>

<file path=customXml/itemProps39.xml><?xml version="1.0" encoding="utf-8"?>
<ds:datastoreItem xmlns:ds="http://schemas.openxmlformats.org/officeDocument/2006/customXml" ds:itemID="{97DF2091-50EF-4DC5-8804-D58E84F4C3F8}">
  <ds:schemaRefs>
    <ds:schemaRef ds:uri="http://schemas.openxmlformats.org/officeDocument/2006/bibliography"/>
  </ds:schemaRefs>
</ds:datastoreItem>
</file>

<file path=customXml/itemProps4.xml><?xml version="1.0" encoding="utf-8"?>
<ds:datastoreItem xmlns:ds="http://schemas.openxmlformats.org/officeDocument/2006/customXml" ds:itemID="{BECBD905-DAC5-4430-9E61-75E3E99DC0FC}">
  <ds:schemaRefs>
    <ds:schemaRef ds:uri="http://schemas.openxmlformats.org/officeDocument/2006/bibliography"/>
  </ds:schemaRefs>
</ds:datastoreItem>
</file>

<file path=customXml/itemProps40.xml><?xml version="1.0" encoding="utf-8"?>
<ds:datastoreItem xmlns:ds="http://schemas.openxmlformats.org/officeDocument/2006/customXml" ds:itemID="{6942B1E0-AE74-4D28-9B4A-4E6A3D15F12A}">
  <ds:schemaRefs>
    <ds:schemaRef ds:uri="http://schemas.openxmlformats.org/officeDocument/2006/bibliography"/>
  </ds:schemaRefs>
</ds:datastoreItem>
</file>

<file path=customXml/itemProps41.xml><?xml version="1.0" encoding="utf-8"?>
<ds:datastoreItem xmlns:ds="http://schemas.openxmlformats.org/officeDocument/2006/customXml" ds:itemID="{30B4430F-AD87-4F19-B1CF-2A9E0DCEA2B4}">
  <ds:schemaRefs>
    <ds:schemaRef ds:uri="http://schemas.openxmlformats.org/officeDocument/2006/bibliography"/>
  </ds:schemaRefs>
</ds:datastoreItem>
</file>

<file path=customXml/itemProps42.xml><?xml version="1.0" encoding="utf-8"?>
<ds:datastoreItem xmlns:ds="http://schemas.openxmlformats.org/officeDocument/2006/customXml" ds:itemID="{B342AE6F-6F7D-438E-900D-1D35EA7F19D5}">
  <ds:schemaRefs>
    <ds:schemaRef ds:uri="http://schemas.openxmlformats.org/officeDocument/2006/bibliography"/>
  </ds:schemaRefs>
</ds:datastoreItem>
</file>

<file path=customXml/itemProps5.xml><?xml version="1.0" encoding="utf-8"?>
<ds:datastoreItem xmlns:ds="http://schemas.openxmlformats.org/officeDocument/2006/customXml" ds:itemID="{1D87341F-08FF-4332-9A97-0BE5EB82FF2E}">
  <ds:schemaRefs>
    <ds:schemaRef ds:uri="http://schemas.openxmlformats.org/officeDocument/2006/bibliography"/>
  </ds:schemaRefs>
</ds:datastoreItem>
</file>

<file path=customXml/itemProps6.xml><?xml version="1.0" encoding="utf-8"?>
<ds:datastoreItem xmlns:ds="http://schemas.openxmlformats.org/officeDocument/2006/customXml" ds:itemID="{7E18265C-7AB0-47C9-B7E2-0096D0FF67C8}">
  <ds:schemaRefs>
    <ds:schemaRef ds:uri="http://schemas.openxmlformats.org/officeDocument/2006/bibliography"/>
  </ds:schemaRefs>
</ds:datastoreItem>
</file>

<file path=customXml/itemProps7.xml><?xml version="1.0" encoding="utf-8"?>
<ds:datastoreItem xmlns:ds="http://schemas.openxmlformats.org/officeDocument/2006/customXml" ds:itemID="{92250F8F-9658-4265-A5C4-1DEBB0BBC64C}">
  <ds:schemaRefs>
    <ds:schemaRef ds:uri="http://schemas.openxmlformats.org/officeDocument/2006/bibliography"/>
  </ds:schemaRefs>
</ds:datastoreItem>
</file>

<file path=customXml/itemProps8.xml><?xml version="1.0" encoding="utf-8"?>
<ds:datastoreItem xmlns:ds="http://schemas.openxmlformats.org/officeDocument/2006/customXml" ds:itemID="{3F42EA3A-7E38-4E1A-B5FA-972E55A4DDDD}">
  <ds:schemaRefs>
    <ds:schemaRef ds:uri="http://schemas.openxmlformats.org/officeDocument/2006/bibliography"/>
  </ds:schemaRefs>
</ds:datastoreItem>
</file>

<file path=customXml/itemProps9.xml><?xml version="1.0" encoding="utf-8"?>
<ds:datastoreItem xmlns:ds="http://schemas.openxmlformats.org/officeDocument/2006/customXml" ds:itemID="{20C22007-A085-44EB-B332-2430CABE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63</Pages>
  <Words>86839</Words>
  <Characters>49499</Characters>
  <Application>Microsoft Office Word</Application>
  <DocSecurity>0</DocSecurity>
  <Lines>412</Lines>
  <Paragraphs>272</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2021.gadam</vt:lpstr>
    </vt:vector>
  </TitlesOfParts>
  <Company>Finanšu ministrija</Company>
  <LinksUpToDate>false</LinksUpToDate>
  <CharactersWithSpaces>136066</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2021.gadam</dc:title>
  <dc:subject>Informatīvais ziņojums</dc:subject>
  <dc:creator>elina.gusare@fm.gov.lv</dc:creator>
  <dc:description>67083911, elina.gusare@fm.gov.lv</dc:description>
  <cp:lastModifiedBy>Elīna Gusāre</cp:lastModifiedBy>
  <cp:revision>23</cp:revision>
  <cp:lastPrinted>2019-02-18T07:47:00Z</cp:lastPrinted>
  <dcterms:created xsi:type="dcterms:W3CDTF">2020-10-12T07:53:00Z</dcterms:created>
  <dcterms:modified xsi:type="dcterms:W3CDTF">2020-10-12T08:43:00Z</dcterms:modified>
</cp:coreProperties>
</file>