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115" w:rsidRPr="00D35669" w:rsidRDefault="00D83115" w:rsidP="00D83115">
      <w:pPr>
        <w:spacing w:after="0" w:line="240" w:lineRule="auto"/>
        <w:ind w:right="-99"/>
        <w:jc w:val="center"/>
        <w:rPr>
          <w:rFonts w:ascii="Times New Roman" w:hAnsi="Times New Roman"/>
          <w:b/>
          <w:sz w:val="24"/>
          <w:szCs w:val="24"/>
        </w:rPr>
      </w:pPr>
      <w:bookmarkStart w:id="0" w:name="_GoBack"/>
      <w:bookmarkEnd w:id="0"/>
      <w:r w:rsidRPr="00D35669">
        <w:rPr>
          <w:rFonts w:ascii="Times New Roman" w:hAnsi="Times New Roman"/>
          <w:b/>
          <w:sz w:val="24"/>
          <w:szCs w:val="24"/>
        </w:rPr>
        <w:t>INFORMATĪVAIS ZIŅOJUMS</w:t>
      </w:r>
    </w:p>
    <w:p w:rsidR="00D83115" w:rsidRPr="00D35669" w:rsidRDefault="00D41B5A" w:rsidP="00D83115">
      <w:pPr>
        <w:spacing w:after="0" w:line="240" w:lineRule="auto"/>
        <w:ind w:right="-99"/>
        <w:jc w:val="center"/>
        <w:rPr>
          <w:rFonts w:ascii="Times New Roman" w:hAnsi="Times New Roman"/>
          <w:b/>
          <w:sz w:val="24"/>
          <w:szCs w:val="24"/>
        </w:rPr>
      </w:pPr>
      <w:r w:rsidRPr="00D35669">
        <w:rPr>
          <w:rFonts w:ascii="Times New Roman" w:hAnsi="Times New Roman"/>
          <w:b/>
          <w:sz w:val="24"/>
          <w:szCs w:val="24"/>
        </w:rPr>
        <w:t>“</w:t>
      </w:r>
      <w:r w:rsidR="00D83115" w:rsidRPr="00D35669">
        <w:rPr>
          <w:rFonts w:ascii="Times New Roman" w:hAnsi="Times New Roman"/>
          <w:b/>
          <w:sz w:val="24"/>
          <w:szCs w:val="24"/>
        </w:rPr>
        <w:t>PAR VALSTS KONTROLES REVĪZIJĀ</w:t>
      </w:r>
    </w:p>
    <w:p w:rsidR="00D83115" w:rsidRPr="00D35669" w:rsidRDefault="00D83115" w:rsidP="00D83115">
      <w:pPr>
        <w:spacing w:after="0" w:line="240" w:lineRule="auto"/>
        <w:ind w:right="-99"/>
        <w:jc w:val="center"/>
        <w:rPr>
          <w:rFonts w:ascii="Times New Roman" w:hAnsi="Times New Roman"/>
          <w:b/>
          <w:sz w:val="24"/>
          <w:szCs w:val="24"/>
        </w:rPr>
      </w:pPr>
      <w:r w:rsidRPr="00D35669">
        <w:rPr>
          <w:rFonts w:ascii="Times New Roman" w:hAnsi="Times New Roman"/>
          <w:b/>
          <w:sz w:val="24"/>
          <w:szCs w:val="24"/>
        </w:rPr>
        <w:t>„PAR LATVIJAS REPUBLIKAS 20</w:t>
      </w:r>
      <w:r w:rsidR="00722091" w:rsidRPr="00D35669">
        <w:rPr>
          <w:rFonts w:ascii="Times New Roman" w:hAnsi="Times New Roman"/>
          <w:b/>
          <w:sz w:val="24"/>
          <w:szCs w:val="24"/>
        </w:rPr>
        <w:t>19</w:t>
      </w:r>
      <w:r w:rsidRPr="00D35669">
        <w:rPr>
          <w:rFonts w:ascii="Times New Roman" w:hAnsi="Times New Roman"/>
          <w:b/>
          <w:sz w:val="24"/>
          <w:szCs w:val="24"/>
        </w:rPr>
        <w:t>.GADA PĀRSKATU PAR VALSTS BUDŽETA IZPILDI UN PAR PAŠVALDĪBU BUDŽETIEM” SNIEGT</w:t>
      </w:r>
      <w:r w:rsidR="0067261E">
        <w:rPr>
          <w:rFonts w:ascii="Times New Roman" w:hAnsi="Times New Roman"/>
          <w:b/>
          <w:sz w:val="24"/>
          <w:szCs w:val="24"/>
        </w:rPr>
        <w:t>AJ</w:t>
      </w:r>
      <w:r w:rsidR="005E15D0" w:rsidRPr="00D35669">
        <w:rPr>
          <w:rFonts w:ascii="Times New Roman" w:hAnsi="Times New Roman"/>
          <w:b/>
          <w:sz w:val="24"/>
          <w:szCs w:val="24"/>
        </w:rPr>
        <w:t>IEM</w:t>
      </w:r>
      <w:r w:rsidRPr="00D35669">
        <w:rPr>
          <w:rFonts w:ascii="Times New Roman" w:hAnsi="Times New Roman"/>
          <w:b/>
          <w:sz w:val="24"/>
          <w:szCs w:val="24"/>
        </w:rPr>
        <w:t xml:space="preserve"> IETEIKUM</w:t>
      </w:r>
      <w:r w:rsidR="005E15D0" w:rsidRPr="00D35669">
        <w:rPr>
          <w:rFonts w:ascii="Times New Roman" w:hAnsi="Times New Roman"/>
          <w:b/>
          <w:sz w:val="24"/>
          <w:szCs w:val="24"/>
        </w:rPr>
        <w:t>IEM</w:t>
      </w:r>
      <w:r w:rsidRPr="00D35669">
        <w:rPr>
          <w:rFonts w:ascii="Times New Roman" w:hAnsi="Times New Roman"/>
          <w:b/>
          <w:sz w:val="24"/>
          <w:szCs w:val="24"/>
        </w:rPr>
        <w:t xml:space="preserve"> UN </w:t>
      </w:r>
      <w:r w:rsidR="0067261E">
        <w:rPr>
          <w:rFonts w:ascii="Times New Roman" w:hAnsi="Times New Roman"/>
          <w:b/>
          <w:sz w:val="24"/>
          <w:szCs w:val="24"/>
        </w:rPr>
        <w:t>PRIEKŠLIKUMU MINISTRU KABINETAM</w:t>
      </w:r>
      <w:r w:rsidR="00D41B5A" w:rsidRPr="00D35669">
        <w:rPr>
          <w:rFonts w:ascii="Times New Roman" w:hAnsi="Times New Roman"/>
          <w:b/>
          <w:sz w:val="24"/>
          <w:szCs w:val="24"/>
        </w:rPr>
        <w:t>”</w:t>
      </w:r>
    </w:p>
    <w:p w:rsidR="00D83115" w:rsidRPr="00D35669" w:rsidRDefault="00D83115" w:rsidP="00D83115">
      <w:pPr>
        <w:spacing w:after="0" w:line="240" w:lineRule="auto"/>
        <w:ind w:right="-99"/>
        <w:jc w:val="center"/>
        <w:rPr>
          <w:rFonts w:ascii="Times New Roman" w:hAnsi="Times New Roman"/>
          <w:b/>
          <w:sz w:val="24"/>
          <w:szCs w:val="24"/>
        </w:rPr>
      </w:pPr>
    </w:p>
    <w:p w:rsidR="0095576C" w:rsidRPr="00D35669" w:rsidRDefault="0095576C" w:rsidP="0095576C">
      <w:pPr>
        <w:spacing w:before="60" w:after="60" w:line="240" w:lineRule="auto"/>
        <w:ind w:right="-99" w:firstLine="851"/>
        <w:jc w:val="both"/>
        <w:rPr>
          <w:rFonts w:ascii="Times New Roman" w:hAnsi="Times New Roman"/>
          <w:sz w:val="24"/>
          <w:szCs w:val="24"/>
        </w:rPr>
      </w:pPr>
      <w:r w:rsidRPr="00D35669">
        <w:rPr>
          <w:rFonts w:ascii="Times New Roman" w:hAnsi="Times New Roman"/>
          <w:sz w:val="24"/>
          <w:szCs w:val="24"/>
        </w:rPr>
        <w:t>Saskaņā ar Ministru kabineta 2009.gada 7.aprīļa noteikumu Nr.300 „Ministru kabineta kārtības rullis” 58.punktu Finanšu ministrija pēc savas iniciatīvas ir sagatavojusi informatīvo ziņojumu ar mērķi informēt Ministru kabinetu par Latvijas Republikas 2019.gada pārskatu par valsts budžeta izpildi un par pašvaldību budžetiem (turpmāk – Saimnieciskā gada pārskats), Valsts kontroles veikto revīziju par Saimnieciskā gada pārskatu, revīzijas rezultātā sniegto atzinumu un ieteikumu.</w:t>
      </w:r>
    </w:p>
    <w:p w:rsidR="0095576C" w:rsidRPr="00D35669" w:rsidRDefault="0095576C" w:rsidP="0095576C">
      <w:pPr>
        <w:spacing w:before="60" w:after="60" w:line="240" w:lineRule="auto"/>
        <w:ind w:right="-99" w:firstLine="851"/>
        <w:jc w:val="both"/>
        <w:rPr>
          <w:rFonts w:ascii="Times New Roman" w:hAnsi="Times New Roman"/>
          <w:sz w:val="24"/>
          <w:szCs w:val="24"/>
        </w:rPr>
      </w:pPr>
      <w:r w:rsidRPr="00D35669">
        <w:rPr>
          <w:rFonts w:ascii="Times New Roman" w:hAnsi="Times New Roman"/>
          <w:sz w:val="24"/>
          <w:szCs w:val="24"/>
        </w:rPr>
        <w:t>Revidējamo vienību vadītāji gada pārskata sagatavošanā sniedz attiecīgus apliecinājumus par savu atbildību izveidot visaptverošu un efektīvu iekšējās kontroles sistēmu, pastāvīgi to uzlabot un pārraudzīt. Ministriju un iestāžu vadītāji īsteno risku vadības, uzraudzības, kontroles un pārvaldības pasākumu kopumu, lai nodrošinātu pastāvīgu, ekonomisku, efektīvu un lietderīgu iestādes darbību atbilstoši valsts pārvaldes principiem un normatīvo aktu prasībām. Īstenojot iekšējās kontroles sistēmas uzraudzību, iekšējo auditu rezultātā 2019.gadā kopumā sniegts šāds viedoklis par iekšējās kontroles sistēmas efektivitāti: 17% - efektīva, 64% - nepieciešami atsevišķi uzlabojumi, 17% - nepieciešami būtiski uzlabojumi, 3% - nav efektīva. Papildus tam, pēdējo divu gadu laikā īstenota iekšējo auditoru un Valsts kontroles sadarbība tiešās palīdzības veidā – iekšējie auditori piedalās Saimnieciskā gada pārskata revīzijā, vērtējot iekšējās kontroles sistēmu un veicot pārbaudes atsevišķos jautājumos. Šajā gadā - par pētījumiem un tiem pielīdzināmiem pakalpojumiem.</w:t>
      </w:r>
    </w:p>
    <w:p w:rsidR="0095576C" w:rsidRPr="00D35669" w:rsidRDefault="0095576C" w:rsidP="0095576C">
      <w:pPr>
        <w:spacing w:before="60" w:after="60" w:line="240" w:lineRule="auto"/>
        <w:ind w:right="-99" w:firstLine="851"/>
        <w:jc w:val="both"/>
        <w:rPr>
          <w:rFonts w:ascii="Times New Roman" w:hAnsi="Times New Roman"/>
          <w:sz w:val="24"/>
          <w:szCs w:val="24"/>
        </w:rPr>
      </w:pPr>
      <w:r w:rsidRPr="00D35669">
        <w:rPr>
          <w:rFonts w:ascii="Times New Roman" w:hAnsi="Times New Roman"/>
          <w:sz w:val="24"/>
          <w:szCs w:val="24"/>
        </w:rPr>
        <w:t xml:space="preserve">    </w:t>
      </w:r>
    </w:p>
    <w:p w:rsidR="00D83115" w:rsidRPr="00D35669" w:rsidRDefault="00D83115" w:rsidP="0018658F">
      <w:pPr>
        <w:spacing w:before="60" w:after="60" w:line="240" w:lineRule="auto"/>
        <w:ind w:right="-99" w:firstLine="851"/>
        <w:jc w:val="both"/>
        <w:rPr>
          <w:rFonts w:ascii="Times New Roman" w:hAnsi="Times New Roman"/>
          <w:b/>
          <w:sz w:val="24"/>
          <w:szCs w:val="24"/>
        </w:rPr>
      </w:pPr>
      <w:r w:rsidRPr="00D35669">
        <w:rPr>
          <w:rFonts w:ascii="Times New Roman" w:hAnsi="Times New Roman"/>
          <w:b/>
          <w:sz w:val="24"/>
          <w:szCs w:val="24"/>
        </w:rPr>
        <w:t>Esošā situācija</w:t>
      </w:r>
    </w:p>
    <w:p w:rsidR="00D83115" w:rsidRPr="00D35669" w:rsidRDefault="00D83115" w:rsidP="0018658F">
      <w:pPr>
        <w:spacing w:before="60" w:after="60" w:line="240" w:lineRule="auto"/>
        <w:ind w:right="-99" w:firstLine="851"/>
        <w:jc w:val="both"/>
        <w:rPr>
          <w:rFonts w:ascii="Times New Roman" w:hAnsi="Times New Roman"/>
          <w:sz w:val="24"/>
          <w:szCs w:val="24"/>
        </w:rPr>
      </w:pPr>
      <w:r w:rsidRPr="00D35669">
        <w:rPr>
          <w:rFonts w:ascii="Times New Roman" w:hAnsi="Times New Roman"/>
          <w:sz w:val="24"/>
          <w:szCs w:val="24"/>
        </w:rPr>
        <w:t xml:space="preserve">Valsts kontrole ir veikusi revīziju </w:t>
      </w:r>
      <w:r w:rsidR="00722091" w:rsidRPr="00D35669">
        <w:rPr>
          <w:rFonts w:ascii="Times New Roman" w:hAnsi="Times New Roman"/>
          <w:sz w:val="24"/>
          <w:szCs w:val="24"/>
        </w:rPr>
        <w:t>Nr. 2.4.1-32/2019</w:t>
      </w:r>
      <w:r w:rsidR="005457C6" w:rsidRPr="00D35669">
        <w:rPr>
          <w:rFonts w:ascii="Times New Roman" w:hAnsi="Times New Roman"/>
          <w:sz w:val="24"/>
          <w:szCs w:val="24"/>
        </w:rPr>
        <w:t xml:space="preserve"> </w:t>
      </w:r>
      <w:r w:rsidRPr="00D35669">
        <w:rPr>
          <w:rFonts w:ascii="Times New Roman" w:hAnsi="Times New Roman"/>
          <w:sz w:val="24"/>
          <w:szCs w:val="24"/>
        </w:rPr>
        <w:t>„Par Latvijas Republikas 201</w:t>
      </w:r>
      <w:r w:rsidR="00722091" w:rsidRPr="00D35669">
        <w:rPr>
          <w:rFonts w:ascii="Times New Roman" w:hAnsi="Times New Roman"/>
          <w:sz w:val="24"/>
          <w:szCs w:val="24"/>
        </w:rPr>
        <w:t>9</w:t>
      </w:r>
      <w:r w:rsidRPr="00D35669">
        <w:rPr>
          <w:rFonts w:ascii="Times New Roman" w:hAnsi="Times New Roman"/>
          <w:sz w:val="24"/>
          <w:szCs w:val="24"/>
        </w:rPr>
        <w:t xml:space="preserve">.gada pārskatu par valsts budžeta izpildi un par pašvaldību budžetiem” (turpmāk – revīzija) un </w:t>
      </w:r>
      <w:r w:rsidR="00722091" w:rsidRPr="00D35669">
        <w:rPr>
          <w:rFonts w:ascii="Times New Roman" w:hAnsi="Times New Roman"/>
          <w:sz w:val="24"/>
          <w:szCs w:val="24"/>
        </w:rPr>
        <w:t>2020</w:t>
      </w:r>
      <w:r w:rsidR="00B477A5" w:rsidRPr="00D35669">
        <w:rPr>
          <w:rFonts w:ascii="Times New Roman" w:hAnsi="Times New Roman"/>
          <w:sz w:val="24"/>
          <w:szCs w:val="24"/>
        </w:rPr>
        <w:t>.gada 15</w:t>
      </w:r>
      <w:r w:rsidR="00610C14" w:rsidRPr="00D35669">
        <w:rPr>
          <w:rFonts w:ascii="Times New Roman" w:hAnsi="Times New Roman"/>
          <w:sz w:val="24"/>
          <w:szCs w:val="24"/>
        </w:rPr>
        <w:t xml:space="preserve">.septembrī </w:t>
      </w:r>
      <w:r w:rsidRPr="00D35669">
        <w:rPr>
          <w:rFonts w:ascii="Times New Roman" w:hAnsi="Times New Roman"/>
          <w:sz w:val="24"/>
          <w:szCs w:val="24"/>
        </w:rPr>
        <w:t xml:space="preserve">sniegusi atzinumu </w:t>
      </w:r>
      <w:r w:rsidR="00722091" w:rsidRPr="00D35669">
        <w:rPr>
          <w:rFonts w:ascii="Times New Roman" w:hAnsi="Times New Roman"/>
          <w:sz w:val="24"/>
          <w:szCs w:val="24"/>
        </w:rPr>
        <w:t>Nr.2.4.1-32/2019</w:t>
      </w:r>
      <w:r w:rsidR="002D546C" w:rsidRPr="00D35669">
        <w:rPr>
          <w:rFonts w:ascii="Times New Roman" w:hAnsi="Times New Roman"/>
          <w:sz w:val="24"/>
          <w:szCs w:val="24"/>
        </w:rPr>
        <w:t xml:space="preserve"> </w:t>
      </w:r>
      <w:r w:rsidRPr="00D35669">
        <w:rPr>
          <w:rFonts w:ascii="Times New Roman" w:hAnsi="Times New Roman"/>
          <w:sz w:val="24"/>
          <w:szCs w:val="24"/>
        </w:rPr>
        <w:t>“Par Latvijas Republikas 201</w:t>
      </w:r>
      <w:r w:rsidR="00722091" w:rsidRPr="00D35669">
        <w:rPr>
          <w:rFonts w:ascii="Times New Roman" w:hAnsi="Times New Roman"/>
          <w:sz w:val="24"/>
          <w:szCs w:val="24"/>
        </w:rPr>
        <w:t>9</w:t>
      </w:r>
      <w:r w:rsidRPr="00D35669">
        <w:rPr>
          <w:rFonts w:ascii="Times New Roman" w:hAnsi="Times New Roman"/>
          <w:sz w:val="24"/>
          <w:szCs w:val="24"/>
        </w:rPr>
        <w:t xml:space="preserve">.gada pārskata par valsts budžeta izpildi un par pašvaldību budžetiem sagatavošanas pareizību”. </w:t>
      </w:r>
    </w:p>
    <w:p w:rsidR="000243A4" w:rsidRDefault="00240711" w:rsidP="001A3C87">
      <w:pPr>
        <w:spacing w:before="60" w:after="60" w:line="240" w:lineRule="auto"/>
        <w:ind w:right="-99" w:firstLine="851"/>
        <w:jc w:val="both"/>
        <w:rPr>
          <w:rFonts w:ascii="Times New Roman" w:hAnsi="Times New Roman"/>
          <w:bCs/>
          <w:sz w:val="24"/>
          <w:szCs w:val="24"/>
        </w:rPr>
      </w:pPr>
      <w:r w:rsidRPr="00D35669">
        <w:rPr>
          <w:rFonts w:ascii="Times New Roman" w:hAnsi="Times New Roman"/>
          <w:bCs/>
          <w:sz w:val="24"/>
          <w:szCs w:val="24"/>
        </w:rPr>
        <w:t xml:space="preserve">Valsts kontroles revīzijas ziņojumā </w:t>
      </w:r>
      <w:r w:rsidR="000243A4">
        <w:rPr>
          <w:rFonts w:ascii="Times New Roman" w:hAnsi="Times New Roman"/>
          <w:bCs/>
          <w:sz w:val="24"/>
          <w:szCs w:val="24"/>
        </w:rPr>
        <w:t xml:space="preserve">Finanšu ministrijai </w:t>
      </w:r>
      <w:r w:rsidRPr="00D35669">
        <w:rPr>
          <w:rFonts w:ascii="Times New Roman" w:hAnsi="Times New Roman"/>
          <w:bCs/>
          <w:sz w:val="24"/>
          <w:szCs w:val="24"/>
        </w:rPr>
        <w:t xml:space="preserve">ir sniegti septiņi ieteikumi, no kuriem </w:t>
      </w:r>
      <w:r w:rsidR="000243A4">
        <w:rPr>
          <w:rFonts w:ascii="Times New Roman" w:hAnsi="Times New Roman"/>
          <w:bCs/>
          <w:sz w:val="24"/>
          <w:szCs w:val="24"/>
        </w:rPr>
        <w:t>seši ieteikumi ir saskaņoti, ir noteiktas darbības un termiņi efektīvai ieteikumu ieviešanai.</w:t>
      </w:r>
    </w:p>
    <w:p w:rsidR="000243A4" w:rsidRDefault="000243A4" w:rsidP="001A3C87">
      <w:pPr>
        <w:spacing w:before="60" w:after="60" w:line="240" w:lineRule="auto"/>
        <w:ind w:right="-99" w:firstLine="851"/>
        <w:jc w:val="both"/>
        <w:rPr>
          <w:rFonts w:ascii="Times New Roman" w:hAnsi="Times New Roman"/>
          <w:bCs/>
          <w:sz w:val="24"/>
          <w:szCs w:val="24"/>
        </w:rPr>
      </w:pPr>
      <w:r>
        <w:rPr>
          <w:rFonts w:ascii="Times New Roman" w:hAnsi="Times New Roman"/>
          <w:bCs/>
          <w:sz w:val="24"/>
          <w:szCs w:val="24"/>
        </w:rPr>
        <w:t>Savukārt divu ieteikumu ieviešana ir citu ministriju un centrālo valsts pārvalžu iestāžu kompetences jautājums:</w:t>
      </w:r>
    </w:p>
    <w:p w:rsidR="000243A4" w:rsidRPr="00D35669" w:rsidRDefault="000243A4" w:rsidP="000243A4">
      <w:pPr>
        <w:pStyle w:val="ListParagraph"/>
        <w:numPr>
          <w:ilvl w:val="0"/>
          <w:numId w:val="19"/>
        </w:numPr>
        <w:spacing w:before="60" w:after="60"/>
        <w:ind w:right="-99"/>
        <w:jc w:val="both"/>
      </w:pPr>
      <w:r w:rsidRPr="00D35669">
        <w:t>“Finanšu ministrijai sadarbībā ar Ekonomikas ministriju un Būvniecības valsts kontroles biroju pilnveidot būvkomersantu reģistrēšanas nodevas samaksas kontroli, lai uzraugošā un valsts nodevu administrējošā iestāde spētu pārliecināties, ka visi būvkomersanti reģistrējas, sniedz patiesu informāciju un nodevu samaksā atbilstoši normatīvajam aktam”;</w:t>
      </w:r>
    </w:p>
    <w:p w:rsidR="000243A4" w:rsidRPr="00D35669" w:rsidRDefault="000243A4" w:rsidP="000243A4">
      <w:pPr>
        <w:pStyle w:val="ListParagraph"/>
        <w:numPr>
          <w:ilvl w:val="0"/>
          <w:numId w:val="19"/>
        </w:numPr>
        <w:spacing w:before="60" w:after="60"/>
        <w:ind w:right="-99"/>
        <w:jc w:val="both"/>
      </w:pPr>
      <w:r w:rsidRPr="00D35669">
        <w:t>”Lai nodrošinātu, ka Saimnieciskā gada pārskatā tiek atklāta pilnīga un patiesa informācija par iespējamajām saistībām, Finanšu ministrijai izvērtēt un atklāt Saimnieciskā gada pārskatā Latvijas iespējamās saistības, kas izriet no Latvijas dalības starptautiskajās organizācijās”.</w:t>
      </w:r>
    </w:p>
    <w:p w:rsidR="000243A4" w:rsidRPr="00D35669" w:rsidRDefault="000243A4" w:rsidP="000243A4">
      <w:pPr>
        <w:spacing w:before="60" w:after="60" w:line="240" w:lineRule="auto"/>
        <w:jc w:val="both"/>
        <w:rPr>
          <w:rFonts w:ascii="Times New Roman" w:hAnsi="Times New Roman"/>
          <w:b/>
          <w:sz w:val="24"/>
          <w:szCs w:val="24"/>
        </w:rPr>
      </w:pPr>
      <w:r>
        <w:rPr>
          <w:rFonts w:ascii="Times New Roman" w:hAnsi="Times New Roman"/>
          <w:sz w:val="24"/>
          <w:szCs w:val="24"/>
        </w:rPr>
        <w:t xml:space="preserve">Valsts kontrole revīzijas ziņojumā ir sniegusi arī </w:t>
      </w:r>
      <w:r w:rsidRPr="000243A4">
        <w:rPr>
          <w:rFonts w:ascii="Times New Roman" w:hAnsi="Times New Roman"/>
          <w:sz w:val="24"/>
          <w:szCs w:val="24"/>
          <w:u w:val="single"/>
        </w:rPr>
        <w:t>priekšlikumu M</w:t>
      </w:r>
      <w:r w:rsidRPr="00D35669">
        <w:rPr>
          <w:rFonts w:ascii="Times New Roman" w:hAnsi="Times New Roman"/>
          <w:sz w:val="24"/>
          <w:szCs w:val="24"/>
          <w:u w:val="single"/>
        </w:rPr>
        <w:t>inistru kabinetam:</w:t>
      </w:r>
      <w:r w:rsidRPr="00D35669">
        <w:rPr>
          <w:rFonts w:ascii="Times New Roman" w:hAnsi="Times New Roman"/>
          <w:sz w:val="24"/>
          <w:szCs w:val="24"/>
        </w:rPr>
        <w:t xml:space="preserve"> ”Lai sabiedrībai būtu pieejama informācija par Latvijas dalību starptautiskajās organizācijās un Saimnieciskā gada pārskatā būtu atklāta pilnīga un patiesa informācija par iespējamajām saistībām, kas Latvijai izriet no dalības starptautiskajās organizācijās, aicinām Ministru kabinetu nodrošināt:</w:t>
      </w:r>
    </w:p>
    <w:p w:rsidR="000243A4" w:rsidRPr="00D35669" w:rsidRDefault="000243A4" w:rsidP="000243A4">
      <w:pPr>
        <w:pStyle w:val="ListParagraph"/>
        <w:numPr>
          <w:ilvl w:val="0"/>
          <w:numId w:val="16"/>
        </w:numPr>
        <w:spacing w:before="60" w:after="60"/>
        <w:contextualSpacing/>
        <w:jc w:val="both"/>
        <w:rPr>
          <w:b/>
        </w:rPr>
      </w:pPr>
      <w:r w:rsidRPr="00D35669">
        <w:lastRenderedPageBreak/>
        <w:t xml:space="preserve">iespējamo saistību apjoma </w:t>
      </w:r>
      <w:proofErr w:type="spellStart"/>
      <w:r w:rsidRPr="00D35669">
        <w:t>izvērtējuma</w:t>
      </w:r>
      <w:proofErr w:type="spellEnd"/>
      <w:r w:rsidRPr="00D35669">
        <w:t xml:space="preserve"> kārtības izveidi pirms Latvijas iestāšanās starptautiskajās organizācijās;</w:t>
      </w:r>
    </w:p>
    <w:p w:rsidR="000243A4" w:rsidRPr="002915D3" w:rsidRDefault="000243A4" w:rsidP="000243A4">
      <w:pPr>
        <w:pStyle w:val="ListParagraph"/>
        <w:numPr>
          <w:ilvl w:val="0"/>
          <w:numId w:val="16"/>
        </w:numPr>
        <w:spacing w:before="60" w:after="60"/>
        <w:contextualSpacing/>
        <w:jc w:val="both"/>
        <w:rPr>
          <w:b/>
        </w:rPr>
      </w:pPr>
      <w:r w:rsidRPr="00D35669">
        <w:t>sabiedrībai apkopotas informācijas pieejamību par visām starptautiskajām organizācijām, kurās Latvija</w:t>
      </w:r>
      <w:r w:rsidR="002915D3">
        <w:t xml:space="preserve"> ir dalībvalsts”,</w:t>
      </w:r>
    </w:p>
    <w:p w:rsidR="002915D3" w:rsidRPr="002915D3" w:rsidRDefault="002915D3" w:rsidP="002915D3">
      <w:pPr>
        <w:spacing w:before="60" w:after="60"/>
        <w:contextualSpacing/>
        <w:jc w:val="both"/>
        <w:rPr>
          <w:rFonts w:ascii="Times New Roman" w:hAnsi="Times New Roman"/>
          <w:bCs/>
          <w:sz w:val="24"/>
          <w:szCs w:val="24"/>
        </w:rPr>
      </w:pPr>
      <w:r w:rsidRPr="002915D3">
        <w:rPr>
          <w:rFonts w:ascii="Times New Roman" w:hAnsi="Times New Roman"/>
          <w:bCs/>
          <w:sz w:val="24"/>
          <w:szCs w:val="24"/>
        </w:rPr>
        <w:t>kas pēc būtības dublē jeb atkārto iepriekš minēto ieteikumu.</w:t>
      </w:r>
    </w:p>
    <w:p w:rsidR="002915D3" w:rsidRPr="002915D3" w:rsidRDefault="002915D3" w:rsidP="001A3C87">
      <w:pPr>
        <w:spacing w:before="60" w:after="60" w:line="240" w:lineRule="auto"/>
        <w:ind w:right="-99" w:firstLine="851"/>
        <w:jc w:val="both"/>
        <w:rPr>
          <w:rFonts w:ascii="Times New Roman" w:eastAsia="Times New Roman" w:hAnsi="Times New Roman"/>
          <w:sz w:val="16"/>
          <w:szCs w:val="16"/>
          <w:lang w:eastAsia="lv-LV"/>
        </w:rPr>
      </w:pPr>
    </w:p>
    <w:p w:rsidR="000243A4" w:rsidRDefault="002915D3" w:rsidP="001A3C87">
      <w:pPr>
        <w:spacing w:before="60" w:after="60" w:line="240" w:lineRule="auto"/>
        <w:ind w:right="-99" w:firstLine="851"/>
        <w:jc w:val="both"/>
        <w:rPr>
          <w:rFonts w:ascii="Times New Roman" w:hAnsi="Times New Roman"/>
          <w:bCs/>
          <w:sz w:val="24"/>
          <w:szCs w:val="24"/>
        </w:rPr>
      </w:pPr>
      <w:r w:rsidRPr="00D35669">
        <w:rPr>
          <w:rFonts w:ascii="Times New Roman" w:eastAsia="Times New Roman" w:hAnsi="Times New Roman"/>
          <w:sz w:val="24"/>
          <w:szCs w:val="24"/>
          <w:lang w:eastAsia="lv-LV"/>
        </w:rPr>
        <w:t>Finanšu ministrija iebilst pret sniegto ieteikumu, kas paredz Finanšu ministrijai sadarbībā ar Ekonomikas ministriju un Būvniecības valsts kontroles biroju pilnveidot būvkomersantu reģistrēšanas nodevas samaksas kontroli, jo tikai Ekonomikas ministrija var būt noteikta kā atbildīgā par Valsts kontroles sniegtā ieteikuma ieviešanu.</w:t>
      </w:r>
    </w:p>
    <w:p w:rsidR="002D0375" w:rsidRDefault="002915D3" w:rsidP="001A3C87">
      <w:pPr>
        <w:spacing w:before="60" w:after="60" w:line="240" w:lineRule="auto"/>
        <w:ind w:right="-99" w:firstLine="851"/>
        <w:jc w:val="both"/>
        <w:rPr>
          <w:rFonts w:ascii="Times New Roman" w:hAnsi="Times New Roman"/>
          <w:bCs/>
          <w:sz w:val="24"/>
          <w:szCs w:val="24"/>
        </w:rPr>
      </w:pPr>
      <w:r w:rsidRPr="00D35669">
        <w:rPr>
          <w:rFonts w:ascii="Times New Roman" w:hAnsi="Times New Roman"/>
          <w:bCs/>
          <w:sz w:val="24"/>
          <w:szCs w:val="24"/>
        </w:rPr>
        <w:t xml:space="preserve">Savukārt </w:t>
      </w:r>
      <w:r w:rsidR="00240711" w:rsidRPr="00D35669">
        <w:rPr>
          <w:rFonts w:ascii="Times New Roman" w:hAnsi="Times New Roman"/>
          <w:bCs/>
          <w:sz w:val="24"/>
          <w:szCs w:val="24"/>
        </w:rPr>
        <w:t>ieteikuma</w:t>
      </w:r>
      <w:r w:rsidR="002D0375">
        <w:rPr>
          <w:rFonts w:ascii="Times New Roman" w:hAnsi="Times New Roman"/>
          <w:bCs/>
          <w:sz w:val="24"/>
          <w:szCs w:val="24"/>
        </w:rPr>
        <w:t>,</w:t>
      </w:r>
      <w:r w:rsidR="00A1375F" w:rsidRPr="00D35669">
        <w:rPr>
          <w:rFonts w:ascii="Times New Roman" w:hAnsi="Times New Roman"/>
          <w:bCs/>
          <w:sz w:val="24"/>
          <w:szCs w:val="24"/>
        </w:rPr>
        <w:t xml:space="preserve"> </w:t>
      </w:r>
      <w:r w:rsidR="00577BFF">
        <w:rPr>
          <w:rFonts w:ascii="Times New Roman" w:hAnsi="Times New Roman"/>
          <w:bCs/>
          <w:sz w:val="24"/>
          <w:szCs w:val="24"/>
        </w:rPr>
        <w:t xml:space="preserve">par iespējamām saistībām, kas izriet no Latvijas dalības starptautiskajās organizācijās, </w:t>
      </w:r>
      <w:r w:rsidR="00A1375F" w:rsidRPr="00D35669">
        <w:rPr>
          <w:rFonts w:ascii="Times New Roman" w:hAnsi="Times New Roman"/>
          <w:bCs/>
          <w:sz w:val="24"/>
          <w:szCs w:val="24"/>
        </w:rPr>
        <w:t>ieviešanā līdzatbildīgas ir citas</w:t>
      </w:r>
      <w:r w:rsidR="00CA4607" w:rsidRPr="00D35669">
        <w:rPr>
          <w:rFonts w:ascii="Times New Roman" w:hAnsi="Times New Roman"/>
          <w:bCs/>
          <w:sz w:val="24"/>
          <w:szCs w:val="24"/>
        </w:rPr>
        <w:t xml:space="preserve"> </w:t>
      </w:r>
      <w:r w:rsidR="00A1375F" w:rsidRPr="00D35669">
        <w:rPr>
          <w:rFonts w:ascii="Times New Roman" w:hAnsi="Times New Roman"/>
          <w:bCs/>
          <w:sz w:val="24"/>
          <w:szCs w:val="24"/>
        </w:rPr>
        <w:t xml:space="preserve">valsts institūcijas - ministrijas un citas centrālās valsts </w:t>
      </w:r>
      <w:r>
        <w:rPr>
          <w:rFonts w:ascii="Times New Roman" w:hAnsi="Times New Roman"/>
          <w:bCs/>
          <w:sz w:val="24"/>
          <w:szCs w:val="24"/>
        </w:rPr>
        <w:t xml:space="preserve">pārvaldes </w:t>
      </w:r>
      <w:r w:rsidR="00A1375F" w:rsidRPr="00D35669">
        <w:rPr>
          <w:rFonts w:ascii="Times New Roman" w:hAnsi="Times New Roman"/>
          <w:bCs/>
          <w:sz w:val="24"/>
          <w:szCs w:val="24"/>
        </w:rPr>
        <w:t>iestādes. Tādējādi m</w:t>
      </w:r>
      <w:r w:rsidR="00A82537" w:rsidRPr="00D35669">
        <w:rPr>
          <w:rFonts w:ascii="Times New Roman" w:hAnsi="Times New Roman"/>
          <w:bCs/>
          <w:sz w:val="24"/>
          <w:szCs w:val="24"/>
        </w:rPr>
        <w:t>inēt</w:t>
      </w:r>
      <w:r w:rsidR="00A1375F" w:rsidRPr="00D35669">
        <w:rPr>
          <w:rFonts w:ascii="Times New Roman" w:hAnsi="Times New Roman"/>
          <w:bCs/>
          <w:sz w:val="24"/>
          <w:szCs w:val="24"/>
        </w:rPr>
        <w:t>ais</w:t>
      </w:r>
      <w:r w:rsidR="00A82537" w:rsidRPr="00D35669">
        <w:rPr>
          <w:rFonts w:ascii="Times New Roman" w:hAnsi="Times New Roman"/>
          <w:bCs/>
          <w:sz w:val="24"/>
          <w:szCs w:val="24"/>
        </w:rPr>
        <w:t xml:space="preserve"> ieteikums ir plašāks par Finanšu ministrijas kompetenču jomu un ir adresējams visām ministrijām</w:t>
      </w:r>
      <w:r w:rsidR="00A1375F" w:rsidRPr="00D35669">
        <w:rPr>
          <w:rFonts w:ascii="Times New Roman" w:hAnsi="Times New Roman"/>
          <w:bCs/>
          <w:sz w:val="24"/>
          <w:szCs w:val="24"/>
        </w:rPr>
        <w:t xml:space="preserve"> un citām centrālajām valsts iestādēm</w:t>
      </w:r>
      <w:r w:rsidR="00A82537" w:rsidRPr="00D35669">
        <w:rPr>
          <w:rFonts w:ascii="Times New Roman" w:hAnsi="Times New Roman"/>
          <w:bCs/>
          <w:sz w:val="24"/>
          <w:szCs w:val="24"/>
        </w:rPr>
        <w:t xml:space="preserve">. </w:t>
      </w:r>
    </w:p>
    <w:p w:rsidR="00D83115" w:rsidRPr="00D35669" w:rsidRDefault="00D83115" w:rsidP="00CA4607">
      <w:pPr>
        <w:spacing w:after="0" w:line="240" w:lineRule="auto"/>
        <w:ind w:right="-99"/>
        <w:jc w:val="both"/>
        <w:rPr>
          <w:rFonts w:ascii="Times New Roman" w:hAnsi="Times New Roman"/>
          <w:b/>
          <w:bCs/>
          <w:sz w:val="24"/>
          <w:szCs w:val="24"/>
        </w:rPr>
      </w:pPr>
    </w:p>
    <w:p w:rsidR="00D83115" w:rsidRPr="00D35669" w:rsidRDefault="00D83115" w:rsidP="00D83115">
      <w:pPr>
        <w:spacing w:after="0" w:line="240" w:lineRule="auto"/>
        <w:ind w:left="142" w:right="-99" w:firstLine="709"/>
        <w:jc w:val="both"/>
        <w:rPr>
          <w:rFonts w:ascii="Times New Roman" w:hAnsi="Times New Roman"/>
          <w:b/>
          <w:bCs/>
          <w:sz w:val="24"/>
          <w:szCs w:val="24"/>
        </w:rPr>
      </w:pPr>
      <w:r w:rsidRPr="00D35669">
        <w:rPr>
          <w:rFonts w:ascii="Times New Roman" w:hAnsi="Times New Roman"/>
          <w:b/>
          <w:bCs/>
          <w:sz w:val="24"/>
          <w:szCs w:val="24"/>
        </w:rPr>
        <w:t>Problēmas raksturojums</w:t>
      </w:r>
    </w:p>
    <w:p w:rsidR="00240711" w:rsidRPr="00D35669" w:rsidRDefault="00240711" w:rsidP="00240711">
      <w:pPr>
        <w:spacing w:after="0" w:line="240" w:lineRule="auto"/>
        <w:ind w:left="142" w:right="-99" w:firstLine="709"/>
        <w:jc w:val="both"/>
        <w:rPr>
          <w:rFonts w:ascii="Times New Roman" w:hAnsi="Times New Roman"/>
          <w:sz w:val="24"/>
          <w:szCs w:val="24"/>
        </w:rPr>
      </w:pPr>
      <w:r w:rsidRPr="00D35669">
        <w:rPr>
          <w:rFonts w:ascii="Times New Roman" w:hAnsi="Times New Roman"/>
          <w:sz w:val="24"/>
          <w:szCs w:val="24"/>
        </w:rPr>
        <w:t xml:space="preserve">Izvērtējot Valsts kontroles revīzijas ziņojumā sniegto informāciju, Finanšu ministrija uzskata,  ka </w:t>
      </w:r>
      <w:r w:rsidR="00A04DE2">
        <w:rPr>
          <w:rFonts w:ascii="Times New Roman" w:hAnsi="Times New Roman"/>
          <w:sz w:val="24"/>
          <w:szCs w:val="24"/>
        </w:rPr>
        <w:t>divi Valsts kontroles ieteikumi</w:t>
      </w:r>
      <w:r w:rsidRPr="00D35669">
        <w:rPr>
          <w:rFonts w:ascii="Times New Roman" w:hAnsi="Times New Roman"/>
          <w:sz w:val="24"/>
          <w:szCs w:val="24"/>
        </w:rPr>
        <w:t xml:space="preserve"> ir adresējam</w:t>
      </w:r>
      <w:r w:rsidR="00A04DE2">
        <w:rPr>
          <w:rFonts w:ascii="Times New Roman" w:hAnsi="Times New Roman"/>
          <w:sz w:val="24"/>
          <w:szCs w:val="24"/>
        </w:rPr>
        <w:t>i arī citām</w:t>
      </w:r>
      <w:r w:rsidRPr="00D35669">
        <w:rPr>
          <w:rFonts w:ascii="Times New Roman" w:hAnsi="Times New Roman"/>
          <w:sz w:val="24"/>
          <w:szCs w:val="24"/>
        </w:rPr>
        <w:t xml:space="preserve"> ministrijām un centrālajām valsts pārvaldes iestādēm.</w:t>
      </w:r>
    </w:p>
    <w:p w:rsidR="007C7B4F" w:rsidRPr="00D35669" w:rsidRDefault="007C7B4F" w:rsidP="004D0E5B">
      <w:pPr>
        <w:spacing w:after="0" w:line="240" w:lineRule="auto"/>
        <w:ind w:left="142" w:right="-99" w:firstLine="578"/>
        <w:jc w:val="both"/>
        <w:rPr>
          <w:rFonts w:ascii="Times New Roman" w:hAnsi="Times New Roman"/>
          <w:bCs/>
          <w:sz w:val="24"/>
          <w:szCs w:val="24"/>
        </w:rPr>
      </w:pPr>
    </w:p>
    <w:p w:rsidR="00CA4607" w:rsidRPr="00D35669" w:rsidRDefault="00CA4607" w:rsidP="00CA4607">
      <w:pPr>
        <w:spacing w:after="0" w:line="240" w:lineRule="auto"/>
        <w:ind w:right="43"/>
        <w:jc w:val="center"/>
        <w:rPr>
          <w:rFonts w:ascii="Times New Roman" w:hAnsi="Times New Roman"/>
          <w:b/>
          <w:sz w:val="24"/>
          <w:szCs w:val="24"/>
        </w:rPr>
      </w:pPr>
      <w:r w:rsidRPr="00D35669">
        <w:rPr>
          <w:rFonts w:ascii="Times New Roman" w:hAnsi="Times New Roman"/>
          <w:b/>
          <w:sz w:val="24"/>
          <w:szCs w:val="24"/>
        </w:rPr>
        <w:t>Par Valsts kontroles revīzijas ziņojum</w:t>
      </w:r>
      <w:r w:rsidR="00A04DE2">
        <w:rPr>
          <w:rFonts w:ascii="Times New Roman" w:hAnsi="Times New Roman"/>
          <w:b/>
          <w:sz w:val="24"/>
          <w:szCs w:val="24"/>
        </w:rPr>
        <w:t>ā</w:t>
      </w:r>
      <w:r w:rsidRPr="00D35669">
        <w:rPr>
          <w:rFonts w:ascii="Times New Roman" w:hAnsi="Times New Roman"/>
          <w:b/>
          <w:sz w:val="24"/>
          <w:szCs w:val="24"/>
        </w:rPr>
        <w:t xml:space="preserve"> </w:t>
      </w:r>
      <w:r w:rsidR="00993DD5" w:rsidRPr="00D35669">
        <w:rPr>
          <w:rFonts w:ascii="Times New Roman" w:hAnsi="Times New Roman"/>
          <w:b/>
          <w:sz w:val="24"/>
          <w:szCs w:val="24"/>
        </w:rPr>
        <w:t>sniegtaj</w:t>
      </w:r>
      <w:r w:rsidR="00993DD5">
        <w:rPr>
          <w:rFonts w:ascii="Times New Roman" w:hAnsi="Times New Roman"/>
          <w:b/>
          <w:sz w:val="24"/>
          <w:szCs w:val="24"/>
        </w:rPr>
        <w:t>iem</w:t>
      </w:r>
      <w:r w:rsidRPr="00D35669">
        <w:rPr>
          <w:rFonts w:ascii="Times New Roman" w:hAnsi="Times New Roman"/>
          <w:b/>
          <w:sz w:val="24"/>
          <w:szCs w:val="24"/>
        </w:rPr>
        <w:t xml:space="preserve"> ieteikum</w:t>
      </w:r>
      <w:r w:rsidR="00993DD5">
        <w:rPr>
          <w:rFonts w:ascii="Times New Roman" w:hAnsi="Times New Roman"/>
          <w:b/>
          <w:sz w:val="24"/>
          <w:szCs w:val="24"/>
        </w:rPr>
        <w:t>iem</w:t>
      </w:r>
      <w:r w:rsidRPr="00D35669">
        <w:rPr>
          <w:rFonts w:ascii="Times New Roman" w:hAnsi="Times New Roman"/>
          <w:b/>
          <w:sz w:val="24"/>
          <w:szCs w:val="24"/>
        </w:rPr>
        <w:t>, kuru izpildē</w:t>
      </w:r>
    </w:p>
    <w:p w:rsidR="00CA4607" w:rsidRPr="00D35669" w:rsidRDefault="00CA4607" w:rsidP="00A80EA7">
      <w:pPr>
        <w:spacing w:after="0" w:line="240" w:lineRule="auto"/>
        <w:ind w:right="43"/>
        <w:jc w:val="center"/>
        <w:rPr>
          <w:rFonts w:ascii="Times New Roman" w:hAnsi="Times New Roman"/>
          <w:b/>
          <w:sz w:val="24"/>
          <w:szCs w:val="24"/>
        </w:rPr>
      </w:pPr>
      <w:r w:rsidRPr="00D35669">
        <w:rPr>
          <w:rFonts w:ascii="Times New Roman" w:hAnsi="Times New Roman"/>
          <w:b/>
          <w:sz w:val="24"/>
          <w:szCs w:val="24"/>
        </w:rPr>
        <w:t>iesaistāmas citas ministrijas</w:t>
      </w:r>
      <w:r w:rsidR="00A04DE2">
        <w:rPr>
          <w:rFonts w:ascii="Times New Roman" w:hAnsi="Times New Roman"/>
          <w:b/>
          <w:sz w:val="24"/>
          <w:szCs w:val="24"/>
        </w:rPr>
        <w:t xml:space="preserve"> un centrālās valsts pārvaldes iestādes</w:t>
      </w:r>
    </w:p>
    <w:p w:rsidR="00CA4607" w:rsidRPr="00D35669" w:rsidRDefault="00CA4607" w:rsidP="00D83115">
      <w:pPr>
        <w:pStyle w:val="tvhtmlmktable"/>
        <w:spacing w:before="0" w:beforeAutospacing="0" w:after="0" w:afterAutospacing="0"/>
        <w:ind w:right="-99" w:firstLine="709"/>
        <w:jc w:val="both"/>
        <w:rPr>
          <w:sz w:val="16"/>
          <w:szCs w:val="16"/>
          <w:lang w:val="lv-LV"/>
        </w:rPr>
      </w:pPr>
    </w:p>
    <w:tbl>
      <w:tblPr>
        <w:tblStyle w:val="TableGrid"/>
        <w:tblW w:w="9209" w:type="dxa"/>
        <w:tblLook w:val="04A0" w:firstRow="1" w:lastRow="0" w:firstColumn="1" w:lastColumn="0" w:noHBand="0" w:noVBand="1"/>
      </w:tblPr>
      <w:tblGrid>
        <w:gridCol w:w="2405"/>
        <w:gridCol w:w="6804"/>
      </w:tblGrid>
      <w:tr w:rsidR="00CA4607" w:rsidRPr="00D35669" w:rsidTr="00D971AE">
        <w:tc>
          <w:tcPr>
            <w:tcW w:w="2405" w:type="dxa"/>
            <w:shd w:val="clear" w:color="auto" w:fill="DEEAF6" w:themeFill="accent1" w:themeFillTint="33"/>
          </w:tcPr>
          <w:p w:rsidR="00CA4607" w:rsidRPr="00D35669" w:rsidRDefault="00CA4607" w:rsidP="00171408">
            <w:pPr>
              <w:spacing w:after="0" w:line="240" w:lineRule="auto"/>
              <w:ind w:right="43"/>
              <w:jc w:val="both"/>
              <w:rPr>
                <w:rFonts w:ascii="Times New Roman" w:eastAsia="Times New Roman" w:hAnsi="Times New Roman"/>
                <w:b/>
                <w:color w:val="000000"/>
                <w:sz w:val="24"/>
                <w:szCs w:val="24"/>
                <w:lang w:eastAsia="lv-LV"/>
              </w:rPr>
            </w:pPr>
            <w:r w:rsidRPr="00D35669">
              <w:rPr>
                <w:rFonts w:ascii="Times New Roman" w:eastAsia="Times New Roman" w:hAnsi="Times New Roman"/>
                <w:b/>
                <w:color w:val="000000"/>
                <w:sz w:val="24"/>
                <w:szCs w:val="24"/>
                <w:lang w:eastAsia="lv-LV"/>
              </w:rPr>
              <w:t>Valsts kontroles ieteikums</w:t>
            </w:r>
            <w:r w:rsidR="00DF530B" w:rsidRPr="00D35669">
              <w:rPr>
                <w:rFonts w:ascii="Times New Roman" w:eastAsia="Times New Roman" w:hAnsi="Times New Roman"/>
                <w:b/>
                <w:color w:val="000000"/>
                <w:sz w:val="24"/>
                <w:szCs w:val="24"/>
                <w:lang w:eastAsia="lv-LV"/>
              </w:rPr>
              <w:t xml:space="preserve"> un </w:t>
            </w:r>
            <w:r w:rsidR="00DF530B" w:rsidRPr="00D35669">
              <w:rPr>
                <w:rFonts w:ascii="Times New Roman" w:hAnsi="Times New Roman"/>
                <w:b/>
                <w:sz w:val="24"/>
                <w:szCs w:val="24"/>
              </w:rPr>
              <w:t>ierosinātās darbības ieteikuma ieviešanai</w:t>
            </w:r>
            <w:r w:rsidR="00DF530B" w:rsidRPr="00D35669">
              <w:rPr>
                <w:rFonts w:ascii="Times New Roman" w:eastAsia="Times New Roman" w:hAnsi="Times New Roman"/>
                <w:b/>
                <w:color w:val="000000"/>
                <w:sz w:val="24"/>
                <w:szCs w:val="24"/>
                <w:lang w:eastAsia="lv-LV"/>
              </w:rPr>
              <w:t>:</w:t>
            </w:r>
          </w:p>
        </w:tc>
        <w:tc>
          <w:tcPr>
            <w:tcW w:w="6804" w:type="dxa"/>
            <w:shd w:val="clear" w:color="auto" w:fill="DEEAF6" w:themeFill="accent1" w:themeFillTint="33"/>
          </w:tcPr>
          <w:p w:rsidR="00487F8B" w:rsidRPr="00D35669" w:rsidRDefault="00487F8B" w:rsidP="00171408">
            <w:pPr>
              <w:spacing w:after="0" w:line="240" w:lineRule="auto"/>
              <w:ind w:right="43"/>
              <w:jc w:val="both"/>
              <w:rPr>
                <w:rFonts w:ascii="Times New Roman" w:eastAsia="Times New Roman" w:hAnsi="Times New Roman"/>
                <w:b/>
                <w:sz w:val="24"/>
                <w:szCs w:val="24"/>
                <w:lang w:eastAsia="lv-LV"/>
              </w:rPr>
            </w:pPr>
          </w:p>
          <w:p w:rsidR="00CA4607" w:rsidRPr="00D35669" w:rsidRDefault="00CA4607" w:rsidP="00487F8B">
            <w:pPr>
              <w:spacing w:after="0" w:line="240" w:lineRule="auto"/>
              <w:ind w:right="43"/>
              <w:jc w:val="center"/>
              <w:rPr>
                <w:rFonts w:ascii="Times New Roman" w:eastAsia="Times New Roman" w:hAnsi="Times New Roman"/>
                <w:b/>
                <w:sz w:val="24"/>
                <w:szCs w:val="24"/>
                <w:lang w:eastAsia="lv-LV"/>
              </w:rPr>
            </w:pPr>
            <w:r w:rsidRPr="00D35669">
              <w:rPr>
                <w:rFonts w:ascii="Times New Roman" w:eastAsia="Times New Roman" w:hAnsi="Times New Roman"/>
                <w:b/>
                <w:sz w:val="24"/>
                <w:szCs w:val="24"/>
                <w:lang w:eastAsia="lv-LV"/>
              </w:rPr>
              <w:t>Finanšu ministrijas pamatojums:</w:t>
            </w:r>
          </w:p>
        </w:tc>
      </w:tr>
      <w:tr w:rsidR="001044B2" w:rsidRPr="00D35669" w:rsidTr="001044B2">
        <w:tc>
          <w:tcPr>
            <w:tcW w:w="2405" w:type="dxa"/>
            <w:shd w:val="clear" w:color="auto" w:fill="auto"/>
          </w:tcPr>
          <w:p w:rsidR="001044B2" w:rsidRPr="00D35669" w:rsidRDefault="001044B2" w:rsidP="001044B2">
            <w:pPr>
              <w:pStyle w:val="tvhtmlmktable"/>
              <w:spacing w:before="0" w:beforeAutospacing="0" w:after="0" w:afterAutospacing="0"/>
              <w:jc w:val="both"/>
              <w:rPr>
                <w:u w:val="single"/>
                <w:lang w:val="lv-LV"/>
              </w:rPr>
            </w:pPr>
            <w:r w:rsidRPr="00D35669">
              <w:rPr>
                <w:u w:val="single"/>
                <w:lang w:val="lv-LV"/>
              </w:rPr>
              <w:t>Ieteikums:</w:t>
            </w:r>
          </w:p>
          <w:p w:rsidR="001044B2" w:rsidRPr="00D35669" w:rsidRDefault="001044B2" w:rsidP="001044B2">
            <w:pPr>
              <w:pStyle w:val="tvhtmlmktable"/>
              <w:spacing w:before="0" w:beforeAutospacing="0" w:after="0" w:afterAutospacing="0"/>
              <w:jc w:val="both"/>
              <w:rPr>
                <w:u w:val="single"/>
                <w:lang w:val="lv-LV"/>
              </w:rPr>
            </w:pPr>
            <w:r w:rsidRPr="00D35669">
              <w:rPr>
                <w:lang w:val="lv-LV"/>
              </w:rPr>
              <w:t>Finanšu ministrijai sadarbībā ar Ekonomikas ministriju un Būvniecības valsts kontroles biroju pilnveidot būvkomersantu reģistrēšanas nodevas samaksas kontroli, lai uzraugošā un valsts nodevu administrējošā iestāde spētu pārliecināties, ka visi būvkomersanti reģistrējas, sniedz patiesu informāciju un nodevu samaksā atbilstoši normatīvajam aktam.</w:t>
            </w:r>
          </w:p>
          <w:p w:rsidR="001044B2" w:rsidRPr="00D35669" w:rsidRDefault="001044B2" w:rsidP="00171408">
            <w:pPr>
              <w:spacing w:after="0" w:line="240" w:lineRule="auto"/>
              <w:ind w:right="43"/>
              <w:jc w:val="both"/>
              <w:rPr>
                <w:rFonts w:ascii="Times New Roman" w:eastAsia="Times New Roman" w:hAnsi="Times New Roman"/>
                <w:b/>
                <w:color w:val="000000"/>
                <w:sz w:val="24"/>
                <w:szCs w:val="24"/>
                <w:lang w:eastAsia="lv-LV"/>
              </w:rPr>
            </w:pPr>
          </w:p>
        </w:tc>
        <w:tc>
          <w:tcPr>
            <w:tcW w:w="6804" w:type="dxa"/>
            <w:shd w:val="clear" w:color="auto" w:fill="auto"/>
          </w:tcPr>
          <w:p w:rsidR="000178AE" w:rsidRPr="00D35669" w:rsidRDefault="000178AE" w:rsidP="000178AE">
            <w:pPr>
              <w:spacing w:after="0" w:line="240" w:lineRule="auto"/>
              <w:ind w:right="43"/>
              <w:jc w:val="both"/>
              <w:rPr>
                <w:rFonts w:ascii="Times New Roman" w:eastAsia="Times New Roman" w:hAnsi="Times New Roman"/>
                <w:sz w:val="24"/>
                <w:szCs w:val="24"/>
                <w:lang w:eastAsia="lv-LV"/>
              </w:rPr>
            </w:pPr>
            <w:r w:rsidRPr="00D35669">
              <w:rPr>
                <w:rFonts w:ascii="Times New Roman" w:eastAsia="Times New Roman" w:hAnsi="Times New Roman"/>
                <w:sz w:val="24"/>
                <w:szCs w:val="24"/>
                <w:lang w:eastAsia="lv-LV"/>
              </w:rPr>
              <w:t xml:space="preserve">Finanšu ministrija iebilst pret </w:t>
            </w:r>
            <w:r w:rsidR="00F46415" w:rsidRPr="00D35669">
              <w:rPr>
                <w:rFonts w:ascii="Times New Roman" w:eastAsia="Times New Roman" w:hAnsi="Times New Roman"/>
                <w:sz w:val="24"/>
                <w:szCs w:val="24"/>
                <w:lang w:eastAsia="lv-LV"/>
              </w:rPr>
              <w:t xml:space="preserve">sniegto ieteikumu </w:t>
            </w:r>
            <w:r w:rsidRPr="00D35669">
              <w:rPr>
                <w:rFonts w:ascii="Times New Roman" w:eastAsia="Times New Roman" w:hAnsi="Times New Roman"/>
                <w:sz w:val="24"/>
                <w:szCs w:val="24"/>
                <w:lang w:eastAsia="lv-LV"/>
              </w:rPr>
              <w:t>, kas paredz Finanšu ministrijai sadarbībā ar Ekonomikas ministriju un Būvniecības valsts kontroles biroju pilnveidot būvkomersantu reģistrēšanas nodevas samaksas kontroli, lai uzraugošā un valsts nodevu administrējošā iestāde spētu pārliecināties, ka visi būvkomersanti reģistrējas, sniedz patiesu informāciju un nodevu samaksā atbilstoši normatīvajam aktam.</w:t>
            </w:r>
          </w:p>
          <w:p w:rsidR="000178AE" w:rsidRPr="00D35669" w:rsidRDefault="000178AE" w:rsidP="000178AE">
            <w:pPr>
              <w:spacing w:after="0" w:line="240" w:lineRule="auto"/>
              <w:ind w:right="43"/>
              <w:jc w:val="both"/>
              <w:rPr>
                <w:rFonts w:ascii="Times New Roman" w:eastAsia="Times New Roman" w:hAnsi="Times New Roman"/>
                <w:sz w:val="24"/>
                <w:szCs w:val="24"/>
                <w:lang w:eastAsia="lv-LV"/>
              </w:rPr>
            </w:pPr>
            <w:r w:rsidRPr="00D35669">
              <w:rPr>
                <w:rFonts w:ascii="Times New Roman" w:eastAsia="Times New Roman" w:hAnsi="Times New Roman"/>
                <w:sz w:val="24"/>
                <w:szCs w:val="24"/>
                <w:lang w:eastAsia="lv-LV"/>
              </w:rPr>
              <w:t xml:space="preserve">Valsts nodevas mērķis ir regulēt personu darbību, to kontrolējot, veicinot vai ierobežojot. Tātad, valsts nodeva kā maksājums par valsts vai pašvaldības institūcijas veicamo darbību cita starpā tiek noteikts, lai ierobežotu (vai veicinātu) to personu skaitu, kas vēlas veikt darbību konkrētajā nozarē. Tādējādi valsts nodeva ir uzskatāma par vienu no instrumentiem, ar kura palīdzību tiek īstenota konkrētās nozares politika. </w:t>
            </w:r>
          </w:p>
          <w:p w:rsidR="000178AE" w:rsidRPr="00D35669" w:rsidRDefault="000178AE" w:rsidP="000178AE">
            <w:pPr>
              <w:spacing w:after="0" w:line="240" w:lineRule="auto"/>
              <w:ind w:right="43"/>
              <w:jc w:val="both"/>
              <w:rPr>
                <w:rFonts w:ascii="Times New Roman" w:eastAsia="Times New Roman" w:hAnsi="Times New Roman"/>
                <w:sz w:val="24"/>
                <w:szCs w:val="24"/>
                <w:lang w:eastAsia="lv-LV"/>
              </w:rPr>
            </w:pPr>
            <w:r w:rsidRPr="00D35669">
              <w:rPr>
                <w:rFonts w:ascii="Times New Roman" w:eastAsia="Times New Roman" w:hAnsi="Times New Roman"/>
                <w:sz w:val="24"/>
                <w:szCs w:val="24"/>
                <w:lang w:eastAsia="lv-LV"/>
              </w:rPr>
              <w:t xml:space="preserve">Lai arī atbalstām, ka ir nepieciešams novērst Valsts kontroles konstatētos trūkumus un pilnveidot būvkomersantu reģistrēšanas nodevas samaksas kontroli, tomēr, ņemot vērā, ka būvkomersantu reģistrēšanas nodeva ir attiecināma uz būvniecības nozares politiku, par kuras izstrādi un īstenošanu saskaņā ar Ministru kabineta 2010.gada 23.marta noteikumu Nr.271 “Ekonomikas ministrijas nolikums” 5.3.4.apakšpunktu ir atbildīga Ekonomikas ministrija, </w:t>
            </w:r>
            <w:r w:rsidRPr="00D35669">
              <w:rPr>
                <w:rFonts w:ascii="Times New Roman" w:eastAsia="Times New Roman" w:hAnsi="Times New Roman"/>
                <w:sz w:val="24"/>
                <w:szCs w:val="24"/>
                <w:lang w:eastAsia="lv-LV"/>
              </w:rPr>
              <w:lastRenderedPageBreak/>
              <w:t xml:space="preserve">attiecīgi tikai Ekonomikas ministrija var būt noteikta kā atbildīgā par Valsts kontroles sniegtā ieteikuma ieviešanu. </w:t>
            </w:r>
          </w:p>
          <w:p w:rsidR="001044B2" w:rsidRDefault="000178AE" w:rsidP="000178AE">
            <w:pPr>
              <w:spacing w:after="0" w:line="240" w:lineRule="auto"/>
              <w:ind w:right="43"/>
              <w:jc w:val="both"/>
              <w:rPr>
                <w:rFonts w:ascii="Times New Roman" w:eastAsia="Times New Roman" w:hAnsi="Times New Roman"/>
                <w:sz w:val="24"/>
                <w:szCs w:val="24"/>
                <w:lang w:eastAsia="lv-LV"/>
              </w:rPr>
            </w:pPr>
            <w:r w:rsidRPr="00D35669">
              <w:rPr>
                <w:rFonts w:ascii="Times New Roman" w:eastAsia="Times New Roman" w:hAnsi="Times New Roman"/>
                <w:sz w:val="24"/>
                <w:szCs w:val="24"/>
                <w:lang w:eastAsia="lv-LV"/>
              </w:rPr>
              <w:t xml:space="preserve">Savukārt, ņemot vērā, ka viens no Valsts kontroles konstatētajiem trūkumiem ir saistīts ar to, ka ne visos gadījumos gada pārskatā tiek sniegta nepieciešamā informācija, lai varētu identificēt būvniecības pakalpojumu ieņēmumus un līdz ar to gūt ticamu informāciju par nodevas apmēra samazinājuma </w:t>
            </w:r>
            <w:r w:rsidR="007E47F8">
              <w:rPr>
                <w:rFonts w:ascii="Times New Roman" w:eastAsia="Times New Roman" w:hAnsi="Times New Roman"/>
                <w:sz w:val="24"/>
                <w:szCs w:val="24"/>
                <w:lang w:eastAsia="lv-LV"/>
              </w:rPr>
              <w:t xml:space="preserve">pamatotību, Finanšu ministrija </w:t>
            </w:r>
            <w:r w:rsidRPr="00D35669">
              <w:rPr>
                <w:rFonts w:ascii="Times New Roman" w:eastAsia="Times New Roman" w:hAnsi="Times New Roman"/>
                <w:sz w:val="24"/>
                <w:szCs w:val="24"/>
                <w:lang w:eastAsia="lv-LV"/>
              </w:rPr>
              <w:t xml:space="preserve"> nepieciešamības gadījumā var iesaistīties tikai ieteikuma ieviešanas procesā attiecībā uz minētā trūkuma novēršanu.</w:t>
            </w:r>
          </w:p>
          <w:p w:rsidR="00A04DE2" w:rsidRPr="008C2170" w:rsidRDefault="00A04DE2" w:rsidP="008C2170">
            <w:pPr>
              <w:pStyle w:val="tvhtmlmktable"/>
              <w:spacing w:before="0" w:beforeAutospacing="0" w:after="0" w:afterAutospacing="0"/>
              <w:jc w:val="both"/>
              <w:rPr>
                <w:u w:val="single"/>
                <w:lang w:val="lv-LV"/>
              </w:rPr>
            </w:pPr>
            <w:r w:rsidRPr="00A04DE2">
              <w:rPr>
                <w:lang w:val="lv-LV" w:eastAsia="lv-LV"/>
              </w:rPr>
              <w:t xml:space="preserve">Atbilstoši Ministru kabineta </w:t>
            </w:r>
            <w:proofErr w:type="spellStart"/>
            <w:r w:rsidRPr="00A04DE2">
              <w:rPr>
                <w:lang w:val="lv-LV" w:eastAsia="lv-LV"/>
              </w:rPr>
              <w:t>protokollēmumā</w:t>
            </w:r>
            <w:proofErr w:type="spellEnd"/>
            <w:r w:rsidRPr="00A04DE2">
              <w:rPr>
                <w:lang w:val="lv-LV" w:eastAsia="lv-LV"/>
              </w:rPr>
              <w:t xml:space="preserve"> dotajam uzdevumam, Ekonomikas ministrija sadarbībā ar Būvniecības valsts kontroles biroju pilnveidos </w:t>
            </w:r>
            <w:r w:rsidRPr="00D35669">
              <w:rPr>
                <w:lang w:val="lv-LV"/>
              </w:rPr>
              <w:t>būvkomersantu reģistrēšanas nodevas samaksas kontroli, lai uzraugošā un valsts nodevu administrējošā iestāde spētu pārliecināties, ka visi būvkomersanti reģistrējas, sniedz patiesu informāciju un nodevu samaksā atbilstoši normatīvajam aktam.</w:t>
            </w:r>
          </w:p>
        </w:tc>
      </w:tr>
      <w:tr w:rsidR="00AD74B5" w:rsidRPr="00D35669" w:rsidTr="00D00FDE">
        <w:trPr>
          <w:trHeight w:val="7467"/>
        </w:trPr>
        <w:tc>
          <w:tcPr>
            <w:tcW w:w="2405" w:type="dxa"/>
          </w:tcPr>
          <w:p w:rsidR="00AD74B5" w:rsidRPr="00D35669" w:rsidRDefault="00AD74B5" w:rsidP="00AD74B5">
            <w:pPr>
              <w:pStyle w:val="tvhtmlmktable"/>
              <w:spacing w:before="0" w:beforeAutospacing="0" w:after="0" w:afterAutospacing="0"/>
              <w:jc w:val="both"/>
              <w:rPr>
                <w:u w:val="single"/>
                <w:lang w:val="lv-LV"/>
              </w:rPr>
            </w:pPr>
            <w:r w:rsidRPr="00D35669">
              <w:rPr>
                <w:u w:val="single"/>
                <w:lang w:val="lv-LV"/>
              </w:rPr>
              <w:lastRenderedPageBreak/>
              <w:t>Ieteikums:</w:t>
            </w:r>
          </w:p>
          <w:p w:rsidR="00AD74B5" w:rsidRPr="00D35669" w:rsidRDefault="00AD74B5" w:rsidP="00AD74B5">
            <w:pPr>
              <w:pStyle w:val="tvhtmlmktable"/>
              <w:spacing w:before="0" w:beforeAutospacing="0" w:after="0" w:afterAutospacing="0"/>
              <w:jc w:val="both"/>
              <w:rPr>
                <w:lang w:val="lv-LV"/>
              </w:rPr>
            </w:pPr>
            <w:r w:rsidRPr="00D35669">
              <w:rPr>
                <w:lang w:val="lv-LV"/>
              </w:rPr>
              <w:t>Lai nodrošinātu, ka Saimnieciskā gada pārskatā tiek atklāta pilnīga un patiesa informācija par iespējamajām saistībām, Finanšu ministrijai izvērtēt un atklāt Saimnieciskā gada pārskatā Latvijas iespējamās saistības, kas izriet no Latvijas dalības starptautiskajās organizācijās.</w:t>
            </w:r>
          </w:p>
          <w:p w:rsidR="00AD74B5" w:rsidRPr="00D35669" w:rsidRDefault="00AD74B5" w:rsidP="00AD74B5">
            <w:pPr>
              <w:pStyle w:val="tvhtmlmktable"/>
              <w:spacing w:before="0" w:beforeAutospacing="0" w:after="0" w:afterAutospacing="0"/>
              <w:jc w:val="both"/>
              <w:rPr>
                <w:lang w:val="lv-LV"/>
              </w:rPr>
            </w:pPr>
          </w:p>
          <w:p w:rsidR="00AD74B5" w:rsidRPr="00D35669" w:rsidRDefault="00AD74B5" w:rsidP="00AD74B5">
            <w:pPr>
              <w:pStyle w:val="tvhtmlmktable"/>
              <w:spacing w:before="0" w:beforeAutospacing="0" w:after="0" w:afterAutospacing="0"/>
              <w:jc w:val="both"/>
              <w:rPr>
                <w:u w:val="single"/>
                <w:lang w:val="lv-LV"/>
              </w:rPr>
            </w:pPr>
            <w:r w:rsidRPr="00D35669">
              <w:rPr>
                <w:u w:val="single"/>
                <w:lang w:val="lv-LV"/>
              </w:rPr>
              <w:t>Ierosinātās darbības ieteikuma ieviešanai:</w:t>
            </w:r>
          </w:p>
          <w:p w:rsidR="00AD74B5" w:rsidRPr="00D35669" w:rsidRDefault="00AD74B5" w:rsidP="00AD74B5">
            <w:pPr>
              <w:pStyle w:val="ListParagraph"/>
              <w:tabs>
                <w:tab w:val="left" w:pos="454"/>
              </w:tabs>
              <w:ind w:left="0"/>
              <w:contextualSpacing/>
              <w:jc w:val="both"/>
              <w:rPr>
                <w:rFonts w:eastAsia="Times New Roman"/>
              </w:rPr>
            </w:pPr>
            <w:r w:rsidRPr="00D35669">
              <w:t>Tiks papildinātas vadlīnijas ar iespējamo saistību uzskaiti, kas izriet no Latvijas dalības starptautiskajās organizācijās.</w:t>
            </w:r>
          </w:p>
        </w:tc>
        <w:tc>
          <w:tcPr>
            <w:tcW w:w="6804" w:type="dxa"/>
          </w:tcPr>
          <w:p w:rsidR="00D80771" w:rsidRPr="00D35669" w:rsidRDefault="00D80771" w:rsidP="00D80771">
            <w:pPr>
              <w:pStyle w:val="tvhtmlmktable"/>
              <w:spacing w:before="0" w:beforeAutospacing="0" w:after="0" w:afterAutospacing="0"/>
              <w:jc w:val="both"/>
              <w:rPr>
                <w:lang w:val="lv-LV"/>
              </w:rPr>
            </w:pPr>
            <w:r w:rsidRPr="00D35669">
              <w:rPr>
                <w:lang w:val="lv-LV"/>
              </w:rPr>
              <w:t xml:space="preserve">Finanšu ministrija ir atbildīga par Saimnieciskā gada pārskatā atklājamo informāciju, tajā skaitā par iespējamo saistību, kas izriet no dalības starptautiskajās organizācijās, atklāšanu. Valsts kontroles ieteikums paredz kārtības izveidi, kādā nodrošināms, lai tiktu sniegta patiesa un ticama informācija par valsts finansiālo stāvokli - izvērtētas iespējamās saistības un to ietekme uz valsts budžetu. </w:t>
            </w:r>
          </w:p>
          <w:p w:rsidR="00D80771" w:rsidRPr="00D35669" w:rsidRDefault="00D80771" w:rsidP="00D80771">
            <w:pPr>
              <w:pStyle w:val="tvhtmlmktable"/>
              <w:spacing w:before="0" w:beforeAutospacing="0" w:after="0" w:afterAutospacing="0"/>
              <w:jc w:val="both"/>
              <w:rPr>
                <w:lang w:val="lv-LV"/>
              </w:rPr>
            </w:pPr>
            <w:r w:rsidRPr="00D35669">
              <w:rPr>
                <w:lang w:val="lv-LV"/>
              </w:rPr>
              <w:t xml:space="preserve">Finanšu ministrija izveidojot iespējamo saistību apjoma </w:t>
            </w:r>
            <w:proofErr w:type="spellStart"/>
            <w:r w:rsidRPr="00D35669">
              <w:rPr>
                <w:lang w:val="lv-LV"/>
              </w:rPr>
              <w:t>izvērtējuma</w:t>
            </w:r>
            <w:proofErr w:type="spellEnd"/>
            <w:r w:rsidRPr="00D35669">
              <w:rPr>
                <w:lang w:val="lv-LV"/>
              </w:rPr>
              <w:t xml:space="preserve"> kārtību, ļautu noteikt kritērijus, pēc kādiem vērtējami finansiālie riski</w:t>
            </w:r>
            <w:r w:rsidR="00494713">
              <w:rPr>
                <w:lang w:val="lv-LV"/>
              </w:rPr>
              <w:t xml:space="preserve"> un informācija par iespējamām saistībām iekļaujama atbildīgās institūcijas gada pārskatā.</w:t>
            </w:r>
          </w:p>
          <w:p w:rsidR="0031508D" w:rsidRPr="00D35669" w:rsidRDefault="00D80771" w:rsidP="00494713">
            <w:pPr>
              <w:pStyle w:val="tvhtmlmktable"/>
              <w:spacing w:before="0" w:beforeAutospacing="0" w:after="0" w:afterAutospacing="0"/>
              <w:jc w:val="both"/>
              <w:rPr>
                <w:lang w:val="lv-LV"/>
              </w:rPr>
            </w:pPr>
            <w:r w:rsidRPr="00D35669">
              <w:rPr>
                <w:lang w:val="lv-LV"/>
              </w:rPr>
              <w:t xml:space="preserve">Par dalības nodrošināšanu katras starptautiskās organizācijas darbā, ka arī par iespējamo saistību novērtējumu, ņemot vērā nozares un starptautiskās organizācijas specifiku un fiskālo risku nozīmīgumu, atbild tā kompetentā Latvijas institūcija, kura ierosinājusi iestāšanos tajā un veic dalībvalsts ikgadējo iemaksu. Atbildīgā institūcija seko arī starpvaldību sarunām par finanšu saistībām un budžeta izmaiņām attiecīgajā organizācijā. Tādēļ atbilstoši Ministru kabineta </w:t>
            </w:r>
            <w:proofErr w:type="spellStart"/>
            <w:r w:rsidRPr="00D35669">
              <w:rPr>
                <w:lang w:val="lv-LV"/>
              </w:rPr>
              <w:t>protokollēmumā</w:t>
            </w:r>
            <w:proofErr w:type="spellEnd"/>
            <w:r w:rsidRPr="00D35669">
              <w:rPr>
                <w:lang w:val="lv-LV"/>
              </w:rPr>
              <w:t xml:space="preserve"> dotajam uzdevumam, visas ministrijas un citas centrālās valsts iestādes līdz </w:t>
            </w:r>
            <w:r w:rsidRPr="00D35669">
              <w:rPr>
                <w:u w:val="single"/>
                <w:lang w:val="lv-LV"/>
              </w:rPr>
              <w:t>2020.gada 15.decembrim</w:t>
            </w:r>
            <w:r w:rsidRPr="00D35669">
              <w:rPr>
                <w:lang w:val="lv-LV"/>
              </w:rPr>
              <w:t xml:space="preserve"> savā mājas lapā publicēs informāciju par attiecīgas ministrijas kompetencē esošajām starptautiskajām organizācijām, kurās Latvija ir dalībvalsts, un turpmāk katru gadu līdz kārtējā gada 15.decembrim nodrošinās minētā saraksta aktualizāciju. K</w:t>
            </w:r>
            <w:r w:rsidR="00494713">
              <w:rPr>
                <w:lang w:val="lv-LV"/>
              </w:rPr>
              <w:t>ā</w:t>
            </w:r>
            <w:r w:rsidRPr="00D35669">
              <w:rPr>
                <w:lang w:val="lv-LV"/>
              </w:rPr>
              <w:t xml:space="preserve"> arī, pirms iestāšanās starptautiskajās institūcijās, attiecīgā nozares ministrija, gatavojot attiecīgo informatīvo ziņojumu Ministru kabinetam, tajā iekļaus iespējamā saistību apjoma </w:t>
            </w:r>
            <w:proofErr w:type="spellStart"/>
            <w:r w:rsidRPr="00D35669">
              <w:rPr>
                <w:lang w:val="lv-LV"/>
              </w:rPr>
              <w:t>izvērtējumu</w:t>
            </w:r>
            <w:proofErr w:type="spellEnd"/>
            <w:r w:rsidRPr="00D35669">
              <w:rPr>
                <w:lang w:val="lv-LV"/>
              </w:rPr>
              <w:t>, ņemot vērā konkrētās nozares un starptautiskās organizācijas specifiku un fiskālo risku nozīmīgumu.</w:t>
            </w:r>
          </w:p>
        </w:tc>
      </w:tr>
    </w:tbl>
    <w:p w:rsidR="00CA4607" w:rsidRPr="00D35669" w:rsidRDefault="00CA4607" w:rsidP="00D83115">
      <w:pPr>
        <w:pStyle w:val="tvhtmlmktable"/>
        <w:spacing w:before="0" w:beforeAutospacing="0" w:after="0" w:afterAutospacing="0"/>
        <w:ind w:right="-99" w:firstLine="709"/>
        <w:jc w:val="both"/>
        <w:rPr>
          <w:sz w:val="16"/>
          <w:szCs w:val="16"/>
          <w:lang w:val="lv-LV"/>
        </w:rPr>
      </w:pPr>
    </w:p>
    <w:p w:rsidR="00D83115" w:rsidRPr="00D35669" w:rsidRDefault="00764BAA" w:rsidP="000D6050">
      <w:pPr>
        <w:tabs>
          <w:tab w:val="left" w:pos="313"/>
        </w:tabs>
        <w:spacing w:before="120" w:after="120" w:line="240" w:lineRule="auto"/>
        <w:ind w:right="45"/>
        <w:jc w:val="both"/>
        <w:rPr>
          <w:rFonts w:ascii="Times New Roman" w:hAnsi="Times New Roman"/>
          <w:bCs/>
          <w:sz w:val="24"/>
          <w:szCs w:val="24"/>
        </w:rPr>
      </w:pPr>
      <w:r w:rsidRPr="00D35669">
        <w:rPr>
          <w:rFonts w:ascii="Times New Roman" w:hAnsi="Times New Roman"/>
          <w:sz w:val="24"/>
          <w:szCs w:val="24"/>
        </w:rPr>
        <w:tab/>
      </w:r>
      <w:r w:rsidRPr="00D35669">
        <w:rPr>
          <w:rFonts w:ascii="Times New Roman" w:hAnsi="Times New Roman"/>
          <w:sz w:val="24"/>
          <w:szCs w:val="24"/>
        </w:rPr>
        <w:tab/>
      </w:r>
      <w:r w:rsidR="00D83115" w:rsidRPr="00D35669">
        <w:rPr>
          <w:rFonts w:ascii="Times New Roman" w:hAnsi="Times New Roman"/>
          <w:bCs/>
          <w:sz w:val="24"/>
          <w:szCs w:val="24"/>
        </w:rPr>
        <w:t>Finanšu ministr</w:t>
      </w:r>
      <w:r w:rsidR="00722091" w:rsidRPr="00D35669">
        <w:rPr>
          <w:rFonts w:ascii="Times New Roman" w:hAnsi="Times New Roman"/>
          <w:bCs/>
          <w:sz w:val="24"/>
          <w:szCs w:val="24"/>
        </w:rPr>
        <w:t>s</w:t>
      </w:r>
      <w:r w:rsidR="00D83115" w:rsidRPr="00D35669">
        <w:rPr>
          <w:rFonts w:ascii="Times New Roman" w:hAnsi="Times New Roman"/>
          <w:bCs/>
          <w:sz w:val="24"/>
          <w:szCs w:val="24"/>
        </w:rPr>
        <w:tab/>
      </w:r>
      <w:r w:rsidR="00D83115" w:rsidRPr="00D35669">
        <w:rPr>
          <w:rFonts w:ascii="Times New Roman" w:hAnsi="Times New Roman"/>
          <w:bCs/>
          <w:sz w:val="24"/>
          <w:szCs w:val="24"/>
        </w:rPr>
        <w:tab/>
      </w:r>
      <w:r w:rsidR="00D83115" w:rsidRPr="00D35669">
        <w:rPr>
          <w:rFonts w:ascii="Times New Roman" w:hAnsi="Times New Roman"/>
          <w:bCs/>
          <w:sz w:val="24"/>
          <w:szCs w:val="24"/>
        </w:rPr>
        <w:tab/>
        <w:t xml:space="preserve"> </w:t>
      </w:r>
      <w:r w:rsidR="00D83115" w:rsidRPr="00D35669">
        <w:rPr>
          <w:rFonts w:ascii="Times New Roman" w:hAnsi="Times New Roman"/>
          <w:bCs/>
          <w:sz w:val="24"/>
          <w:szCs w:val="24"/>
        </w:rPr>
        <w:tab/>
      </w:r>
      <w:r w:rsidR="00D83115" w:rsidRPr="00D35669">
        <w:rPr>
          <w:rFonts w:ascii="Times New Roman" w:hAnsi="Times New Roman"/>
          <w:bCs/>
          <w:sz w:val="24"/>
          <w:szCs w:val="24"/>
        </w:rPr>
        <w:tab/>
      </w:r>
      <w:r w:rsidR="00D83115" w:rsidRPr="00D35669">
        <w:rPr>
          <w:rFonts w:ascii="Times New Roman" w:hAnsi="Times New Roman"/>
          <w:bCs/>
          <w:sz w:val="24"/>
          <w:szCs w:val="24"/>
        </w:rPr>
        <w:tab/>
        <w:t xml:space="preserve">         </w:t>
      </w:r>
      <w:r w:rsidR="00D83115" w:rsidRPr="00D35669">
        <w:rPr>
          <w:rFonts w:ascii="Times New Roman" w:hAnsi="Times New Roman"/>
          <w:bCs/>
          <w:sz w:val="24"/>
          <w:szCs w:val="24"/>
        </w:rPr>
        <w:tab/>
      </w:r>
      <w:r w:rsidR="00D83115" w:rsidRPr="00D35669">
        <w:rPr>
          <w:rFonts w:ascii="Times New Roman" w:hAnsi="Times New Roman"/>
          <w:bCs/>
          <w:sz w:val="24"/>
          <w:szCs w:val="24"/>
        </w:rPr>
        <w:tab/>
      </w:r>
      <w:proofErr w:type="spellStart"/>
      <w:r w:rsidR="00722091" w:rsidRPr="00D35669">
        <w:rPr>
          <w:rFonts w:ascii="Times New Roman" w:hAnsi="Times New Roman"/>
          <w:bCs/>
          <w:sz w:val="24"/>
          <w:szCs w:val="24"/>
        </w:rPr>
        <w:t>J.Reirs</w:t>
      </w:r>
      <w:proofErr w:type="spellEnd"/>
    </w:p>
    <w:p w:rsidR="00D83115" w:rsidRPr="00D35669" w:rsidRDefault="00D83115" w:rsidP="00D83115">
      <w:pPr>
        <w:spacing w:after="0" w:line="240" w:lineRule="auto"/>
        <w:ind w:right="43"/>
        <w:jc w:val="both"/>
        <w:rPr>
          <w:rFonts w:ascii="Times New Roman" w:hAnsi="Times New Roman"/>
          <w:bCs/>
          <w:sz w:val="24"/>
          <w:szCs w:val="24"/>
        </w:rPr>
      </w:pPr>
    </w:p>
    <w:p w:rsidR="00D83115" w:rsidRPr="00D35669" w:rsidRDefault="00D83115" w:rsidP="00D83115">
      <w:pPr>
        <w:spacing w:after="0" w:line="240" w:lineRule="auto"/>
        <w:ind w:right="43"/>
        <w:jc w:val="both"/>
        <w:rPr>
          <w:rFonts w:ascii="Times New Roman" w:hAnsi="Times New Roman"/>
          <w:bCs/>
          <w:sz w:val="24"/>
          <w:szCs w:val="24"/>
        </w:rPr>
      </w:pPr>
    </w:p>
    <w:p w:rsidR="00D83115" w:rsidRPr="00D35669" w:rsidRDefault="00722091" w:rsidP="00D83115">
      <w:pPr>
        <w:spacing w:after="0" w:line="240" w:lineRule="auto"/>
        <w:ind w:right="43"/>
        <w:jc w:val="both"/>
        <w:rPr>
          <w:rFonts w:ascii="Times New Roman" w:eastAsia="Times New Roman" w:hAnsi="Times New Roman"/>
          <w:sz w:val="20"/>
          <w:szCs w:val="20"/>
        </w:rPr>
      </w:pPr>
      <w:proofErr w:type="spellStart"/>
      <w:r w:rsidRPr="00D35669">
        <w:rPr>
          <w:rFonts w:ascii="Times New Roman" w:eastAsia="Times New Roman" w:hAnsi="Times New Roman"/>
          <w:sz w:val="20"/>
          <w:szCs w:val="20"/>
        </w:rPr>
        <w:t>Grossmane</w:t>
      </w:r>
      <w:proofErr w:type="spellEnd"/>
      <w:r w:rsidR="00D83115" w:rsidRPr="00D35669">
        <w:rPr>
          <w:rFonts w:ascii="Times New Roman" w:eastAsia="Times New Roman" w:hAnsi="Times New Roman"/>
          <w:sz w:val="20"/>
          <w:szCs w:val="20"/>
        </w:rPr>
        <w:t>, 670</w:t>
      </w:r>
      <w:r w:rsidRPr="00D35669">
        <w:rPr>
          <w:rFonts w:ascii="Times New Roman" w:eastAsia="Times New Roman" w:hAnsi="Times New Roman"/>
          <w:sz w:val="20"/>
          <w:szCs w:val="20"/>
        </w:rPr>
        <w:t>95660</w:t>
      </w:r>
    </w:p>
    <w:p w:rsidR="00D942DC" w:rsidRPr="005B5591" w:rsidRDefault="00722091" w:rsidP="005B5591">
      <w:pPr>
        <w:spacing w:after="0" w:line="240" w:lineRule="auto"/>
        <w:ind w:right="43"/>
        <w:jc w:val="both"/>
        <w:rPr>
          <w:rFonts w:ascii="Times New Roman" w:eastAsia="Times New Roman" w:hAnsi="Times New Roman"/>
          <w:sz w:val="20"/>
          <w:szCs w:val="20"/>
        </w:rPr>
      </w:pPr>
      <w:r w:rsidRPr="00D35669">
        <w:rPr>
          <w:rFonts w:ascii="Times New Roman" w:eastAsia="Times New Roman" w:hAnsi="Times New Roman"/>
          <w:sz w:val="20"/>
          <w:szCs w:val="20"/>
        </w:rPr>
        <w:t>jelena.grossmane</w:t>
      </w:r>
      <w:r w:rsidR="00D83115" w:rsidRPr="00D35669">
        <w:rPr>
          <w:rFonts w:ascii="Times New Roman" w:eastAsia="Times New Roman" w:hAnsi="Times New Roman"/>
          <w:sz w:val="20"/>
          <w:szCs w:val="20"/>
        </w:rPr>
        <w:t>@fm.gov.lv</w:t>
      </w:r>
    </w:p>
    <w:sectPr w:rsidR="00D942DC" w:rsidRPr="005B5591" w:rsidSect="0061162F">
      <w:headerReference w:type="default" r:id="rId8"/>
      <w:footerReference w:type="default" r:id="rId9"/>
      <w:footerReference w:type="first" r:id="rId10"/>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4FB" w:rsidRDefault="00C704FB" w:rsidP="00D83115">
      <w:pPr>
        <w:spacing w:after="0" w:line="240" w:lineRule="auto"/>
      </w:pPr>
      <w:r>
        <w:separator/>
      </w:r>
    </w:p>
  </w:endnote>
  <w:endnote w:type="continuationSeparator" w:id="0">
    <w:p w:rsidR="00C704FB" w:rsidRDefault="00C704FB" w:rsidP="00D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671064"/>
      <w:docPartObj>
        <w:docPartGallery w:val="Page Numbers (Bottom of Page)"/>
        <w:docPartUnique/>
      </w:docPartObj>
    </w:sdtPr>
    <w:sdtEndPr>
      <w:rPr>
        <w:rFonts w:ascii="Times New Roman" w:hAnsi="Times New Roman"/>
        <w:noProof/>
      </w:rPr>
    </w:sdtEndPr>
    <w:sdtContent>
      <w:p w:rsidR="0061162F" w:rsidRDefault="0061162F" w:rsidP="0061162F">
        <w:pPr>
          <w:tabs>
            <w:tab w:val="center" w:pos="4153"/>
          </w:tabs>
          <w:spacing w:after="0" w:line="240" w:lineRule="auto"/>
        </w:pPr>
      </w:p>
      <w:p w:rsidR="0061162F" w:rsidRPr="009F521B" w:rsidRDefault="00D35669" w:rsidP="0061162F">
        <w:pPr>
          <w:tabs>
            <w:tab w:val="center" w:pos="4153"/>
          </w:tabs>
          <w:spacing w:after="0" w:line="240" w:lineRule="auto"/>
          <w:rPr>
            <w:rFonts w:ascii="Times New Roman" w:hAnsi="Times New Roman"/>
            <w:sz w:val="20"/>
            <w:szCs w:val="20"/>
          </w:rPr>
        </w:pPr>
        <w:r>
          <w:rPr>
            <w:rFonts w:ascii="Times New Roman" w:hAnsi="Times New Roman"/>
            <w:sz w:val="20"/>
            <w:szCs w:val="20"/>
          </w:rPr>
          <w:t>FMzin_30</w:t>
        </w:r>
        <w:r w:rsidR="00BC16C8">
          <w:rPr>
            <w:rFonts w:ascii="Times New Roman" w:hAnsi="Times New Roman"/>
            <w:sz w:val="20"/>
            <w:szCs w:val="20"/>
          </w:rPr>
          <w:t>0920</w:t>
        </w:r>
        <w:r w:rsidR="0096751E">
          <w:rPr>
            <w:rFonts w:ascii="Times New Roman" w:hAnsi="Times New Roman"/>
            <w:sz w:val="20"/>
            <w:szCs w:val="20"/>
          </w:rPr>
          <w:t>20</w:t>
        </w:r>
        <w:r w:rsidR="0061162F" w:rsidRPr="009F521B">
          <w:rPr>
            <w:rFonts w:ascii="Times New Roman" w:hAnsi="Times New Roman"/>
            <w:sz w:val="20"/>
            <w:szCs w:val="20"/>
          </w:rPr>
          <w:t>_info.docx</w:t>
        </w:r>
      </w:p>
      <w:p w:rsidR="00D83115" w:rsidRPr="006F5FFB" w:rsidRDefault="0061162F" w:rsidP="006F5FFB">
        <w:pPr>
          <w:pStyle w:val="Footer"/>
          <w:jc w:val="center"/>
          <w:rPr>
            <w:rFonts w:ascii="Times New Roman" w:hAnsi="Times New Roman"/>
          </w:rPr>
        </w:pPr>
        <w:r w:rsidRPr="0061162F">
          <w:rPr>
            <w:rFonts w:ascii="Times New Roman" w:hAnsi="Times New Roman"/>
          </w:rPr>
          <w:fldChar w:fldCharType="begin"/>
        </w:r>
        <w:r w:rsidRPr="0061162F">
          <w:rPr>
            <w:rFonts w:ascii="Times New Roman" w:hAnsi="Times New Roman"/>
          </w:rPr>
          <w:instrText xml:space="preserve"> PAGE   \* MERGEFORMAT </w:instrText>
        </w:r>
        <w:r w:rsidRPr="0061162F">
          <w:rPr>
            <w:rFonts w:ascii="Times New Roman" w:hAnsi="Times New Roman"/>
          </w:rPr>
          <w:fldChar w:fldCharType="separate"/>
        </w:r>
        <w:r w:rsidR="009713D8">
          <w:rPr>
            <w:rFonts w:ascii="Times New Roman" w:hAnsi="Times New Roman"/>
            <w:noProof/>
          </w:rPr>
          <w:t>3</w:t>
        </w:r>
        <w:r w:rsidRPr="0061162F">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62F" w:rsidRPr="0061162F" w:rsidRDefault="00D35669" w:rsidP="0061162F">
    <w:pPr>
      <w:tabs>
        <w:tab w:val="center" w:pos="4153"/>
      </w:tabs>
      <w:spacing w:after="0" w:line="240" w:lineRule="auto"/>
      <w:rPr>
        <w:rFonts w:ascii="Times New Roman" w:hAnsi="Times New Roman"/>
        <w:sz w:val="20"/>
        <w:szCs w:val="20"/>
      </w:rPr>
    </w:pPr>
    <w:r>
      <w:rPr>
        <w:rFonts w:ascii="Times New Roman" w:hAnsi="Times New Roman"/>
        <w:sz w:val="20"/>
        <w:szCs w:val="20"/>
      </w:rPr>
      <w:t>FMzin_30</w:t>
    </w:r>
    <w:r w:rsidR="00722091">
      <w:rPr>
        <w:rFonts w:ascii="Times New Roman" w:hAnsi="Times New Roman"/>
        <w:sz w:val="20"/>
        <w:szCs w:val="20"/>
      </w:rPr>
      <w:t>092020</w:t>
    </w:r>
    <w:r w:rsidR="0061162F" w:rsidRPr="0061162F">
      <w:rPr>
        <w:rFonts w:ascii="Times New Roman" w:hAnsi="Times New Roman"/>
        <w:sz w:val="20"/>
        <w:szCs w:val="20"/>
      </w:rPr>
      <w:t>_info.docx</w:t>
    </w:r>
  </w:p>
  <w:p w:rsidR="0061162F" w:rsidRDefault="0061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4FB" w:rsidRDefault="00C704FB" w:rsidP="00D83115">
      <w:pPr>
        <w:spacing w:after="0" w:line="240" w:lineRule="auto"/>
      </w:pPr>
      <w:r>
        <w:separator/>
      </w:r>
    </w:p>
  </w:footnote>
  <w:footnote w:type="continuationSeparator" w:id="0">
    <w:p w:rsidR="00C704FB" w:rsidRDefault="00C704FB" w:rsidP="00D8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11791"/>
      <w:docPartObj>
        <w:docPartGallery w:val="Page Numbers (Top of Page)"/>
        <w:docPartUnique/>
      </w:docPartObj>
    </w:sdtPr>
    <w:sdtEndPr>
      <w:rPr>
        <w:rFonts w:ascii="Times New Roman" w:hAnsi="Times New Roman"/>
        <w:noProof/>
      </w:rPr>
    </w:sdtEndPr>
    <w:sdtContent>
      <w:p w:rsidR="00D83115" w:rsidRPr="00D83115" w:rsidRDefault="00C704FB">
        <w:pPr>
          <w:pStyle w:val="Header"/>
          <w:jc w:val="center"/>
          <w:rPr>
            <w:rFonts w:ascii="Times New Roman" w:hAnsi="Times New Roman"/>
          </w:rPr>
        </w:pPr>
      </w:p>
    </w:sdtContent>
  </w:sdt>
  <w:p w:rsidR="00D83115" w:rsidRDefault="00D83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04"/>
    <w:multiLevelType w:val="hybridMultilevel"/>
    <w:tmpl w:val="DDAA6A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BB7E68"/>
    <w:multiLevelType w:val="hybridMultilevel"/>
    <w:tmpl w:val="E01052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7822ED"/>
    <w:multiLevelType w:val="hybridMultilevel"/>
    <w:tmpl w:val="240679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8D3F92"/>
    <w:multiLevelType w:val="hybridMultilevel"/>
    <w:tmpl w:val="F0709680"/>
    <w:lvl w:ilvl="0" w:tplc="D2CEA0AC">
      <w:start w:val="1"/>
      <w:numFmt w:val="bullet"/>
      <w:lvlText w:val=""/>
      <w:lvlJc w:val="left"/>
      <w:pPr>
        <w:ind w:left="360" w:hanging="360"/>
      </w:pPr>
      <w:rPr>
        <w:rFonts w:ascii="Symbol" w:hAnsi="Symbol" w:hint="default"/>
        <w:color w:val="729528"/>
        <w:w w:val="100"/>
        <w:sz w:val="16"/>
        <w:szCs w:val="16"/>
        <w:lang w:val="lv" w:eastAsia="lv" w:bidi="lv"/>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F5B36F1"/>
    <w:multiLevelType w:val="hybridMultilevel"/>
    <w:tmpl w:val="2B76C1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1173D5"/>
    <w:multiLevelType w:val="hybridMultilevel"/>
    <w:tmpl w:val="25048FC2"/>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1F676D25"/>
    <w:multiLevelType w:val="hybridMultilevel"/>
    <w:tmpl w:val="CB0062F0"/>
    <w:lvl w:ilvl="0" w:tplc="D2CEA0A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EB02BA"/>
    <w:multiLevelType w:val="hybridMultilevel"/>
    <w:tmpl w:val="6CA6B754"/>
    <w:lvl w:ilvl="0" w:tplc="04260011">
      <w:start w:val="1"/>
      <w:numFmt w:val="decimal"/>
      <w:lvlText w:val="%1)"/>
      <w:lvlJc w:val="left"/>
      <w:pPr>
        <w:ind w:left="501" w:hanging="360"/>
      </w:pPr>
      <w:rPr>
        <w:rFonts w:hint="default"/>
      </w:rPr>
    </w:lvl>
    <w:lvl w:ilvl="1" w:tplc="04260003">
      <w:start w:val="1"/>
      <w:numFmt w:val="bullet"/>
      <w:lvlText w:val="o"/>
      <w:lvlJc w:val="left"/>
      <w:pPr>
        <w:ind w:left="643"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8" w15:restartNumberingAfterBreak="0">
    <w:nsid w:val="322C053A"/>
    <w:multiLevelType w:val="hybridMultilevel"/>
    <w:tmpl w:val="C43CEB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03479C"/>
    <w:multiLevelType w:val="hybridMultilevel"/>
    <w:tmpl w:val="94F64552"/>
    <w:lvl w:ilvl="0" w:tplc="BB6483B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F73CF4"/>
    <w:multiLevelType w:val="hybridMultilevel"/>
    <w:tmpl w:val="28325B06"/>
    <w:lvl w:ilvl="0" w:tplc="8CC86E8E">
      <w:start w:val="1"/>
      <w:numFmt w:val="bullet"/>
      <w:lvlText w:val=""/>
      <w:lvlJc w:val="left"/>
      <w:pPr>
        <w:ind w:left="360" w:hanging="360"/>
      </w:pPr>
      <w:rPr>
        <w:rFonts w:ascii="Wingdings" w:hAnsi="Wingdings" w:hint="default"/>
        <w:color w:val="729528"/>
        <w:w w:val="100"/>
        <w:sz w:val="16"/>
        <w:szCs w:val="16"/>
        <w:lang w:val="lv" w:eastAsia="lv" w:bidi="lv"/>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4F773CFC"/>
    <w:multiLevelType w:val="hybridMultilevel"/>
    <w:tmpl w:val="F4E6E6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D24ACC"/>
    <w:multiLevelType w:val="hybridMultilevel"/>
    <w:tmpl w:val="70A842A8"/>
    <w:lvl w:ilvl="0" w:tplc="04260001">
      <w:start w:val="1"/>
      <w:numFmt w:val="bullet"/>
      <w:lvlText w:val=""/>
      <w:lvlJc w:val="left"/>
      <w:pPr>
        <w:ind w:left="360" w:hanging="360"/>
      </w:pPr>
      <w:rPr>
        <w:rFonts w:ascii="Symbol" w:hAnsi="Symbol" w:hint="default"/>
        <w:color w:val="729528"/>
        <w:w w:val="100"/>
        <w:sz w:val="16"/>
        <w:szCs w:val="16"/>
        <w:lang w:val="lv" w:eastAsia="lv" w:bidi="lv"/>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66A1050E"/>
    <w:multiLevelType w:val="hybridMultilevel"/>
    <w:tmpl w:val="42AC49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91763C4"/>
    <w:multiLevelType w:val="hybridMultilevel"/>
    <w:tmpl w:val="7C78A5F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196071"/>
    <w:multiLevelType w:val="hybridMultilevel"/>
    <w:tmpl w:val="153C14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48602BC"/>
    <w:multiLevelType w:val="hybridMultilevel"/>
    <w:tmpl w:val="95CC26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7D877FAC"/>
    <w:multiLevelType w:val="hybridMultilevel"/>
    <w:tmpl w:val="6D4EC898"/>
    <w:lvl w:ilvl="0" w:tplc="A4B2AF3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F6815B4"/>
    <w:multiLevelType w:val="hybridMultilevel"/>
    <w:tmpl w:val="992E0EC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7"/>
  </w:num>
  <w:num w:numId="4">
    <w:abstractNumId w:val="15"/>
  </w:num>
  <w:num w:numId="5">
    <w:abstractNumId w:val="13"/>
  </w:num>
  <w:num w:numId="6">
    <w:abstractNumId w:val="4"/>
  </w:num>
  <w:num w:numId="7">
    <w:abstractNumId w:val="11"/>
  </w:num>
  <w:num w:numId="8">
    <w:abstractNumId w:val="1"/>
  </w:num>
  <w:num w:numId="9">
    <w:abstractNumId w:val="8"/>
  </w:num>
  <w:num w:numId="10">
    <w:abstractNumId w:val="10"/>
  </w:num>
  <w:num w:numId="11">
    <w:abstractNumId w:val="12"/>
  </w:num>
  <w:num w:numId="12">
    <w:abstractNumId w:val="3"/>
  </w:num>
  <w:num w:numId="13">
    <w:abstractNumId w:val="6"/>
  </w:num>
  <w:num w:numId="14">
    <w:abstractNumId w:val="18"/>
  </w:num>
  <w:num w:numId="15">
    <w:abstractNumId w:val="14"/>
  </w:num>
  <w:num w:numId="16">
    <w:abstractNumId w:val="17"/>
  </w:num>
  <w:num w:numId="17">
    <w:abstractNumId w:val="5"/>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15"/>
    <w:rsid w:val="0000691F"/>
    <w:rsid w:val="000178AE"/>
    <w:rsid w:val="00020019"/>
    <w:rsid w:val="000243A4"/>
    <w:rsid w:val="000259FB"/>
    <w:rsid w:val="0003485F"/>
    <w:rsid w:val="00045A51"/>
    <w:rsid w:val="00067B48"/>
    <w:rsid w:val="000A76EE"/>
    <w:rsid w:val="000B0391"/>
    <w:rsid w:val="000B196A"/>
    <w:rsid w:val="000D6050"/>
    <w:rsid w:val="001019EE"/>
    <w:rsid w:val="001044B2"/>
    <w:rsid w:val="001405B2"/>
    <w:rsid w:val="001469C0"/>
    <w:rsid w:val="00161CDB"/>
    <w:rsid w:val="00167B78"/>
    <w:rsid w:val="00167E14"/>
    <w:rsid w:val="00180B10"/>
    <w:rsid w:val="0018658F"/>
    <w:rsid w:val="001955CB"/>
    <w:rsid w:val="001A3C87"/>
    <w:rsid w:val="001B1A6A"/>
    <w:rsid w:val="001B67D0"/>
    <w:rsid w:val="001D0721"/>
    <w:rsid w:val="001D09CE"/>
    <w:rsid w:val="001E1760"/>
    <w:rsid w:val="00220261"/>
    <w:rsid w:val="00240711"/>
    <w:rsid w:val="002915D3"/>
    <w:rsid w:val="002944D0"/>
    <w:rsid w:val="002946AD"/>
    <w:rsid w:val="002949F6"/>
    <w:rsid w:val="00295439"/>
    <w:rsid w:val="002A1A77"/>
    <w:rsid w:val="002D0375"/>
    <w:rsid w:val="002D546C"/>
    <w:rsid w:val="002F5BD6"/>
    <w:rsid w:val="0031508D"/>
    <w:rsid w:val="00326B4D"/>
    <w:rsid w:val="00345297"/>
    <w:rsid w:val="00372A40"/>
    <w:rsid w:val="0037514E"/>
    <w:rsid w:val="003A619E"/>
    <w:rsid w:val="003A6B60"/>
    <w:rsid w:val="003C5F57"/>
    <w:rsid w:val="003D13FF"/>
    <w:rsid w:val="00400439"/>
    <w:rsid w:val="004005D1"/>
    <w:rsid w:val="00405020"/>
    <w:rsid w:val="00405DC4"/>
    <w:rsid w:val="00414603"/>
    <w:rsid w:val="00431CD9"/>
    <w:rsid w:val="0043585D"/>
    <w:rsid w:val="00446018"/>
    <w:rsid w:val="00453605"/>
    <w:rsid w:val="00485634"/>
    <w:rsid w:val="00487F8B"/>
    <w:rsid w:val="00494713"/>
    <w:rsid w:val="004A15A2"/>
    <w:rsid w:val="004A69EA"/>
    <w:rsid w:val="004B49B2"/>
    <w:rsid w:val="004C436C"/>
    <w:rsid w:val="004C6330"/>
    <w:rsid w:val="004D0E5B"/>
    <w:rsid w:val="004E475F"/>
    <w:rsid w:val="00510D56"/>
    <w:rsid w:val="0052096D"/>
    <w:rsid w:val="005227CB"/>
    <w:rsid w:val="0054213B"/>
    <w:rsid w:val="00544841"/>
    <w:rsid w:val="005457C6"/>
    <w:rsid w:val="00552497"/>
    <w:rsid w:val="00570ED2"/>
    <w:rsid w:val="00577BFF"/>
    <w:rsid w:val="005A4943"/>
    <w:rsid w:val="005A60D3"/>
    <w:rsid w:val="005B5591"/>
    <w:rsid w:val="005E15D0"/>
    <w:rsid w:val="00610C14"/>
    <w:rsid w:val="0061162F"/>
    <w:rsid w:val="00615FB4"/>
    <w:rsid w:val="006250A1"/>
    <w:rsid w:val="006306D1"/>
    <w:rsid w:val="006355BF"/>
    <w:rsid w:val="006370C5"/>
    <w:rsid w:val="0066690D"/>
    <w:rsid w:val="0067261E"/>
    <w:rsid w:val="00680C8F"/>
    <w:rsid w:val="00681979"/>
    <w:rsid w:val="006846E8"/>
    <w:rsid w:val="00696DEC"/>
    <w:rsid w:val="006B303E"/>
    <w:rsid w:val="006B78C4"/>
    <w:rsid w:val="006C258C"/>
    <w:rsid w:val="006C2E53"/>
    <w:rsid w:val="006C3D87"/>
    <w:rsid w:val="006D6F1A"/>
    <w:rsid w:val="006F5FFB"/>
    <w:rsid w:val="00701BDE"/>
    <w:rsid w:val="00722091"/>
    <w:rsid w:val="00736858"/>
    <w:rsid w:val="007451EB"/>
    <w:rsid w:val="00764BAA"/>
    <w:rsid w:val="00780585"/>
    <w:rsid w:val="00782257"/>
    <w:rsid w:val="007868EE"/>
    <w:rsid w:val="007A48D2"/>
    <w:rsid w:val="007B603A"/>
    <w:rsid w:val="007C3A4E"/>
    <w:rsid w:val="007C563D"/>
    <w:rsid w:val="007C7B4F"/>
    <w:rsid w:val="007E47F8"/>
    <w:rsid w:val="007F2E46"/>
    <w:rsid w:val="007F7A2B"/>
    <w:rsid w:val="00817AD7"/>
    <w:rsid w:val="00836A96"/>
    <w:rsid w:val="008449EB"/>
    <w:rsid w:val="0085302F"/>
    <w:rsid w:val="00864C4B"/>
    <w:rsid w:val="00873A2B"/>
    <w:rsid w:val="008A193C"/>
    <w:rsid w:val="008B00FC"/>
    <w:rsid w:val="008C2170"/>
    <w:rsid w:val="008C5680"/>
    <w:rsid w:val="008C6FAF"/>
    <w:rsid w:val="008C7EF6"/>
    <w:rsid w:val="008F7B7A"/>
    <w:rsid w:val="00952344"/>
    <w:rsid w:val="009537B9"/>
    <w:rsid w:val="0095576C"/>
    <w:rsid w:val="00961910"/>
    <w:rsid w:val="0096751E"/>
    <w:rsid w:val="009713D8"/>
    <w:rsid w:val="00975D92"/>
    <w:rsid w:val="00985852"/>
    <w:rsid w:val="00993DD5"/>
    <w:rsid w:val="009F6A1B"/>
    <w:rsid w:val="00A01A1C"/>
    <w:rsid w:val="00A040A2"/>
    <w:rsid w:val="00A04DE2"/>
    <w:rsid w:val="00A136AD"/>
    <w:rsid w:val="00A1375F"/>
    <w:rsid w:val="00A22982"/>
    <w:rsid w:val="00A33F91"/>
    <w:rsid w:val="00A37307"/>
    <w:rsid w:val="00A4004E"/>
    <w:rsid w:val="00A4164A"/>
    <w:rsid w:val="00A77EF2"/>
    <w:rsid w:val="00A80EA7"/>
    <w:rsid w:val="00A82537"/>
    <w:rsid w:val="00AD74B5"/>
    <w:rsid w:val="00AE19B9"/>
    <w:rsid w:val="00AE5687"/>
    <w:rsid w:val="00AF1CA4"/>
    <w:rsid w:val="00B1153A"/>
    <w:rsid w:val="00B32E30"/>
    <w:rsid w:val="00B477A5"/>
    <w:rsid w:val="00B51638"/>
    <w:rsid w:val="00B94010"/>
    <w:rsid w:val="00BA2C52"/>
    <w:rsid w:val="00BB73A7"/>
    <w:rsid w:val="00BC16C8"/>
    <w:rsid w:val="00BC5842"/>
    <w:rsid w:val="00BC5CD7"/>
    <w:rsid w:val="00BC797A"/>
    <w:rsid w:val="00BD610E"/>
    <w:rsid w:val="00BE0DC8"/>
    <w:rsid w:val="00BE219E"/>
    <w:rsid w:val="00C0390E"/>
    <w:rsid w:val="00C13365"/>
    <w:rsid w:val="00C47E2C"/>
    <w:rsid w:val="00C53935"/>
    <w:rsid w:val="00C617E7"/>
    <w:rsid w:val="00C64122"/>
    <w:rsid w:val="00C66786"/>
    <w:rsid w:val="00C704FB"/>
    <w:rsid w:val="00C97005"/>
    <w:rsid w:val="00CA4607"/>
    <w:rsid w:val="00CE25E3"/>
    <w:rsid w:val="00CF3BEC"/>
    <w:rsid w:val="00D00FDE"/>
    <w:rsid w:val="00D203A3"/>
    <w:rsid w:val="00D26C92"/>
    <w:rsid w:val="00D32469"/>
    <w:rsid w:val="00D3400A"/>
    <w:rsid w:val="00D35669"/>
    <w:rsid w:val="00D41B5A"/>
    <w:rsid w:val="00D5247E"/>
    <w:rsid w:val="00D80771"/>
    <w:rsid w:val="00D83115"/>
    <w:rsid w:val="00D942DC"/>
    <w:rsid w:val="00D94F81"/>
    <w:rsid w:val="00D971AE"/>
    <w:rsid w:val="00D97CA3"/>
    <w:rsid w:val="00DA3550"/>
    <w:rsid w:val="00DB45C7"/>
    <w:rsid w:val="00DD567B"/>
    <w:rsid w:val="00DE4F34"/>
    <w:rsid w:val="00DE7171"/>
    <w:rsid w:val="00DF530B"/>
    <w:rsid w:val="00DF6E7C"/>
    <w:rsid w:val="00E03E06"/>
    <w:rsid w:val="00E06D74"/>
    <w:rsid w:val="00E11F08"/>
    <w:rsid w:val="00E1503E"/>
    <w:rsid w:val="00E154E2"/>
    <w:rsid w:val="00E56B8B"/>
    <w:rsid w:val="00E73FEA"/>
    <w:rsid w:val="00E81540"/>
    <w:rsid w:val="00E858D1"/>
    <w:rsid w:val="00E8601A"/>
    <w:rsid w:val="00E946B3"/>
    <w:rsid w:val="00EB1348"/>
    <w:rsid w:val="00EB3F45"/>
    <w:rsid w:val="00EB57C9"/>
    <w:rsid w:val="00ED734C"/>
    <w:rsid w:val="00EF338A"/>
    <w:rsid w:val="00F0097F"/>
    <w:rsid w:val="00F02FDC"/>
    <w:rsid w:val="00F17ACC"/>
    <w:rsid w:val="00F221F9"/>
    <w:rsid w:val="00F3253F"/>
    <w:rsid w:val="00F45F65"/>
    <w:rsid w:val="00F46415"/>
    <w:rsid w:val="00F46EF6"/>
    <w:rsid w:val="00F67313"/>
    <w:rsid w:val="00F80ED8"/>
    <w:rsid w:val="00F87621"/>
    <w:rsid w:val="00FA2522"/>
    <w:rsid w:val="00FC70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99A6A1-1D93-414F-AE0E-E86E3B26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1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115"/>
    <w:pPr>
      <w:spacing w:after="0" w:line="240" w:lineRule="auto"/>
      <w:ind w:left="720"/>
    </w:pPr>
    <w:rPr>
      <w:rFonts w:ascii="Times New Roman" w:hAnsi="Times New Roman"/>
      <w:sz w:val="24"/>
      <w:szCs w:val="24"/>
      <w:lang w:eastAsia="lv-LV"/>
    </w:rPr>
  </w:style>
  <w:style w:type="paragraph" w:customStyle="1" w:styleId="tvhtmlmktable">
    <w:name w:val="tv_html mk_table"/>
    <w:basedOn w:val="Normal"/>
    <w:rsid w:val="00D83115"/>
    <w:pPr>
      <w:spacing w:before="100" w:beforeAutospacing="1" w:after="100" w:afterAutospacing="1" w:line="240" w:lineRule="auto"/>
    </w:pPr>
    <w:rPr>
      <w:rFonts w:ascii="Times New Roman" w:eastAsia="Times New Roman" w:hAnsi="Times New Roman"/>
      <w:sz w:val="24"/>
      <w:szCs w:val="24"/>
      <w:lang w:val="en-GB"/>
    </w:rPr>
  </w:style>
  <w:style w:type="table" w:styleId="TableGrid">
    <w:name w:val="Table Grid"/>
    <w:basedOn w:val="TableNormal"/>
    <w:uiPriority w:val="39"/>
    <w:rsid w:val="00D8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1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3115"/>
    <w:rPr>
      <w:rFonts w:ascii="Calibri" w:eastAsia="Calibri" w:hAnsi="Calibri" w:cs="Times New Roman"/>
    </w:rPr>
  </w:style>
  <w:style w:type="paragraph" w:styleId="Footer">
    <w:name w:val="footer"/>
    <w:basedOn w:val="Normal"/>
    <w:link w:val="FooterChar"/>
    <w:uiPriority w:val="99"/>
    <w:unhideWhenUsed/>
    <w:rsid w:val="00D831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3115"/>
    <w:rPr>
      <w:rFonts w:ascii="Calibri" w:eastAsia="Calibri" w:hAnsi="Calibri" w:cs="Times New Roman"/>
    </w:rPr>
  </w:style>
  <w:style w:type="paragraph" w:styleId="BalloonText">
    <w:name w:val="Balloon Text"/>
    <w:basedOn w:val="Normal"/>
    <w:link w:val="BalloonTextChar"/>
    <w:uiPriority w:val="99"/>
    <w:semiHidden/>
    <w:unhideWhenUsed/>
    <w:rsid w:val="001B6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7D0"/>
    <w:rPr>
      <w:rFonts w:ascii="Segoe UI" w:eastAsia="Calibri" w:hAnsi="Segoe UI" w:cs="Segoe UI"/>
      <w:sz w:val="18"/>
      <w:szCs w:val="18"/>
    </w:rPr>
  </w:style>
  <w:style w:type="paragraph" w:styleId="Revision">
    <w:name w:val="Revision"/>
    <w:hidden/>
    <w:uiPriority w:val="99"/>
    <w:semiHidden/>
    <w:rsid w:val="006C3D87"/>
    <w:pPr>
      <w:spacing w:after="0" w:line="240" w:lineRule="auto"/>
    </w:pPr>
    <w:rPr>
      <w:rFonts w:ascii="Calibri" w:eastAsia="Calibri" w:hAnsi="Calibri" w:cs="Times New Roman"/>
    </w:rPr>
  </w:style>
  <w:style w:type="character" w:styleId="Emphasis">
    <w:name w:val="Emphasis"/>
    <w:basedOn w:val="DefaultParagraphFont"/>
    <w:uiPriority w:val="20"/>
    <w:qFormat/>
    <w:rsid w:val="00CF3BEC"/>
    <w:rPr>
      <w:i/>
      <w:iCs/>
    </w:rPr>
  </w:style>
  <w:style w:type="character" w:styleId="CommentReference">
    <w:name w:val="annotation reference"/>
    <w:basedOn w:val="DefaultParagraphFont"/>
    <w:uiPriority w:val="99"/>
    <w:semiHidden/>
    <w:unhideWhenUsed/>
    <w:rsid w:val="00D80771"/>
    <w:rPr>
      <w:sz w:val="16"/>
      <w:szCs w:val="16"/>
    </w:rPr>
  </w:style>
  <w:style w:type="paragraph" w:styleId="CommentText">
    <w:name w:val="annotation text"/>
    <w:basedOn w:val="Normal"/>
    <w:link w:val="CommentTextChar"/>
    <w:uiPriority w:val="99"/>
    <w:semiHidden/>
    <w:unhideWhenUsed/>
    <w:rsid w:val="00D80771"/>
    <w:pPr>
      <w:spacing w:line="240" w:lineRule="auto"/>
    </w:pPr>
    <w:rPr>
      <w:sz w:val="20"/>
      <w:szCs w:val="20"/>
    </w:rPr>
  </w:style>
  <w:style w:type="character" w:customStyle="1" w:styleId="CommentTextChar">
    <w:name w:val="Comment Text Char"/>
    <w:basedOn w:val="DefaultParagraphFont"/>
    <w:link w:val="CommentText"/>
    <w:uiPriority w:val="99"/>
    <w:semiHidden/>
    <w:rsid w:val="00D8077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8F871-562F-4E01-8391-393F20E3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6275</Words>
  <Characters>3577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Informatīvais ziņojums par Valsts kontroles revīzijā "Par Latvijas Republikas 2019.gada pārskatu par valsts budžeta izpildi un par pašvaldību budžetiem" sniegtajiem ieteikumiem un Finanšu ministrijas iebildumiem</vt:lpstr>
    </vt:vector>
  </TitlesOfParts>
  <Company>Finanšu ministrija</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kontroles revīzijā "Par Latvijas Republikas 2019.gada pārskatu par valsts budžeta izpildi un par pašvaldību budžetiem" sniegtajiem ieteikumiem un Finanšu ministrijas iebildumiem</dc:title>
  <dc:subject>Informatīvais ziņojums</dc:subject>
  <dc:creator>Jeļena Grossmane</dc:creator>
  <cp:keywords/>
  <dc:description>670956603; jelena.grossmane@fm.gov.lv</dc:description>
  <cp:lastModifiedBy>Laimdota Adlere</cp:lastModifiedBy>
  <cp:revision>2</cp:revision>
  <cp:lastPrinted>2020-09-21T14:24:00Z</cp:lastPrinted>
  <dcterms:created xsi:type="dcterms:W3CDTF">2020-10-05T11:58:00Z</dcterms:created>
  <dcterms:modified xsi:type="dcterms:W3CDTF">2020-10-05T11:58:00Z</dcterms:modified>
  <cp:contentStatus/>
</cp:coreProperties>
</file>